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EC" w:rsidRDefault="00047006">
      <w:pPr>
        <w:pStyle w:val="Heading1"/>
        <w:jc w:val="center"/>
        <w:rPr>
          <w:rFonts w:eastAsia="Times New Roman"/>
        </w:rPr>
      </w:pPr>
      <w:bookmarkStart w:id="0" w:name="_GoBack"/>
      <w:bookmarkEnd w:id="0"/>
      <w:r>
        <w:rPr>
          <w:rFonts w:eastAsia="Times New Roman"/>
        </w:rPr>
        <w:t>Report on DOT Significant Rulemakings</w:t>
      </w:r>
    </w:p>
    <w:p w:rsidR="00A936EC" w:rsidRDefault="00047006">
      <w:pPr>
        <w:jc w:val="center"/>
        <w:rPr>
          <w:rFonts w:ascii="Times" w:eastAsia="Times New Roman" w:hAnsi="Times" w:cs="Times"/>
          <w:sz w:val="36"/>
          <w:szCs w:val="36"/>
        </w:rPr>
      </w:pPr>
      <w:r>
        <w:rPr>
          <w:rFonts w:ascii="Times" w:eastAsia="Times New Roman" w:hAnsi="Times" w:cs="Times"/>
          <w:sz w:val="36"/>
          <w:szCs w:val="36"/>
        </w:rPr>
        <w:t>Table of Contents</w:t>
      </w:r>
    </w:p>
    <w:p w:rsidR="00A936EC" w:rsidRDefault="00047006">
      <w:pPr>
        <w:rPr>
          <w:rFonts w:ascii="Times" w:eastAsia="Times New Roman" w:hAnsi="Times" w:cs="Times"/>
        </w:rPr>
      </w:pPr>
      <w:r>
        <w:rPr>
          <w:rFonts w:ascii="Times" w:eastAsia="Times New Roman" w:hAnsi="Times" w:cs="Times"/>
          <w:b/>
          <w:bCs/>
        </w:rPr>
        <w:t>Federal Aviation Administration</w:t>
      </w:r>
    </w:p>
    <w:p w:rsidR="00A936EC" w:rsidRDefault="00047006">
      <w:pPr>
        <w:divId w:val="1741175302"/>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A936EC" w:rsidRDefault="00A936EC">
      <w:pPr>
        <w:rPr>
          <w:rFonts w:ascii="Times" w:eastAsia="Times New Roman" w:hAnsi="Times" w:cs="Times"/>
          <w:sz w:val="20"/>
          <w:szCs w:val="20"/>
        </w:rPr>
      </w:pPr>
    </w:p>
    <w:p w:rsidR="00A936EC" w:rsidRDefault="00047006">
      <w:pPr>
        <w:divId w:val="100415497"/>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rsidR="00A936EC" w:rsidRDefault="00A936EC">
      <w:pPr>
        <w:rPr>
          <w:rFonts w:ascii="Times" w:eastAsia="Times New Roman" w:hAnsi="Times" w:cs="Times"/>
          <w:sz w:val="20"/>
          <w:szCs w:val="20"/>
        </w:rPr>
      </w:pPr>
    </w:p>
    <w:p w:rsidR="00A936EC" w:rsidRDefault="00047006">
      <w:pPr>
        <w:divId w:val="1253591750"/>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Regulation Of Flight Operations Conducted By Alaska Guide Pilots</w:t>
        </w:r>
      </w:hyperlink>
    </w:p>
    <w:p w:rsidR="00A936EC" w:rsidRDefault="00A936EC">
      <w:pPr>
        <w:rPr>
          <w:rFonts w:ascii="Times" w:eastAsia="Times New Roman" w:hAnsi="Times" w:cs="Times"/>
          <w:sz w:val="20"/>
          <w:szCs w:val="20"/>
        </w:rPr>
      </w:pPr>
    </w:p>
    <w:p w:rsidR="00A936EC" w:rsidRDefault="00047006">
      <w:pPr>
        <w:divId w:val="84640756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Pilot Professional Development</w:t>
        </w:r>
      </w:hyperlink>
    </w:p>
    <w:p w:rsidR="00A936EC" w:rsidRDefault="00A936EC">
      <w:pPr>
        <w:rPr>
          <w:rFonts w:ascii="Times" w:eastAsia="Times New Roman" w:hAnsi="Times" w:cs="Times"/>
          <w:sz w:val="20"/>
          <w:szCs w:val="20"/>
        </w:rPr>
      </w:pPr>
    </w:p>
    <w:p w:rsidR="00A936EC" w:rsidRDefault="00047006">
      <w:pPr>
        <w:divId w:val="1367756439"/>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System Safety Assessment</w:t>
        </w:r>
      </w:hyperlink>
    </w:p>
    <w:p w:rsidR="00A936EC" w:rsidRDefault="00A936EC">
      <w:pPr>
        <w:rPr>
          <w:rFonts w:ascii="Times" w:eastAsia="Times New Roman" w:hAnsi="Times" w:cs="Times"/>
          <w:sz w:val="20"/>
          <w:szCs w:val="20"/>
        </w:rPr>
      </w:pPr>
    </w:p>
    <w:p w:rsidR="00A936EC" w:rsidRDefault="00047006">
      <w:pPr>
        <w:divId w:val="195238914"/>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A936EC" w:rsidRDefault="00A936EC">
      <w:pPr>
        <w:rPr>
          <w:rFonts w:ascii="Times" w:eastAsia="Times New Roman" w:hAnsi="Times" w:cs="Times"/>
          <w:sz w:val="20"/>
          <w:szCs w:val="20"/>
        </w:rPr>
      </w:pPr>
    </w:p>
    <w:p w:rsidR="00A936EC" w:rsidRDefault="00047006">
      <w:pPr>
        <w:divId w:val="18837914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Transport Airplane Fuel Tank and System Lightning Protection</w:t>
        </w:r>
      </w:hyperlink>
    </w:p>
    <w:p w:rsidR="00A936EC" w:rsidRDefault="00A936EC">
      <w:pPr>
        <w:rPr>
          <w:rFonts w:ascii="Times" w:eastAsia="Times New Roman" w:hAnsi="Times" w:cs="Times"/>
          <w:sz w:val="20"/>
          <w:szCs w:val="20"/>
        </w:rPr>
      </w:pPr>
    </w:p>
    <w:p w:rsidR="00A936EC" w:rsidRDefault="00047006">
      <w:pPr>
        <w:divId w:val="1111783914"/>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Rules of 14 CFR part 135 to Tail-End Ferry Operations (FAA Reauthorization</w:t>
        </w:r>
      </w:hyperlink>
    </w:p>
    <w:p w:rsidR="00A936EC" w:rsidRDefault="00A936EC">
      <w:pPr>
        <w:rPr>
          <w:rFonts w:ascii="Times" w:eastAsia="Times New Roman" w:hAnsi="Times" w:cs="Times"/>
          <w:sz w:val="20"/>
          <w:szCs w:val="20"/>
        </w:rPr>
      </w:pPr>
    </w:p>
    <w:p w:rsidR="00A936EC" w:rsidRDefault="00047006">
      <w:pPr>
        <w:divId w:val="658267037"/>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Pilot Records Database (HR 5900)</w:t>
        </w:r>
      </w:hyperlink>
    </w:p>
    <w:p w:rsidR="00A936EC" w:rsidRDefault="00A936EC">
      <w:pPr>
        <w:rPr>
          <w:rFonts w:ascii="Times" w:eastAsia="Times New Roman" w:hAnsi="Times" w:cs="Times"/>
          <w:sz w:val="20"/>
          <w:szCs w:val="20"/>
        </w:rPr>
      </w:pPr>
    </w:p>
    <w:p w:rsidR="00A936EC" w:rsidRDefault="00047006">
      <w:pPr>
        <w:divId w:val="740253208"/>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Biometric Certificates (FAA Reauthorization)</w:t>
        </w:r>
      </w:hyperlink>
    </w:p>
    <w:p w:rsidR="00A936EC" w:rsidRDefault="00A936EC">
      <w:pPr>
        <w:rPr>
          <w:rFonts w:ascii="Times" w:eastAsia="Times New Roman" w:hAnsi="Times" w:cs="Times"/>
          <w:sz w:val="20"/>
          <w:szCs w:val="20"/>
        </w:rPr>
      </w:pPr>
    </w:p>
    <w:p w:rsidR="00A936EC" w:rsidRDefault="00047006">
      <w:pPr>
        <w:divId w:val="1800800764"/>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Aircraft Registration and Airmen Certification Fees</w:t>
        </w:r>
      </w:hyperlink>
    </w:p>
    <w:p w:rsidR="00A936EC" w:rsidRDefault="00A936EC">
      <w:pPr>
        <w:rPr>
          <w:rFonts w:ascii="Times" w:eastAsia="Times New Roman" w:hAnsi="Times" w:cs="Times"/>
          <w:sz w:val="20"/>
          <w:szCs w:val="20"/>
        </w:rPr>
      </w:pPr>
    </w:p>
    <w:p w:rsidR="00A936EC" w:rsidRDefault="00047006">
      <w:pPr>
        <w:divId w:val="67116865"/>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Permanent Requirement for Helicopters to use the New York North Shore Helicopter Route</w:t>
        </w:r>
      </w:hyperlink>
    </w:p>
    <w:p w:rsidR="00A936EC" w:rsidRDefault="00A936EC">
      <w:pPr>
        <w:rPr>
          <w:rFonts w:ascii="Times" w:eastAsia="Times New Roman" w:hAnsi="Times" w:cs="Times"/>
          <w:sz w:val="20"/>
          <w:szCs w:val="20"/>
        </w:rPr>
      </w:pPr>
    </w:p>
    <w:p w:rsidR="00A936EC" w:rsidRDefault="00047006">
      <w:pPr>
        <w:divId w:val="116608963"/>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Helicopter Air Ambulance Pilot Training and Operational Requirements (HAA II) (FAA Reauthorization)</w:t>
        </w:r>
      </w:hyperlink>
    </w:p>
    <w:p w:rsidR="00A936EC" w:rsidRDefault="00A936EC">
      <w:pPr>
        <w:rPr>
          <w:rFonts w:ascii="Times" w:eastAsia="Times New Roman" w:hAnsi="Times" w:cs="Times"/>
          <w:sz w:val="20"/>
          <w:szCs w:val="20"/>
        </w:rPr>
      </w:pPr>
    </w:p>
    <w:p w:rsidR="00A936EC" w:rsidRDefault="00047006">
      <w:pPr>
        <w:divId w:val="139271307"/>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Requirements to File Notice of Construction of Meteorological Evaluation Towers and Other Renewable Energy Projects</w:t>
        </w:r>
      </w:hyperlink>
    </w:p>
    <w:p w:rsidR="00A936EC" w:rsidRDefault="00A936EC">
      <w:pPr>
        <w:rPr>
          <w:rFonts w:ascii="Times" w:eastAsia="Times New Roman" w:hAnsi="Times" w:cs="Times"/>
          <w:sz w:val="20"/>
          <w:szCs w:val="20"/>
        </w:rPr>
      </w:pPr>
    </w:p>
    <w:p w:rsidR="00A936EC" w:rsidRDefault="00047006">
      <w:pPr>
        <w:divId w:val="3119608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Orbital Debris Mitigation Methods for Launch Vehicle Upper Stages (Orbital Debris)</w:t>
        </w:r>
      </w:hyperlink>
    </w:p>
    <w:p w:rsidR="00A936EC" w:rsidRDefault="00A936EC">
      <w:pPr>
        <w:rPr>
          <w:rFonts w:ascii="Times" w:eastAsia="Times New Roman" w:hAnsi="Times" w:cs="Times"/>
          <w:sz w:val="20"/>
          <w:szCs w:val="20"/>
        </w:rPr>
      </w:pPr>
    </w:p>
    <w:p w:rsidR="00A936EC" w:rsidRDefault="00047006">
      <w:pPr>
        <w:divId w:val="1666670078"/>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Registration and Marking Requirements for Small Unmanned Aircraft</w:t>
        </w:r>
      </w:hyperlink>
    </w:p>
    <w:p w:rsidR="00A936EC" w:rsidRDefault="00A936EC">
      <w:pPr>
        <w:rPr>
          <w:rFonts w:ascii="Times" w:eastAsia="Times New Roman" w:hAnsi="Times" w:cs="Times"/>
          <w:sz w:val="20"/>
          <w:szCs w:val="20"/>
        </w:rPr>
      </w:pPr>
    </w:p>
    <w:p w:rsidR="00A936EC" w:rsidRDefault="00047006">
      <w:pPr>
        <w:divId w:val="2041469272"/>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Operations of Small Unmanned Aircraft Over People</w:t>
        </w:r>
      </w:hyperlink>
    </w:p>
    <w:p w:rsidR="00A936EC" w:rsidRDefault="00A936EC">
      <w:pPr>
        <w:rPr>
          <w:rFonts w:ascii="Times" w:eastAsia="Times New Roman" w:hAnsi="Times" w:cs="Times"/>
          <w:sz w:val="20"/>
          <w:szCs w:val="20"/>
        </w:rPr>
      </w:pPr>
    </w:p>
    <w:p w:rsidR="00A936EC" w:rsidRDefault="00047006">
      <w:pPr>
        <w:divId w:val="675612426"/>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Unmanned Aircraft Systems Expanded Operations</w:t>
        </w:r>
      </w:hyperlink>
    </w:p>
    <w:p w:rsidR="00A936EC" w:rsidRDefault="00A936EC">
      <w:pPr>
        <w:rPr>
          <w:rFonts w:ascii="Times" w:eastAsia="Times New Roman" w:hAnsi="Times" w:cs="Times"/>
          <w:sz w:val="20"/>
          <w:szCs w:val="20"/>
        </w:rPr>
      </w:pPr>
    </w:p>
    <w:p w:rsidR="00A936EC" w:rsidRDefault="00047006">
      <w:pPr>
        <w:divId w:val="458038962"/>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Extension of the Prohibition against Certain Flights in the Baghdad (ORBB) Flight Information Region (FIR)</w:t>
        </w:r>
      </w:hyperlink>
    </w:p>
    <w:p w:rsidR="00A936EC" w:rsidRDefault="00A936EC">
      <w:pPr>
        <w:rPr>
          <w:rFonts w:ascii="Times" w:eastAsia="Times New Roman" w:hAnsi="Times" w:cs="Times"/>
          <w:sz w:val="20"/>
          <w:szCs w:val="20"/>
        </w:rPr>
      </w:pPr>
    </w:p>
    <w:p w:rsidR="00A936EC" w:rsidRDefault="00047006">
      <w:pPr>
        <w:rPr>
          <w:rFonts w:ascii="Times" w:eastAsia="Times New Roman" w:hAnsi="Times" w:cs="Times"/>
        </w:rPr>
      </w:pPr>
      <w:r>
        <w:rPr>
          <w:rFonts w:ascii="Times" w:eastAsia="Times New Roman" w:hAnsi="Times" w:cs="Times"/>
          <w:b/>
          <w:bCs/>
        </w:rPr>
        <w:t>Federal Highway Administration</w:t>
      </w:r>
    </w:p>
    <w:p w:rsidR="00A936EC" w:rsidRDefault="00047006">
      <w:pPr>
        <w:divId w:val="856118280"/>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Pavement Markings</w:t>
        </w:r>
      </w:hyperlink>
    </w:p>
    <w:p w:rsidR="00A936EC" w:rsidRDefault="00A936EC">
      <w:pPr>
        <w:rPr>
          <w:rFonts w:ascii="Times" w:eastAsia="Times New Roman" w:hAnsi="Times" w:cs="Times"/>
          <w:sz w:val="20"/>
          <w:szCs w:val="20"/>
        </w:rPr>
      </w:pPr>
    </w:p>
    <w:p w:rsidR="00A936EC" w:rsidRDefault="00047006">
      <w:pPr>
        <w:divId w:val="1423211968"/>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Bridge Inspection Standards (MAP-21)</w:t>
        </w:r>
      </w:hyperlink>
    </w:p>
    <w:p w:rsidR="00A936EC" w:rsidRDefault="00A936EC">
      <w:pPr>
        <w:rPr>
          <w:rFonts w:ascii="Times" w:eastAsia="Times New Roman" w:hAnsi="Times" w:cs="Times"/>
          <w:sz w:val="20"/>
          <w:szCs w:val="20"/>
        </w:rPr>
      </w:pPr>
    </w:p>
    <w:p w:rsidR="00A936EC" w:rsidRDefault="00047006">
      <w:pPr>
        <w:divId w:val="1302999074"/>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Congestion Mitigation and Air Quality Improvement Program (MAP-21)</w:t>
        </w:r>
      </w:hyperlink>
    </w:p>
    <w:p w:rsidR="00A936EC" w:rsidRDefault="00A936EC">
      <w:pPr>
        <w:rPr>
          <w:rFonts w:ascii="Times" w:eastAsia="Times New Roman" w:hAnsi="Times" w:cs="Times"/>
          <w:sz w:val="20"/>
          <w:szCs w:val="20"/>
        </w:rPr>
      </w:pPr>
    </w:p>
    <w:p w:rsidR="00A936EC" w:rsidRDefault="00047006">
      <w:pPr>
        <w:divId w:val="63225038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Tribal Transportation Self-Governance Program</w:t>
        </w:r>
      </w:hyperlink>
    </w:p>
    <w:p w:rsidR="00A936EC" w:rsidRDefault="00A936EC">
      <w:pPr>
        <w:rPr>
          <w:rFonts w:ascii="Times" w:eastAsia="Times New Roman" w:hAnsi="Times" w:cs="Times"/>
          <w:sz w:val="20"/>
          <w:szCs w:val="20"/>
        </w:rPr>
      </w:pPr>
    </w:p>
    <w:p w:rsidR="00A936EC" w:rsidRDefault="00047006">
      <w:pPr>
        <w:divId w:val="486092640"/>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Covered Heavy-Duty Tow and Recovery Vehicles</w:t>
        </w:r>
      </w:hyperlink>
    </w:p>
    <w:p w:rsidR="00A936EC" w:rsidRDefault="00A936EC">
      <w:pPr>
        <w:rPr>
          <w:rFonts w:ascii="Times" w:eastAsia="Times New Roman" w:hAnsi="Times" w:cs="Times"/>
          <w:sz w:val="20"/>
          <w:szCs w:val="20"/>
        </w:rPr>
      </w:pPr>
    </w:p>
    <w:p w:rsidR="00A936EC" w:rsidRDefault="00047006">
      <w:pPr>
        <w:divId w:val="154103835"/>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Metropolitan Planning Organization Coordination and Planning Area Reform</w:t>
        </w:r>
      </w:hyperlink>
    </w:p>
    <w:p w:rsidR="00A936EC" w:rsidRDefault="00A936EC">
      <w:pPr>
        <w:rPr>
          <w:rFonts w:ascii="Times" w:eastAsia="Times New Roman" w:hAnsi="Times" w:cs="Times"/>
          <w:sz w:val="20"/>
          <w:szCs w:val="20"/>
        </w:rPr>
      </w:pPr>
    </w:p>
    <w:p w:rsidR="00A936EC" w:rsidRDefault="00047006">
      <w:pPr>
        <w:divId w:val="1416392208"/>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Performance Management Measures; Assessing Performance of the National Highway System, Freight Movement on the Interstate System, and Congestion Mitigation and Air Quality Improvement Program</w:t>
        </w:r>
      </w:hyperlink>
    </w:p>
    <w:p w:rsidR="00A936EC" w:rsidRDefault="00A936EC">
      <w:pPr>
        <w:rPr>
          <w:rFonts w:ascii="Times" w:eastAsia="Times New Roman" w:hAnsi="Times" w:cs="Times"/>
          <w:sz w:val="20"/>
          <w:szCs w:val="20"/>
        </w:rPr>
      </w:pPr>
    </w:p>
    <w:p w:rsidR="00A936EC" w:rsidRDefault="00047006">
      <w:pPr>
        <w:divId w:val="219512602"/>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Uniform Relocation Assistance and Real Property Acquisition for Federal and Federally-Assisted Programs</w:t>
        </w:r>
      </w:hyperlink>
    </w:p>
    <w:p w:rsidR="00A936EC" w:rsidRDefault="00A936EC">
      <w:pPr>
        <w:rPr>
          <w:rFonts w:ascii="Times" w:eastAsia="Times New Roman" w:hAnsi="Times" w:cs="Times"/>
          <w:sz w:val="20"/>
          <w:szCs w:val="20"/>
        </w:rPr>
      </w:pPr>
    </w:p>
    <w:p w:rsidR="00A936EC" w:rsidRDefault="00047006">
      <w:pPr>
        <w:rPr>
          <w:rFonts w:ascii="Times" w:eastAsia="Times New Roman" w:hAnsi="Times" w:cs="Times"/>
        </w:rPr>
      </w:pPr>
      <w:r>
        <w:rPr>
          <w:rFonts w:ascii="Times" w:eastAsia="Times New Roman" w:hAnsi="Times" w:cs="Times"/>
          <w:b/>
          <w:bCs/>
        </w:rPr>
        <w:t>Federal Motor Carrier Safety Administration</w:t>
      </w:r>
    </w:p>
    <w:p w:rsidR="00A936EC" w:rsidRDefault="00047006">
      <w:pPr>
        <w:divId w:val="616837066"/>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Application by Certain Mexico-Domiciled Motor Carriers to Operate Beyond U.S. Municipalities and Commercial Zones on the U.S.-Mexico Border</w:t>
        </w:r>
      </w:hyperlink>
    </w:p>
    <w:p w:rsidR="00A936EC" w:rsidRDefault="00A936EC">
      <w:pPr>
        <w:rPr>
          <w:rFonts w:ascii="Times" w:eastAsia="Times New Roman" w:hAnsi="Times" w:cs="Times"/>
          <w:sz w:val="20"/>
          <w:szCs w:val="20"/>
        </w:rPr>
      </w:pPr>
    </w:p>
    <w:p w:rsidR="00A936EC" w:rsidRDefault="00047006">
      <w:pPr>
        <w:divId w:val="1795758379"/>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Safety Monitoring System and Compliance Initiative for Mexico-Domiciled Motor Carriers Operating in the United States</w:t>
        </w:r>
      </w:hyperlink>
    </w:p>
    <w:p w:rsidR="00A936EC" w:rsidRDefault="00A936EC">
      <w:pPr>
        <w:rPr>
          <w:rFonts w:ascii="Times" w:eastAsia="Times New Roman" w:hAnsi="Times" w:cs="Times"/>
          <w:sz w:val="20"/>
          <w:szCs w:val="20"/>
        </w:rPr>
      </w:pPr>
    </w:p>
    <w:p w:rsidR="00A936EC" w:rsidRDefault="00047006">
      <w:pPr>
        <w:divId w:val="233703246"/>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Certification of Safety Auditors, Safety Investigators, and Safety Inspectors</w:t>
        </w:r>
      </w:hyperlink>
    </w:p>
    <w:p w:rsidR="00A936EC" w:rsidRDefault="00A936EC">
      <w:pPr>
        <w:rPr>
          <w:rFonts w:ascii="Times" w:eastAsia="Times New Roman" w:hAnsi="Times" w:cs="Times"/>
          <w:sz w:val="20"/>
          <w:szCs w:val="20"/>
        </w:rPr>
      </w:pPr>
    </w:p>
    <w:p w:rsidR="00A936EC" w:rsidRDefault="00047006">
      <w:pPr>
        <w:divId w:val="900754352"/>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Consumer Complaint Information</w:t>
        </w:r>
      </w:hyperlink>
    </w:p>
    <w:p w:rsidR="00A936EC" w:rsidRDefault="00A936EC">
      <w:pPr>
        <w:rPr>
          <w:rFonts w:ascii="Times" w:eastAsia="Times New Roman" w:hAnsi="Times" w:cs="Times"/>
          <w:sz w:val="20"/>
          <w:szCs w:val="20"/>
        </w:rPr>
      </w:pPr>
    </w:p>
    <w:p w:rsidR="00A936EC" w:rsidRDefault="00047006">
      <w:pPr>
        <w:divId w:val="168578492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New Entrant Safety Assurance Process: Implementation of Section 210(b) of the Motor Carrier Safety Improvement Act of 1999</w:t>
        </w:r>
      </w:hyperlink>
    </w:p>
    <w:p w:rsidR="00A936EC" w:rsidRDefault="00A936EC">
      <w:pPr>
        <w:rPr>
          <w:rFonts w:ascii="Times" w:eastAsia="Times New Roman" w:hAnsi="Times" w:cs="Times"/>
          <w:sz w:val="20"/>
          <w:szCs w:val="20"/>
        </w:rPr>
      </w:pPr>
    </w:p>
    <w:p w:rsidR="00A936EC" w:rsidRDefault="00047006">
      <w:pPr>
        <w:divId w:val="833569207"/>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MAP-21 Enhancements and Other Updates to the Unified Registration System</w:t>
        </w:r>
      </w:hyperlink>
    </w:p>
    <w:p w:rsidR="00A936EC" w:rsidRDefault="00A936EC">
      <w:pPr>
        <w:rPr>
          <w:rFonts w:ascii="Times" w:eastAsia="Times New Roman" w:hAnsi="Times" w:cs="Times"/>
          <w:sz w:val="20"/>
          <w:szCs w:val="20"/>
        </w:rPr>
      </w:pPr>
    </w:p>
    <w:p w:rsidR="00A936EC" w:rsidRDefault="00047006">
      <w:pPr>
        <w:divId w:val="55910155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Heavy Vehicle Speed Limiters</w:t>
        </w:r>
      </w:hyperlink>
    </w:p>
    <w:p w:rsidR="00A936EC" w:rsidRDefault="00A936EC">
      <w:pPr>
        <w:rPr>
          <w:rFonts w:ascii="Times" w:eastAsia="Times New Roman" w:hAnsi="Times" w:cs="Times"/>
          <w:sz w:val="20"/>
          <w:szCs w:val="20"/>
        </w:rPr>
      </w:pPr>
    </w:p>
    <w:p w:rsidR="00A936EC" w:rsidRDefault="00047006">
      <w:pPr>
        <w:divId w:val="1766535182"/>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Amendments to Motor Carrier Safety Assistance Program</w:t>
        </w:r>
      </w:hyperlink>
    </w:p>
    <w:p w:rsidR="00A936EC" w:rsidRDefault="00A936EC">
      <w:pPr>
        <w:rPr>
          <w:rFonts w:ascii="Times" w:eastAsia="Times New Roman" w:hAnsi="Times" w:cs="Times"/>
          <w:sz w:val="20"/>
          <w:szCs w:val="20"/>
        </w:rPr>
      </w:pPr>
    </w:p>
    <w:p w:rsidR="00A936EC" w:rsidRDefault="00047006">
      <w:pPr>
        <w:rPr>
          <w:rFonts w:ascii="Times" w:eastAsia="Times New Roman" w:hAnsi="Times" w:cs="Times"/>
        </w:rPr>
      </w:pPr>
      <w:r>
        <w:rPr>
          <w:rFonts w:ascii="Times" w:eastAsia="Times New Roman" w:hAnsi="Times" w:cs="Times"/>
          <w:b/>
          <w:bCs/>
        </w:rPr>
        <w:t>Federal Railroad Administration</w:t>
      </w:r>
    </w:p>
    <w:p w:rsidR="00A936EC" w:rsidRDefault="00047006">
      <w:pPr>
        <w:divId w:val="650256001"/>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Risk Reduction Program</w:t>
        </w:r>
      </w:hyperlink>
    </w:p>
    <w:p w:rsidR="00A936EC" w:rsidRDefault="00A936EC">
      <w:pPr>
        <w:rPr>
          <w:rFonts w:ascii="Times" w:eastAsia="Times New Roman" w:hAnsi="Times" w:cs="Times"/>
          <w:sz w:val="20"/>
          <w:szCs w:val="20"/>
        </w:rPr>
      </w:pPr>
    </w:p>
    <w:p w:rsidR="00A936EC" w:rsidRDefault="00047006">
      <w:pPr>
        <w:divId w:val="1133400494"/>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Emergency Escape Breathing Apparatus</w:t>
        </w:r>
      </w:hyperlink>
    </w:p>
    <w:p w:rsidR="00A936EC" w:rsidRDefault="00A936EC">
      <w:pPr>
        <w:rPr>
          <w:rFonts w:ascii="Times" w:eastAsia="Times New Roman" w:hAnsi="Times" w:cs="Times"/>
          <w:sz w:val="20"/>
          <w:szCs w:val="20"/>
        </w:rPr>
      </w:pPr>
    </w:p>
    <w:p w:rsidR="00A936EC" w:rsidRDefault="00047006">
      <w:pPr>
        <w:divId w:val="511528539"/>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High-Speed Intercity Passenger Rail (HSIPR) Program; Buy America Program Requirements</w:t>
        </w:r>
      </w:hyperlink>
    </w:p>
    <w:p w:rsidR="00A936EC" w:rsidRDefault="00A936EC">
      <w:pPr>
        <w:rPr>
          <w:rFonts w:ascii="Times" w:eastAsia="Times New Roman" w:hAnsi="Times" w:cs="Times"/>
          <w:sz w:val="20"/>
          <w:szCs w:val="20"/>
        </w:rPr>
      </w:pPr>
    </w:p>
    <w:p w:rsidR="00A936EC" w:rsidRDefault="00047006">
      <w:pPr>
        <w:divId w:val="50509541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Passenger Equipment Safety Standards Amendments</w:t>
        </w:r>
      </w:hyperlink>
    </w:p>
    <w:p w:rsidR="00A936EC" w:rsidRDefault="00A936EC">
      <w:pPr>
        <w:rPr>
          <w:rFonts w:ascii="Times" w:eastAsia="Times New Roman" w:hAnsi="Times" w:cs="Times"/>
          <w:sz w:val="20"/>
          <w:szCs w:val="20"/>
        </w:rPr>
      </w:pPr>
    </w:p>
    <w:p w:rsidR="00A936EC" w:rsidRDefault="00047006">
      <w:pPr>
        <w:divId w:val="1869491660"/>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Train Crew Staffing and Location</w:t>
        </w:r>
      </w:hyperlink>
    </w:p>
    <w:p w:rsidR="00A936EC" w:rsidRDefault="00A936EC">
      <w:pPr>
        <w:rPr>
          <w:rFonts w:ascii="Times" w:eastAsia="Times New Roman" w:hAnsi="Times" w:cs="Times"/>
          <w:sz w:val="20"/>
          <w:szCs w:val="20"/>
        </w:rPr>
      </w:pPr>
    </w:p>
    <w:p w:rsidR="00A936EC" w:rsidRDefault="00047006">
      <w:pPr>
        <w:divId w:val="1854952568"/>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Locomotive Recording Devices</w:t>
        </w:r>
      </w:hyperlink>
    </w:p>
    <w:p w:rsidR="00A936EC" w:rsidRDefault="00A936EC">
      <w:pPr>
        <w:rPr>
          <w:rFonts w:ascii="Times" w:eastAsia="Times New Roman" w:hAnsi="Times" w:cs="Times"/>
          <w:sz w:val="20"/>
          <w:szCs w:val="20"/>
        </w:rPr>
      </w:pPr>
    </w:p>
    <w:p w:rsidR="00A936EC" w:rsidRDefault="00047006">
      <w:pPr>
        <w:divId w:val="756710207"/>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Track Safety Standards; Improving Rail Integrity</w:t>
        </w:r>
      </w:hyperlink>
    </w:p>
    <w:p w:rsidR="00A936EC" w:rsidRDefault="00A936EC">
      <w:pPr>
        <w:rPr>
          <w:rFonts w:ascii="Times" w:eastAsia="Times New Roman" w:hAnsi="Times" w:cs="Times"/>
          <w:sz w:val="20"/>
          <w:szCs w:val="20"/>
        </w:rPr>
      </w:pPr>
    </w:p>
    <w:p w:rsidR="00A936EC" w:rsidRDefault="00047006">
      <w:pPr>
        <w:rPr>
          <w:rFonts w:ascii="Times" w:eastAsia="Times New Roman" w:hAnsi="Times" w:cs="Times"/>
        </w:rPr>
      </w:pPr>
      <w:r>
        <w:rPr>
          <w:rFonts w:ascii="Times" w:eastAsia="Times New Roman" w:hAnsi="Times" w:cs="Times"/>
          <w:b/>
          <w:bCs/>
        </w:rPr>
        <w:t>Federal Transit Administration</w:t>
      </w:r>
    </w:p>
    <w:p w:rsidR="00A936EC" w:rsidRDefault="00047006">
      <w:pPr>
        <w:divId w:val="148204153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Public Transportation Agency Safety Plans</w:t>
        </w:r>
      </w:hyperlink>
    </w:p>
    <w:p w:rsidR="00A936EC" w:rsidRDefault="00A936EC">
      <w:pPr>
        <w:rPr>
          <w:rFonts w:ascii="Times" w:eastAsia="Times New Roman" w:hAnsi="Times" w:cs="Times"/>
          <w:sz w:val="20"/>
          <w:szCs w:val="20"/>
        </w:rPr>
      </w:pPr>
    </w:p>
    <w:p w:rsidR="00A936EC" w:rsidRDefault="00047006">
      <w:pPr>
        <w:divId w:val="1060135207"/>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Protecting Transit Operators from the Risk of Assaults</w:t>
        </w:r>
      </w:hyperlink>
    </w:p>
    <w:p w:rsidR="00A936EC" w:rsidRDefault="00A936EC">
      <w:pPr>
        <w:rPr>
          <w:rFonts w:ascii="Times" w:eastAsia="Times New Roman" w:hAnsi="Times" w:cs="Times"/>
          <w:sz w:val="20"/>
          <w:szCs w:val="20"/>
        </w:rPr>
      </w:pPr>
    </w:p>
    <w:p w:rsidR="00A936EC" w:rsidRDefault="00047006">
      <w:pPr>
        <w:divId w:val="723406229"/>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Metropolitan Planning Organization Coordination and Planning Area Reform</w:t>
        </w:r>
      </w:hyperlink>
    </w:p>
    <w:p w:rsidR="00A936EC" w:rsidRDefault="00A936EC">
      <w:pPr>
        <w:rPr>
          <w:rFonts w:ascii="Times" w:eastAsia="Times New Roman" w:hAnsi="Times" w:cs="Times"/>
          <w:sz w:val="20"/>
          <w:szCs w:val="20"/>
        </w:rPr>
      </w:pPr>
    </w:p>
    <w:p w:rsidR="00A936EC" w:rsidRDefault="00047006">
      <w:pPr>
        <w:rPr>
          <w:rFonts w:ascii="Times" w:eastAsia="Times New Roman" w:hAnsi="Times" w:cs="Times"/>
        </w:rPr>
      </w:pPr>
      <w:r>
        <w:rPr>
          <w:rFonts w:ascii="Times" w:eastAsia="Times New Roman" w:hAnsi="Times" w:cs="Times"/>
          <w:b/>
          <w:bCs/>
        </w:rPr>
        <w:t>National Highway Traffic Safety Administration</w:t>
      </w:r>
    </w:p>
    <w:p w:rsidR="00A936EC" w:rsidRDefault="00047006">
      <w:pPr>
        <w:divId w:val="2043439518"/>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Tire Fuel Efficiency Consumer Information - Part 2</w:t>
        </w:r>
      </w:hyperlink>
    </w:p>
    <w:p w:rsidR="00A936EC" w:rsidRDefault="00A936EC">
      <w:pPr>
        <w:rPr>
          <w:rFonts w:ascii="Times" w:eastAsia="Times New Roman" w:hAnsi="Times" w:cs="Times"/>
          <w:sz w:val="20"/>
          <w:szCs w:val="20"/>
        </w:rPr>
      </w:pPr>
    </w:p>
    <w:p w:rsidR="00A936EC" w:rsidRDefault="00047006">
      <w:pPr>
        <w:divId w:val="32464467"/>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Mandatory Event Data Recorder Requirements</w:t>
        </w:r>
      </w:hyperlink>
    </w:p>
    <w:p w:rsidR="00A936EC" w:rsidRDefault="00A936EC">
      <w:pPr>
        <w:rPr>
          <w:rFonts w:ascii="Times" w:eastAsia="Times New Roman" w:hAnsi="Times" w:cs="Times"/>
          <w:sz w:val="20"/>
          <w:szCs w:val="20"/>
        </w:rPr>
      </w:pPr>
    </w:p>
    <w:p w:rsidR="00A936EC" w:rsidRDefault="00047006">
      <w:pPr>
        <w:divId w:val="1165511071"/>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Heavy Vehicle Speed Limiters</w:t>
        </w:r>
      </w:hyperlink>
    </w:p>
    <w:p w:rsidR="00A936EC" w:rsidRDefault="00A936EC">
      <w:pPr>
        <w:rPr>
          <w:rFonts w:ascii="Times" w:eastAsia="Times New Roman" w:hAnsi="Times" w:cs="Times"/>
          <w:sz w:val="20"/>
          <w:szCs w:val="20"/>
        </w:rPr>
      </w:pPr>
    </w:p>
    <w:p w:rsidR="00A936EC" w:rsidRDefault="00047006">
      <w:pPr>
        <w:divId w:val="91820613"/>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Sound for Hybrid and Electric Vehicles</w:t>
        </w:r>
      </w:hyperlink>
    </w:p>
    <w:p w:rsidR="00A936EC" w:rsidRDefault="00A936EC">
      <w:pPr>
        <w:rPr>
          <w:rFonts w:ascii="Times" w:eastAsia="Times New Roman" w:hAnsi="Times" w:cs="Times"/>
          <w:sz w:val="20"/>
          <w:szCs w:val="20"/>
        </w:rPr>
      </w:pPr>
    </w:p>
    <w:p w:rsidR="00A936EC" w:rsidRDefault="00047006">
      <w:pPr>
        <w:divId w:val="1967275470"/>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Establish Side Impact Performance Requirements for Child Restraint Systems (MAP-21)</w:t>
        </w:r>
      </w:hyperlink>
    </w:p>
    <w:p w:rsidR="00A936EC" w:rsidRDefault="00A936EC">
      <w:pPr>
        <w:rPr>
          <w:rFonts w:ascii="Times" w:eastAsia="Times New Roman" w:hAnsi="Times" w:cs="Times"/>
          <w:sz w:val="20"/>
          <w:szCs w:val="20"/>
        </w:rPr>
      </w:pPr>
    </w:p>
    <w:p w:rsidR="00A936EC" w:rsidRDefault="00047006">
      <w:pPr>
        <w:divId w:val="62149463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Motorcoach Rollover Structural Integrity (MAP-21)</w:t>
        </w:r>
      </w:hyperlink>
    </w:p>
    <w:p w:rsidR="00A936EC" w:rsidRDefault="00A936EC">
      <w:pPr>
        <w:rPr>
          <w:rFonts w:ascii="Times" w:eastAsia="Times New Roman" w:hAnsi="Times" w:cs="Times"/>
          <w:sz w:val="20"/>
          <w:szCs w:val="20"/>
        </w:rPr>
      </w:pPr>
    </w:p>
    <w:p w:rsidR="00A936EC" w:rsidRDefault="00047006">
      <w:pPr>
        <w:divId w:val="129714646"/>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FMVSS No. 218 and Enforcement Policy Concerning Novelty Helmets</w:t>
        </w:r>
      </w:hyperlink>
    </w:p>
    <w:p w:rsidR="00A936EC" w:rsidRDefault="00A936EC">
      <w:pPr>
        <w:rPr>
          <w:rFonts w:ascii="Times" w:eastAsia="Times New Roman" w:hAnsi="Times" w:cs="Times"/>
          <w:sz w:val="20"/>
          <w:szCs w:val="20"/>
        </w:rPr>
      </w:pPr>
    </w:p>
    <w:p w:rsidR="00A936EC" w:rsidRDefault="00047006">
      <w:pPr>
        <w:divId w:val="662776333"/>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Part 572 Q3s 3-year-old Side Impact Dummy (MAP-21)</w:t>
        </w:r>
      </w:hyperlink>
    </w:p>
    <w:p w:rsidR="00A936EC" w:rsidRDefault="00A936EC">
      <w:pPr>
        <w:rPr>
          <w:rFonts w:ascii="Times" w:eastAsia="Times New Roman" w:hAnsi="Times" w:cs="Times"/>
          <w:sz w:val="20"/>
          <w:szCs w:val="20"/>
        </w:rPr>
      </w:pPr>
    </w:p>
    <w:p w:rsidR="00A936EC" w:rsidRDefault="00047006">
      <w:pPr>
        <w:divId w:val="1147551525"/>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Consumer Information on Fuel Economy, Emissions, and Alternative Fuel Usage</w:t>
        </w:r>
      </w:hyperlink>
    </w:p>
    <w:p w:rsidR="00A936EC" w:rsidRDefault="00A936EC">
      <w:pPr>
        <w:rPr>
          <w:rFonts w:ascii="Times" w:eastAsia="Times New Roman" w:hAnsi="Times" w:cs="Times"/>
          <w:sz w:val="20"/>
          <w:szCs w:val="20"/>
        </w:rPr>
      </w:pPr>
    </w:p>
    <w:p w:rsidR="00A936EC" w:rsidRDefault="00047006">
      <w:pPr>
        <w:divId w:val="291058430"/>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Amend Definition of 3-Wheeled Vehicles</w:t>
        </w:r>
      </w:hyperlink>
    </w:p>
    <w:p w:rsidR="00A936EC" w:rsidRDefault="00A936EC">
      <w:pPr>
        <w:rPr>
          <w:rFonts w:ascii="Times" w:eastAsia="Times New Roman" w:hAnsi="Times" w:cs="Times"/>
          <w:sz w:val="20"/>
          <w:szCs w:val="20"/>
        </w:rPr>
      </w:pPr>
    </w:p>
    <w:p w:rsidR="00A936EC" w:rsidRDefault="00047006">
      <w:pPr>
        <w:divId w:val="1244223288"/>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Upgrade of LATCH Usability Requirements (MAP-21)</w:t>
        </w:r>
      </w:hyperlink>
    </w:p>
    <w:p w:rsidR="00A936EC" w:rsidRDefault="00A936EC">
      <w:pPr>
        <w:rPr>
          <w:rFonts w:ascii="Times" w:eastAsia="Times New Roman" w:hAnsi="Times" w:cs="Times"/>
          <w:sz w:val="20"/>
          <w:szCs w:val="20"/>
        </w:rPr>
      </w:pPr>
    </w:p>
    <w:p w:rsidR="00A936EC" w:rsidRDefault="00047006">
      <w:pPr>
        <w:divId w:val="353120965"/>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Upgrade FMVSS No. 213 for Improved Child Occupant Protection</w:t>
        </w:r>
      </w:hyperlink>
    </w:p>
    <w:p w:rsidR="00A936EC" w:rsidRDefault="00A936EC">
      <w:pPr>
        <w:rPr>
          <w:rFonts w:ascii="Times" w:eastAsia="Times New Roman" w:hAnsi="Times" w:cs="Times"/>
          <w:sz w:val="20"/>
          <w:szCs w:val="20"/>
        </w:rPr>
      </w:pPr>
    </w:p>
    <w:p w:rsidR="00A936EC" w:rsidRDefault="00047006">
      <w:pPr>
        <w:divId w:val="131275257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Rear Seat Belt Reminder System</w:t>
        </w:r>
      </w:hyperlink>
    </w:p>
    <w:p w:rsidR="00A936EC" w:rsidRDefault="00A936EC">
      <w:pPr>
        <w:rPr>
          <w:rFonts w:ascii="Times" w:eastAsia="Times New Roman" w:hAnsi="Times" w:cs="Times"/>
          <w:sz w:val="20"/>
          <w:szCs w:val="20"/>
        </w:rPr>
      </w:pPr>
    </w:p>
    <w:p w:rsidR="00A936EC" w:rsidRDefault="00047006">
      <w:pPr>
        <w:divId w:val="1296835866"/>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Federal Motor Vehicle Safety Standard (FMVSS) 150 - Vehicle to Vehicle (V2V) Communication</w:t>
        </w:r>
      </w:hyperlink>
    </w:p>
    <w:p w:rsidR="00A936EC" w:rsidRDefault="00A936EC">
      <w:pPr>
        <w:rPr>
          <w:rFonts w:ascii="Times" w:eastAsia="Times New Roman" w:hAnsi="Times" w:cs="Times"/>
          <w:sz w:val="20"/>
          <w:szCs w:val="20"/>
        </w:rPr>
      </w:pPr>
    </w:p>
    <w:p w:rsidR="00A936EC" w:rsidRDefault="00047006">
      <w:pPr>
        <w:divId w:val="1983538299"/>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Retroreflective Tape for Single Unit Trucks</w:t>
        </w:r>
      </w:hyperlink>
    </w:p>
    <w:p w:rsidR="00A936EC" w:rsidRDefault="00A936EC">
      <w:pPr>
        <w:rPr>
          <w:rFonts w:ascii="Times" w:eastAsia="Times New Roman" w:hAnsi="Times" w:cs="Times"/>
          <w:sz w:val="20"/>
          <w:szCs w:val="20"/>
        </w:rPr>
      </w:pPr>
    </w:p>
    <w:p w:rsidR="00A936EC" w:rsidRDefault="00047006">
      <w:pPr>
        <w:divId w:val="1930892280"/>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Requirements for Importing Motor Vehicles and Motor Vehicle Equipment</w:t>
        </w:r>
      </w:hyperlink>
    </w:p>
    <w:p w:rsidR="00A936EC" w:rsidRDefault="00A936EC">
      <w:pPr>
        <w:rPr>
          <w:rFonts w:ascii="Times" w:eastAsia="Times New Roman" w:hAnsi="Times" w:cs="Times"/>
          <w:sz w:val="20"/>
          <w:szCs w:val="20"/>
        </w:rPr>
      </w:pPr>
    </w:p>
    <w:p w:rsidR="00A936EC" w:rsidRDefault="00047006">
      <w:pPr>
        <w:divId w:val="249433859"/>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49 CFR Part 577 Defect and Noncompliance Notification</w:t>
        </w:r>
      </w:hyperlink>
    </w:p>
    <w:p w:rsidR="00A936EC" w:rsidRDefault="00A936EC">
      <w:pPr>
        <w:rPr>
          <w:rFonts w:ascii="Times" w:eastAsia="Times New Roman" w:hAnsi="Times" w:cs="Times"/>
          <w:sz w:val="20"/>
          <w:szCs w:val="20"/>
        </w:rPr>
      </w:pPr>
    </w:p>
    <w:p w:rsidR="00A936EC" w:rsidRDefault="00047006">
      <w:pPr>
        <w:divId w:val="2043625507"/>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Passenger Car and Light Truck Corporate Average Fuel Economy Standards MYs 2022-2025</w:t>
        </w:r>
      </w:hyperlink>
    </w:p>
    <w:p w:rsidR="00A936EC" w:rsidRDefault="00A936EC">
      <w:pPr>
        <w:rPr>
          <w:rFonts w:ascii="Times" w:eastAsia="Times New Roman" w:hAnsi="Times" w:cs="Times"/>
          <w:sz w:val="20"/>
          <w:szCs w:val="20"/>
        </w:rPr>
      </w:pPr>
    </w:p>
    <w:p w:rsidR="00A936EC" w:rsidRDefault="00047006">
      <w:pPr>
        <w:divId w:val="513693536"/>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Revised Regulations for Implementing the 911 Grant Program</w:t>
        </w:r>
      </w:hyperlink>
    </w:p>
    <w:p w:rsidR="00A936EC" w:rsidRDefault="00A936EC">
      <w:pPr>
        <w:rPr>
          <w:rFonts w:ascii="Times" w:eastAsia="Times New Roman" w:hAnsi="Times" w:cs="Times"/>
          <w:sz w:val="20"/>
          <w:szCs w:val="20"/>
        </w:rPr>
      </w:pPr>
    </w:p>
    <w:p w:rsidR="00A936EC" w:rsidRDefault="00047006">
      <w:pPr>
        <w:divId w:val="794904960"/>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Removing Unnecessary Regulatory Barriers to Automated Safety Technologies</w:t>
        </w:r>
      </w:hyperlink>
    </w:p>
    <w:p w:rsidR="00A936EC" w:rsidRDefault="00A936EC">
      <w:pPr>
        <w:rPr>
          <w:rFonts w:ascii="Times" w:eastAsia="Times New Roman" w:hAnsi="Times" w:cs="Times"/>
          <w:sz w:val="20"/>
          <w:szCs w:val="20"/>
        </w:rPr>
      </w:pPr>
    </w:p>
    <w:p w:rsidR="00A936EC" w:rsidRDefault="00047006">
      <w:pPr>
        <w:rPr>
          <w:rFonts w:ascii="Times" w:eastAsia="Times New Roman" w:hAnsi="Times" w:cs="Times"/>
        </w:rPr>
      </w:pPr>
      <w:r>
        <w:rPr>
          <w:rFonts w:ascii="Times" w:eastAsia="Times New Roman" w:hAnsi="Times" w:cs="Times"/>
          <w:b/>
          <w:bCs/>
        </w:rPr>
        <w:t>Office of the Secretary</w:t>
      </w:r>
    </w:p>
    <w:p w:rsidR="00A936EC" w:rsidRDefault="00047006">
      <w:pPr>
        <w:divId w:val="1332292390"/>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Carrier-Supplied Medical Oxygen, Service Request Reporting, and Seating Accommodations with Extra Legroom</w:t>
        </w:r>
      </w:hyperlink>
    </w:p>
    <w:p w:rsidR="00A936EC" w:rsidRDefault="00A936EC">
      <w:pPr>
        <w:rPr>
          <w:rFonts w:ascii="Times" w:eastAsia="Times New Roman" w:hAnsi="Times" w:cs="Times"/>
          <w:sz w:val="20"/>
          <w:szCs w:val="20"/>
        </w:rPr>
      </w:pPr>
    </w:p>
    <w:p w:rsidR="00A936EC" w:rsidRDefault="00047006">
      <w:pPr>
        <w:divId w:val="1430656648"/>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Use of Mobile Wireless Devices for Voice Calls on Aircraft</w:t>
        </w:r>
      </w:hyperlink>
    </w:p>
    <w:p w:rsidR="00A936EC" w:rsidRDefault="00A936EC">
      <w:pPr>
        <w:rPr>
          <w:rFonts w:ascii="Times" w:eastAsia="Times New Roman" w:hAnsi="Times" w:cs="Times"/>
          <w:sz w:val="20"/>
          <w:szCs w:val="20"/>
        </w:rPr>
      </w:pPr>
    </w:p>
    <w:p w:rsidR="00A936EC" w:rsidRDefault="00047006">
      <w:pPr>
        <w:divId w:val="2076781137"/>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Reporting Ancillary Airline Passenger Revenues</w:t>
        </w:r>
      </w:hyperlink>
    </w:p>
    <w:p w:rsidR="00A936EC" w:rsidRDefault="00A936EC">
      <w:pPr>
        <w:rPr>
          <w:rFonts w:ascii="Times" w:eastAsia="Times New Roman" w:hAnsi="Times" w:cs="Times"/>
          <w:sz w:val="20"/>
          <w:szCs w:val="20"/>
        </w:rPr>
      </w:pPr>
    </w:p>
    <w:p w:rsidR="00A936EC" w:rsidRDefault="00047006">
      <w:pPr>
        <w:divId w:val="1730036106"/>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Accessible In-Flight Entertainment and Accessible Lavatories on Single-Aisle Aircraft</w:t>
        </w:r>
      </w:hyperlink>
    </w:p>
    <w:p w:rsidR="00A936EC" w:rsidRDefault="00A936EC">
      <w:pPr>
        <w:rPr>
          <w:rFonts w:ascii="Times" w:eastAsia="Times New Roman" w:hAnsi="Times" w:cs="Times"/>
          <w:sz w:val="20"/>
          <w:szCs w:val="20"/>
        </w:rPr>
      </w:pPr>
    </w:p>
    <w:p w:rsidR="00A936EC" w:rsidRDefault="00047006">
      <w:pPr>
        <w:divId w:val="1745490506"/>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Geographic-Based Hiring Preferences in Administering Federal Awards</w:t>
        </w:r>
      </w:hyperlink>
    </w:p>
    <w:p w:rsidR="00A936EC" w:rsidRDefault="00A936EC">
      <w:pPr>
        <w:rPr>
          <w:rFonts w:ascii="Times" w:eastAsia="Times New Roman" w:hAnsi="Times" w:cs="Times"/>
          <w:sz w:val="20"/>
          <w:szCs w:val="20"/>
        </w:rPr>
      </w:pPr>
    </w:p>
    <w:p w:rsidR="00A936EC" w:rsidRDefault="00047006">
      <w:pPr>
        <w:divId w:val="602222905"/>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Transparency of Airline Ancillary Service Fees</w:t>
        </w:r>
      </w:hyperlink>
    </w:p>
    <w:p w:rsidR="00A936EC" w:rsidRDefault="00A936EC">
      <w:pPr>
        <w:rPr>
          <w:rFonts w:ascii="Times" w:eastAsia="Times New Roman" w:hAnsi="Times" w:cs="Times"/>
          <w:sz w:val="20"/>
          <w:szCs w:val="20"/>
        </w:rPr>
      </w:pPr>
    </w:p>
    <w:p w:rsidR="00A936EC" w:rsidRDefault="00047006">
      <w:pPr>
        <w:divId w:val="2091930095"/>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Air Transportation Consumer Protection Requirements for Ticket Agents</w:t>
        </w:r>
      </w:hyperlink>
    </w:p>
    <w:p w:rsidR="00A936EC" w:rsidRDefault="00A936EC">
      <w:pPr>
        <w:rPr>
          <w:rFonts w:ascii="Times" w:eastAsia="Times New Roman" w:hAnsi="Times" w:cs="Times"/>
          <w:sz w:val="20"/>
          <w:szCs w:val="20"/>
        </w:rPr>
      </w:pPr>
    </w:p>
    <w:p w:rsidR="00A936EC" w:rsidRDefault="00047006">
      <w:pPr>
        <w:divId w:val="1498038619"/>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Traveling by Air with Service Animals</w:t>
        </w:r>
      </w:hyperlink>
    </w:p>
    <w:p w:rsidR="00A936EC" w:rsidRDefault="00A936EC">
      <w:pPr>
        <w:rPr>
          <w:rFonts w:ascii="Times" w:eastAsia="Times New Roman" w:hAnsi="Times" w:cs="Times"/>
          <w:sz w:val="20"/>
          <w:szCs w:val="20"/>
        </w:rPr>
      </w:pPr>
    </w:p>
    <w:p w:rsidR="00A936EC" w:rsidRDefault="00047006">
      <w:pPr>
        <w:rPr>
          <w:rFonts w:ascii="Times" w:eastAsia="Times New Roman" w:hAnsi="Times" w:cs="Times"/>
        </w:rPr>
      </w:pPr>
      <w:r>
        <w:rPr>
          <w:rFonts w:ascii="Times" w:eastAsia="Times New Roman" w:hAnsi="Times" w:cs="Times"/>
          <w:b/>
          <w:bCs/>
        </w:rPr>
        <w:t>Pipeline and Hazardous Materials Safety Administration</w:t>
      </w:r>
    </w:p>
    <w:p w:rsidR="00A936EC" w:rsidRDefault="00047006">
      <w:pPr>
        <w:divId w:val="1547137828"/>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Pipeline Safety: Safety of Hazardous Liquid Pipelines</w:t>
        </w:r>
      </w:hyperlink>
    </w:p>
    <w:p w:rsidR="00A936EC" w:rsidRDefault="00A936EC">
      <w:pPr>
        <w:rPr>
          <w:rFonts w:ascii="Times" w:eastAsia="Times New Roman" w:hAnsi="Times" w:cs="Times"/>
          <w:sz w:val="20"/>
          <w:szCs w:val="20"/>
        </w:rPr>
      </w:pPr>
    </w:p>
    <w:p w:rsidR="00A936EC" w:rsidRDefault="00047006">
      <w:pPr>
        <w:divId w:val="1728525637"/>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Pipeline Safety: Gas Transmission</w:t>
        </w:r>
      </w:hyperlink>
    </w:p>
    <w:p w:rsidR="00A936EC" w:rsidRDefault="00A936EC">
      <w:pPr>
        <w:rPr>
          <w:rFonts w:ascii="Times" w:eastAsia="Times New Roman" w:hAnsi="Times" w:cs="Times"/>
          <w:sz w:val="20"/>
          <w:szCs w:val="20"/>
        </w:rPr>
      </w:pPr>
    </w:p>
    <w:p w:rsidR="00A936EC" w:rsidRDefault="00047006">
      <w:pPr>
        <w:divId w:val="906067703"/>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Pipeline Safety: Issues related to the use of Plastic Pipe in Gas Pipeline Industry (RRR)</w:t>
        </w:r>
      </w:hyperlink>
    </w:p>
    <w:p w:rsidR="00A936EC" w:rsidRDefault="00A936EC">
      <w:pPr>
        <w:rPr>
          <w:rFonts w:ascii="Times" w:eastAsia="Times New Roman" w:hAnsi="Times" w:cs="Times"/>
          <w:sz w:val="20"/>
          <w:szCs w:val="20"/>
        </w:rPr>
      </w:pPr>
    </w:p>
    <w:p w:rsidR="00A936EC" w:rsidRDefault="00047006">
      <w:pPr>
        <w:divId w:val="1888905896"/>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Hazardous Materials: Oil Spill Response Plans and Information Sharing for High-Hazard Flammable Trains</w:t>
        </w:r>
      </w:hyperlink>
    </w:p>
    <w:p w:rsidR="00A936EC" w:rsidRDefault="00A936EC">
      <w:pPr>
        <w:rPr>
          <w:rFonts w:ascii="Times" w:eastAsia="Times New Roman" w:hAnsi="Times" w:cs="Times"/>
          <w:sz w:val="20"/>
          <w:szCs w:val="20"/>
        </w:rPr>
      </w:pPr>
    </w:p>
    <w:p w:rsidR="00A936EC" w:rsidRDefault="00047006">
      <w:pPr>
        <w:divId w:val="1474710701"/>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Hazardous Materials: Enhanced Safety Provisions for Lithium Batteries Transported by Aircraft</w:t>
        </w:r>
      </w:hyperlink>
    </w:p>
    <w:p w:rsidR="00A936EC" w:rsidRDefault="00A936EC">
      <w:pPr>
        <w:rPr>
          <w:rFonts w:ascii="Times" w:eastAsia="Times New Roman" w:hAnsi="Times" w:cs="Times"/>
          <w:sz w:val="20"/>
          <w:szCs w:val="20"/>
        </w:rPr>
      </w:pPr>
    </w:p>
    <w:p w:rsidR="00A936EC" w:rsidRDefault="00047006">
      <w:pPr>
        <w:divId w:val="840048444"/>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Hazardous Materials: Vapor Pressure of Unrefined Petroleum Products and Class 3 Materials</w:t>
        </w:r>
      </w:hyperlink>
    </w:p>
    <w:p w:rsidR="00A936EC" w:rsidRDefault="00A936EC">
      <w:pPr>
        <w:rPr>
          <w:rFonts w:ascii="Times" w:eastAsia="Times New Roman" w:hAnsi="Times" w:cs="Times"/>
          <w:sz w:val="20"/>
          <w:szCs w:val="20"/>
        </w:rPr>
      </w:pPr>
    </w:p>
    <w:p w:rsidR="00A936EC" w:rsidRDefault="00047006">
      <w:pPr>
        <w:divId w:val="1327367158"/>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Pipeline Safety: Class Location Requirements</w:t>
        </w:r>
      </w:hyperlink>
    </w:p>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A936EC">
        <w:trPr>
          <w:tblCellSpacing w:w="24" w:type="dxa"/>
        </w:trPr>
        <w:tc>
          <w:tcPr>
            <w:tcW w:w="0" w:type="auto"/>
            <w:gridSpan w:val="2"/>
            <w:vAlign w:val="center"/>
            <w:hideMark/>
          </w:tcPr>
          <w:p w:rsidR="00A936EC" w:rsidRDefault="008932CE">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2120-AJ38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SNPRM Publication: 07/14/2016; End of SNPRM Comment Period 09/12/2016.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12/08/2017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2120-AJ69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2120-AJ78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2120-AJ87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09/21/2016;Publication Date 10/07/2016;End of Comment Period 01/05/2017.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2120-AJ99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A936E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Green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2120-AK22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06/07/2018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Transport Airplane Fuel Tank and System Lightning Protection</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Fuel Tank &amp; System Lightning</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2120-AK24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12/18/2015; Close of comment period 03/18/2015. NPRM: Publication Approved 12/09/2014;Publication Date 12/18/2014;End of Comment Period 03/18/2015.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certain airworthiness regulations for transport category airplanes regarding lightning protection of fuel tanks and systems by establishing design requirements for both normal conditions and possible failures of fuel tank structure and systems that could lead to fuel tank explosions, adding new maintenance requirements related to lightning protection features, and imposing specific requirements for airworthiness limitations in the instructions for continued airworthiness. It would also create performance-based standards for prevention of catastrophic fuel vapor ignition caused by lightning by regulating the risk due to both ignition sources and fuel tank flammability. This change would allow designers to take advantage of flammability reduction technologies whose effectiveness was not foreseen when earlier revisions to these rules were written. This change would also relieve some of the administrative burdens created by the current regulations.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07/18/2016</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FAA-2014-1027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2120-AK26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2120-AK31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A936E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Green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2120-AK33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2120-AK37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04/16/2018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2120-AK39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2120-AK57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2120-AK77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08/09/2018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2120-AK81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more-closely align with the U.S. Government Orbital Debris Mitigation Standard Practices, and would update current launch collision avoidance regulations to match U.S. Strategic Command (USSTRATCOM) practice.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2120-AK82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406A99"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10/13</w:t>
                  </w:r>
                  <w:r w:rsidR="00047006">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r w:rsidR="00406A99">
                    <w:rPr>
                      <w:rFonts w:ascii="Times" w:eastAsia="Times New Roman" w:hAnsi="Times" w:cs="Times"/>
                      <w:sz w:val="20"/>
                      <w:szCs w:val="20"/>
                    </w:rPr>
                    <w:t>10/16/2017</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406A99"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12/28</w:t>
                  </w:r>
                  <w:r w:rsidR="00047006">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406A99"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02/28</w:t>
                  </w:r>
                  <w:r w:rsidR="0004700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406A99"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03/13</w:t>
                  </w:r>
                  <w:r w:rsidR="0004700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2120-AK85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2120-AL01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NPRM: Publication Approved ;Publication Date ;End of Comment Period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Baghdad (ORBB)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ORBB FIR</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2120-AL06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Final Rule: Publication Approved ;Publication Date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in the Baghdad (ORBB) Flight Information Region (FIR) by all United States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extension of the expiration date is necessary due to continued hazards to persons and aircraft engaged in such flight operations. This Special Federal Aviation Regulation (SFAR) will now remain in effect until May 11, 2019.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02/16/2017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FAA-2003-14766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03/08/2017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0" w:name="20"/>
            <w:r>
              <w:rPr>
                <w:rFonts w:ascii="Times" w:eastAsia="Times New Roman" w:hAnsi="Times" w:cs="Times"/>
                <w:b/>
                <w:bCs/>
                <w:sz w:val="20"/>
                <w:szCs w:val="20"/>
              </w:rPr>
              <w:lastRenderedPageBreak/>
              <w:t>Federal Highway Administration</w:t>
            </w:r>
          </w:p>
        </w:tc>
      </w:tr>
      <w:tr w:rsidR="00A936EC">
        <w:trPr>
          <w:tblCellSpacing w:w="24" w:type="dxa"/>
        </w:trPr>
        <w:tc>
          <w:tcPr>
            <w:tcW w:w="0" w:type="auto"/>
            <w:gridSpan w:val="2"/>
            <w:vAlign w:val="center"/>
            <w:hideMark/>
          </w:tcPr>
          <w:p w:rsidR="00A936EC" w:rsidRDefault="008932CE">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0"/>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2125-AF34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10/29/2014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05/04/2017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Highway Administration</w:t>
            </w:r>
            <w:bookmarkEnd w:id="21"/>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A936E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Green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2125-AF55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04/16/2018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2125-AF63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 Final Rule: Publication Approved ;Publication Date ;Effective Date . Withdrawal: Publication Date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 The FHWA intends to withdraw this rulemaking because it has been implementing this program since MAP-21 using the weighted population value of 1.2 without issue, and because the proposed rule stage did not indicate that any other alternative was necessary or preferable.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2125-AF70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1121 of the FAST Act requires "proposed regulations . . . shall be published by the Secretary not later than 21 months after such date of enactment." : 09/04/2017</w:t>
                  </w:r>
                  <w:r>
                    <w:rPr>
                      <w:rFonts w:ascii="Times" w:eastAsia="Times New Roman" w:hAnsi="Times" w:cs="Times"/>
                      <w:sz w:val="20"/>
                      <w:szCs w:val="20"/>
                    </w:rPr>
                    <w:br/>
                    <w:t>Section 1121 of the FAST Act provides that "the authority to promulgate regulations . . . shall expire 30 months after such date of enactment." : 06/04/2018</w:t>
                  </w:r>
                  <w:r>
                    <w:rPr>
                      <w:rFonts w:ascii="Times" w:eastAsia="Times New Roman" w:hAnsi="Times" w:cs="Times"/>
                      <w:sz w:val="20"/>
                      <w:szCs w:val="20"/>
                    </w:rPr>
                    <w:br/>
                    <w:t>Section 1121 of the FAST Act allows a 180 day extension of the NPRM deadline if the negotiated rulemaking committee concludes that it cannot meet the deadline and the Secretary so notifies the appropriate committees of Congress. : 03/03/2018</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Covered Heavy-Duty Tow and Recovery Vehicles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Heavy-Duty Tows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2125-AF74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vehicles and vehicle configurations with gross weights over a quantified limit would be limited from unsafe use of bridges and tunnels with inadequate structural capacity, while still providing reasonable access to the Interstate Highway System, to ensure the safety of the traveling public. It would update FHWA's Truck Size and Weight, Route Designations - Length, Width and Weight Limitations in response to Section 1410 of the FAST Act, which added a number of new vehicle exemptions for Interstate weight limits to 23 U.S.C. 127, including an exemption for the operation of Covered Heavy-Duty Tow and Recovery Vehicles.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08/09/2016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Metropolitan Planning Organization Coordination and Planning Area Reform</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 Revision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2125-AF75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transportation planning regulations by removing the provisions requiring that boundaries of metropolitan planning areas (MPA) include an urbanized area in its entirety and include the contiguous area expected to become urbanized within a 20-year forecast period for the metropolitan transportation plan. This rulemaking would also remove requirements for metropolitan planning organizations (MPO) to merge, create unified transportation planning products, or petition the Secretary for an exemption when there is more than one MPO in an MPA. These provisions were repealed by statute on May 12, 2017 (P.L. 115-33, 131 Stat. 845. This rulemaking would remove the language from the CFR. This repeal would result in cost savings and reduce burdens for regulatory compliance.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03/10/2017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National Performance Management Measures; Assessing Performance of the National Highway System, Freight Movement on the Interstate System, and Congestion Mitigation and Air Quality Improvement Program</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GHG Measure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2125-AF76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10/5/17; End of C/P: 11/6/17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additional comment on one of the measures established in the Transportation Performance Management regulations to assess the performance of the NHS under the NHPP is Percent Change in Tailpipe CO 2 Emissions on the NHS from the Calendar Year 2017 (also referred to as the GHG measure). This measure is calculated using data on fuel use and VMT. This rulemaking provides additional opportunity for comment. Additional information will aid FHWA in determining whether the measure should be retained, revised, or repealed.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05/12/2017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FHWA-2017-0025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Act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2125-AF79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09/25/2017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8" w:name="28"/>
            <w:r>
              <w:rPr>
                <w:rFonts w:ascii="Times" w:eastAsia="Times New Roman" w:hAnsi="Times" w:cs="Times"/>
                <w:b/>
                <w:bCs/>
                <w:sz w:val="20"/>
                <w:szCs w:val="20"/>
              </w:rPr>
              <w:lastRenderedPageBreak/>
              <w:t>Federal Motor Carrier Safety Administration</w:t>
            </w:r>
          </w:p>
        </w:tc>
      </w:tr>
      <w:tr w:rsidR="00A936EC">
        <w:trPr>
          <w:tblCellSpacing w:w="24" w:type="dxa"/>
        </w:trPr>
        <w:tc>
          <w:tcPr>
            <w:tcW w:w="0" w:type="auto"/>
            <w:gridSpan w:val="2"/>
            <w:vAlign w:val="center"/>
            <w:hideMark/>
          </w:tcPr>
          <w:p w:rsidR="00A936EC" w:rsidRDefault="008932CE">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8"/>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2126-AA34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Motor Carrier Safety Administration</w:t>
            </w:r>
            <w:bookmarkEnd w:id="29"/>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2126-AA35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Motor Carrier Safety Administration</w:t>
            </w:r>
            <w:bookmarkEnd w:id="30"/>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2126-AA64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Approved ;Publication Date ;End of Comment Period . Undetermined: Publication Approved ;Publication Date ;End of Comment Period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835F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835F3" w:rsidRDefault="001835F3"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To OST</w:t>
                  </w:r>
                </w:p>
              </w:tc>
              <w:tc>
                <w:tcPr>
                  <w:tcW w:w="1500" w:type="dxa"/>
                  <w:tcBorders>
                    <w:top w:val="outset" w:sz="6" w:space="0" w:color="auto"/>
                    <w:left w:val="outset" w:sz="6" w:space="0" w:color="auto"/>
                    <w:bottom w:val="outset" w:sz="6" w:space="0" w:color="auto"/>
                    <w:right w:val="outset" w:sz="6" w:space="0" w:color="auto"/>
                  </w:tcBorders>
                </w:tcPr>
                <w:p w:rsidR="001835F3" w:rsidRDefault="001835F3" w:rsidP="008932CE">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1835F3" w:rsidRDefault="001835F3"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02/05/2018</w:t>
                  </w:r>
                </w:p>
              </w:tc>
              <w:tc>
                <w:tcPr>
                  <w:tcW w:w="1500" w:type="dxa"/>
                  <w:tcBorders>
                    <w:top w:val="outset" w:sz="6" w:space="0" w:color="auto"/>
                    <w:left w:val="outset" w:sz="6" w:space="0" w:color="auto"/>
                    <w:bottom w:val="outset" w:sz="6" w:space="0" w:color="auto"/>
                    <w:right w:val="outset" w:sz="6" w:space="0" w:color="auto"/>
                  </w:tcBorders>
                </w:tcPr>
                <w:p w:rsidR="001835F3" w:rsidRDefault="001835F3" w:rsidP="008932CE">
                  <w:pPr>
                    <w:framePr w:hSpace="36" w:wrap="around" w:vAnchor="text" w:hAnchor="text"/>
                    <w:rPr>
                      <w:rFonts w:ascii="Times" w:eastAsia="Times New Roman" w:hAnsi="Times" w:cs="Times"/>
                      <w:sz w:val="20"/>
                      <w:szCs w:val="20"/>
                    </w:rPr>
                  </w:pPr>
                </w:p>
              </w:tc>
            </w:tr>
            <w:tr w:rsidR="001835F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835F3" w:rsidRDefault="001835F3"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500" w:type="dxa"/>
                  <w:tcBorders>
                    <w:top w:val="outset" w:sz="6" w:space="0" w:color="auto"/>
                    <w:left w:val="outset" w:sz="6" w:space="0" w:color="auto"/>
                    <w:bottom w:val="outset" w:sz="6" w:space="0" w:color="auto"/>
                    <w:right w:val="outset" w:sz="6" w:space="0" w:color="auto"/>
                  </w:tcBorders>
                </w:tcPr>
                <w:p w:rsidR="001835F3" w:rsidRDefault="001835F3" w:rsidP="008932CE">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1835F3" w:rsidRDefault="001835F3"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06/16/2018</w:t>
                  </w:r>
                </w:p>
              </w:tc>
              <w:tc>
                <w:tcPr>
                  <w:tcW w:w="1500" w:type="dxa"/>
                  <w:tcBorders>
                    <w:top w:val="outset" w:sz="6" w:space="0" w:color="auto"/>
                    <w:left w:val="outset" w:sz="6" w:space="0" w:color="auto"/>
                    <w:bottom w:val="outset" w:sz="6" w:space="0" w:color="auto"/>
                    <w:right w:val="outset" w:sz="6" w:space="0" w:color="auto"/>
                  </w:tcBorders>
                </w:tcPr>
                <w:p w:rsidR="001835F3" w:rsidRDefault="001835F3" w:rsidP="008932CE">
                  <w:pPr>
                    <w:framePr w:hSpace="36" w:wrap="around" w:vAnchor="text" w:hAnchor="text"/>
                    <w:rPr>
                      <w:rFonts w:ascii="Times" w:eastAsia="Times New Roman" w:hAnsi="Times" w:cs="Times"/>
                      <w:sz w:val="20"/>
                      <w:szCs w:val="20"/>
                    </w:rPr>
                  </w:pPr>
                </w:p>
              </w:tc>
            </w:tr>
            <w:tr w:rsidR="001835F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835F3" w:rsidRDefault="001835F3"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500" w:type="dxa"/>
                  <w:tcBorders>
                    <w:top w:val="outset" w:sz="6" w:space="0" w:color="auto"/>
                    <w:left w:val="outset" w:sz="6" w:space="0" w:color="auto"/>
                    <w:bottom w:val="outset" w:sz="6" w:space="0" w:color="auto"/>
                    <w:right w:val="outset" w:sz="6" w:space="0" w:color="auto"/>
                  </w:tcBorders>
                </w:tcPr>
                <w:p w:rsidR="001835F3" w:rsidRDefault="001835F3" w:rsidP="008932CE">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1835F3" w:rsidRDefault="001835F3"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06/18/2018</w:t>
                  </w:r>
                </w:p>
              </w:tc>
              <w:tc>
                <w:tcPr>
                  <w:tcW w:w="1500" w:type="dxa"/>
                  <w:tcBorders>
                    <w:top w:val="outset" w:sz="6" w:space="0" w:color="auto"/>
                    <w:left w:val="outset" w:sz="6" w:space="0" w:color="auto"/>
                    <w:bottom w:val="outset" w:sz="6" w:space="0" w:color="auto"/>
                    <w:right w:val="outset" w:sz="6" w:space="0" w:color="auto"/>
                  </w:tcBorders>
                </w:tcPr>
                <w:p w:rsidR="001835F3" w:rsidRDefault="001835F3" w:rsidP="008932CE">
                  <w:pPr>
                    <w:framePr w:hSpace="36" w:wrap="around" w:vAnchor="text" w:hAnchor="text"/>
                    <w:rPr>
                      <w:rFonts w:ascii="Times" w:eastAsia="Times New Roman" w:hAnsi="Times" w:cs="Times"/>
                      <w:sz w:val="20"/>
                      <w:szCs w:val="20"/>
                    </w:rPr>
                  </w:pP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07/04/2018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Motor Carrier Safety Administration</w:t>
            </w:r>
            <w:bookmarkEnd w:id="31"/>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2126-AB01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2126-AB17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A936E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Green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2126-AB56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920D20"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920D20" w:rsidTr="004174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20D20" w:rsidTr="0041749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20D20" w:rsidTr="0041749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20D20" w:rsidTr="0041749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20D20" w:rsidTr="0041749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20D20" w:rsidTr="0041749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920D20" w:rsidRDefault="00920D20"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2126-AB63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2126-AC02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Date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amendments to address changes in the Agency's grant programs resulting from the Fixing America's Surface Transportation (FAST) Act, including the funding formula changes resulting from the Motor Carrier Safety Assistance Program (MCSAP) Formula Working Group. This proposal also includes other programmatic changes to reduce redundancies, adopt the use of electronic application formats, and to align the grant programs with FMCSA's current enforcement and compliance programs.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6" w:name="36"/>
            <w:r>
              <w:rPr>
                <w:rFonts w:ascii="Times" w:eastAsia="Times New Roman" w:hAnsi="Times" w:cs="Times"/>
                <w:b/>
                <w:bCs/>
                <w:sz w:val="20"/>
                <w:szCs w:val="20"/>
              </w:rPr>
              <w:lastRenderedPageBreak/>
              <w:t>Federal Railroad Administration</w:t>
            </w:r>
          </w:p>
        </w:tc>
      </w:tr>
      <w:tr w:rsidR="00A936EC">
        <w:trPr>
          <w:tblCellSpacing w:w="24" w:type="dxa"/>
        </w:trPr>
        <w:tc>
          <w:tcPr>
            <w:tcW w:w="0" w:type="auto"/>
            <w:gridSpan w:val="2"/>
            <w:vAlign w:val="center"/>
            <w:hideMark/>
          </w:tcPr>
          <w:p w:rsidR="00A936EC" w:rsidRDefault="008932CE">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36"/>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2130-AC11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Railroad Administration</w:t>
            </w:r>
            <w:bookmarkEnd w:id="37"/>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2130-AC14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effective emergency escape breathing apparatus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Railroad Administration</w:t>
            </w:r>
            <w:bookmarkEnd w:id="38"/>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2130-AC23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Railroad Administration</w:t>
            </w:r>
            <w:bookmarkEnd w:id="39"/>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2130-AC46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12/01/2016;Publication Date 12/06/2016;End of Comment Period 02/06/2017;End of Extended Comment Period 3/21/17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existing safety standards for passenger rail equipment. Specifically, the rulemaking would add a new tier of passenger equipment safety standards (Tier III) to facilitate the safe implementation of nation-wide, interoperable, high-speed passenger rail service at speeds up to 220 mph. The Tier III standards require operations at speeds above 125 mph to be in an exclusive right-of-way without grade crossings. This rule would also establish crashworthiness and occupant protection performance requirements as an alternative to those currently specified for Tier I passenger trainsets. Additionally, the rule would increase from 150 mph to 160 mph the maximum speed for passenger equipment that complies with FRA's Tier II standards. The rule is expected to ease regulatory burdens, allow the development of advanced technology, and increase safety benefits.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Railroad Administration</w:t>
            </w:r>
            <w:bookmarkEnd w:id="40"/>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2130-AC48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 Final Rule: Publication Approved ;Publication Date ;Effective Date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785"/>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appointment/confirmation of political appointees</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Railroad Administration</w:t>
            </w:r>
            <w:bookmarkEnd w:id="41"/>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2130-AC51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Railroad Administration</w:t>
            </w:r>
            <w:bookmarkEnd w:id="42"/>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Improving Rail Integrity</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2130-AC53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Proper recognition and understanding of dangerous track conditions and defects is critical to avoiding train derailments. FRA is proposing this rulemaking to help ensure railroads identify and take proper remedial action to address dangerous track conditions before accidents occur. This rulemaking would amend or add regulations addressing rail defect continuous testing, rail head wear, inspection records, continuous welded rail, rail inspection car operator qualifications, and rail inspection frequencies.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3" w:name="43"/>
            <w:r>
              <w:rPr>
                <w:rFonts w:ascii="Times" w:eastAsia="Times New Roman" w:hAnsi="Times" w:cs="Times"/>
                <w:b/>
                <w:bCs/>
                <w:sz w:val="20"/>
                <w:szCs w:val="20"/>
              </w:rPr>
              <w:lastRenderedPageBreak/>
              <w:t>Federal Transit Administration</w:t>
            </w:r>
          </w:p>
        </w:tc>
      </w:tr>
      <w:tr w:rsidR="00A936EC">
        <w:trPr>
          <w:tblCellSpacing w:w="24" w:type="dxa"/>
        </w:trPr>
        <w:tc>
          <w:tcPr>
            <w:tcW w:w="0" w:type="auto"/>
            <w:gridSpan w:val="2"/>
            <w:vAlign w:val="center"/>
            <w:hideMark/>
          </w:tcPr>
          <w:p w:rsidR="00A936EC" w:rsidRDefault="008932CE">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43"/>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2132-AB23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02/05/2016; End of C/P: 04/05/2016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10/24/2016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4" w:name="44"/>
            <w:r>
              <w:rPr>
                <w:rFonts w:ascii="Times" w:eastAsia="Times New Roman" w:hAnsi="Times" w:cs="Times"/>
                <w:sz w:val="20"/>
                <w:szCs w:val="20"/>
              </w:rPr>
              <w:t>Federal Transit Administration</w:t>
            </w:r>
            <w:bookmarkEnd w:id="44"/>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2132-AB30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5" w:name="45"/>
            <w:r>
              <w:rPr>
                <w:rFonts w:ascii="Times" w:eastAsia="Times New Roman" w:hAnsi="Times" w:cs="Times"/>
                <w:sz w:val="20"/>
                <w:szCs w:val="20"/>
              </w:rPr>
              <w:t>Federal Transit Administration</w:t>
            </w:r>
            <w:bookmarkEnd w:id="45"/>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Metropolitan Planning Organization Coordination and Planning Area Reform</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Reforn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2132-AB33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transportation planning regulations by removing the recently enacted provisions requiring that boundaries of metropolitan planning areas (MPA) include an urbanized area in its entirety and include the contiguous area expected to become urbanized within a 20-year forecast period for the metropolitan transportation plan. This rulemaking would also remove requirements for metropolitan planning organizations (MPO) to merge, create unified transportation planning products, or petition the Secretary for an exemption when there is more than one MPO in an MPA. This change would result in cost savings and reduce burdens for regulatory compliance.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03/10/2017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6" w:name="46"/>
            <w:r>
              <w:rPr>
                <w:rFonts w:ascii="Times" w:eastAsia="Times New Roman" w:hAnsi="Times" w:cs="Times"/>
                <w:b/>
                <w:bCs/>
                <w:sz w:val="20"/>
                <w:szCs w:val="20"/>
              </w:rPr>
              <w:t>National Highway Traffic Safety Administration</w:t>
            </w:r>
          </w:p>
        </w:tc>
      </w:tr>
      <w:tr w:rsidR="00A936EC">
        <w:trPr>
          <w:tblCellSpacing w:w="24" w:type="dxa"/>
        </w:trPr>
        <w:tc>
          <w:tcPr>
            <w:tcW w:w="0" w:type="auto"/>
            <w:gridSpan w:val="2"/>
            <w:vAlign w:val="center"/>
            <w:hideMark/>
          </w:tcPr>
          <w:p w:rsidR="00A936EC" w:rsidRDefault="008932CE">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46"/>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2127-AK76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7" w:name="47"/>
            <w:r>
              <w:rPr>
                <w:rFonts w:ascii="Times" w:eastAsia="Times New Roman" w:hAnsi="Times" w:cs="Times"/>
                <w:sz w:val="20"/>
                <w:szCs w:val="20"/>
              </w:rPr>
              <w:t>National Highway Traffic Safety Administration</w:t>
            </w:r>
            <w:bookmarkEnd w:id="47"/>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2127-AK86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12/13/12; End of C/P: 02/11/13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mandate the installation of Event Data Recorders (EDRs) in light vehicles. Part 563 presently requires vehicle manufacturers who are voluntarily installing EDRs to be in compliance with the regulation by September 1, 2012.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8" w:name="48"/>
            <w:r>
              <w:rPr>
                <w:rFonts w:ascii="Times" w:eastAsia="Times New Roman" w:hAnsi="Times" w:cs="Times"/>
                <w:sz w:val="20"/>
                <w:szCs w:val="20"/>
              </w:rPr>
              <w:t>National Highway Traffic Safety Administration</w:t>
            </w:r>
            <w:bookmarkEnd w:id="48"/>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2127-AK92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08/29/2016;Publication Date 09/07/2016;End of Comment Period 11/07/2016.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49" w:name="49"/>
            <w:r>
              <w:rPr>
                <w:rFonts w:ascii="Times" w:eastAsia="Times New Roman" w:hAnsi="Times" w:cs="Times"/>
                <w:sz w:val="20"/>
                <w:szCs w:val="20"/>
              </w:rPr>
              <w:t>National Highway Traffic Safety Administration</w:t>
            </w:r>
            <w:bookmarkEnd w:id="49"/>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2127-AK93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8"/>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Rule Delay of Effective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Rule; Further Delay of Effective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Further Delayed Effective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09/05/2017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0" w:name="50"/>
            <w:r>
              <w:rPr>
                <w:rFonts w:ascii="Times" w:eastAsia="Times New Roman" w:hAnsi="Times" w:cs="Times"/>
                <w:sz w:val="20"/>
                <w:szCs w:val="20"/>
              </w:rPr>
              <w:t>National Highway Traffic Safety Administration</w:t>
            </w:r>
            <w:bookmarkEnd w:id="50"/>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2127-AK95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1" w:name="51"/>
            <w:r>
              <w:rPr>
                <w:rFonts w:ascii="Times" w:eastAsia="Times New Roman" w:hAnsi="Times" w:cs="Times"/>
                <w:sz w:val="20"/>
                <w:szCs w:val="20"/>
              </w:rPr>
              <w:t>National Highway Traffic Safety Administration</w:t>
            </w:r>
            <w:bookmarkEnd w:id="51"/>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2127-AK96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2" w:name="52"/>
            <w:r>
              <w:rPr>
                <w:rFonts w:ascii="Times" w:eastAsia="Times New Roman" w:hAnsi="Times" w:cs="Times"/>
                <w:sz w:val="20"/>
                <w:szCs w:val="20"/>
              </w:rPr>
              <w:t>National Highway Traffic Safety Administration</w:t>
            </w:r>
            <w:bookmarkEnd w:id="52"/>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2127-AL01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3" w:name="53"/>
            <w:r>
              <w:rPr>
                <w:rFonts w:ascii="Times" w:eastAsia="Times New Roman" w:hAnsi="Times" w:cs="Times"/>
                <w:sz w:val="20"/>
                <w:szCs w:val="20"/>
              </w:rPr>
              <w:t>National Highway Traffic Safety Administration</w:t>
            </w:r>
            <w:bookmarkEnd w:id="53"/>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Part 572 Q3s 3-year-old Side Impact Dummy (MAP-21)</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572 Q3s Side Impact Dummy</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2127-AL04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11/21/13; End of C/P: 01/24/14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incorporate a new anthropomorphic test device in Title 49, Part 572 of the CFR. The new device is a crash test dummy that represents a 3-year-old-child. The dummy, known as the Q3s, was developed to evaluate injuries to children in side impact crashes. If adopted into Part 572, NHTSA would be able to propose the new dummy´s use in future side impact upgrades of Federal Motor Vehicle Safety Standard No. 213, "Child restraint systems." This rulemaking would be responsive to requirements of the Moving Ahead for Progress in the 21st Century (MAP-21) Act.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06/08/2011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525E">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C0525E" w:rsidRDefault="00C0525E"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500" w:type="dxa"/>
                  <w:tcBorders>
                    <w:top w:val="outset" w:sz="6" w:space="0" w:color="auto"/>
                    <w:left w:val="outset" w:sz="6" w:space="0" w:color="auto"/>
                    <w:bottom w:val="outset" w:sz="6" w:space="0" w:color="auto"/>
                    <w:right w:val="outset" w:sz="6" w:space="0" w:color="auto"/>
                  </w:tcBorders>
                </w:tcPr>
                <w:p w:rsidR="00C0525E" w:rsidRDefault="00C0525E"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05/26/2018</w:t>
                  </w:r>
                </w:p>
              </w:tc>
              <w:tc>
                <w:tcPr>
                  <w:tcW w:w="1500" w:type="dxa"/>
                  <w:tcBorders>
                    <w:top w:val="outset" w:sz="6" w:space="0" w:color="auto"/>
                    <w:left w:val="outset" w:sz="6" w:space="0" w:color="auto"/>
                    <w:bottom w:val="outset" w:sz="6" w:space="0" w:color="auto"/>
                    <w:right w:val="outset" w:sz="6" w:space="0" w:color="auto"/>
                  </w:tcBorders>
                </w:tcPr>
                <w:p w:rsidR="00C0525E" w:rsidRDefault="00C0525E" w:rsidP="008932CE">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C0525E" w:rsidRDefault="00C0525E" w:rsidP="008932CE">
                  <w:pPr>
                    <w:framePr w:hSpace="36" w:wrap="around" w:vAnchor="text" w:hAnchor="text"/>
                    <w:rPr>
                      <w:rFonts w:ascii="Times" w:eastAsia="Times New Roman" w:hAnsi="Times" w:cs="Times"/>
                      <w:sz w:val="20"/>
                      <w:szCs w:val="20"/>
                    </w:rPr>
                  </w:pPr>
                </w:p>
              </w:tc>
            </w:tr>
            <w:tr w:rsidR="00C0525E">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C0525E" w:rsidRDefault="00C0525E"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500" w:type="dxa"/>
                  <w:tcBorders>
                    <w:top w:val="outset" w:sz="6" w:space="0" w:color="auto"/>
                    <w:left w:val="outset" w:sz="6" w:space="0" w:color="auto"/>
                    <w:bottom w:val="outset" w:sz="6" w:space="0" w:color="auto"/>
                    <w:right w:val="outset" w:sz="6" w:space="0" w:color="auto"/>
                  </w:tcBorders>
                </w:tcPr>
                <w:p w:rsidR="00C0525E" w:rsidRDefault="00C0525E"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08/25/2018</w:t>
                  </w:r>
                </w:p>
              </w:tc>
              <w:tc>
                <w:tcPr>
                  <w:tcW w:w="1500" w:type="dxa"/>
                  <w:tcBorders>
                    <w:top w:val="outset" w:sz="6" w:space="0" w:color="auto"/>
                    <w:left w:val="outset" w:sz="6" w:space="0" w:color="auto"/>
                    <w:bottom w:val="outset" w:sz="6" w:space="0" w:color="auto"/>
                    <w:right w:val="outset" w:sz="6" w:space="0" w:color="auto"/>
                  </w:tcBorders>
                </w:tcPr>
                <w:p w:rsidR="00C0525E" w:rsidRDefault="00C0525E" w:rsidP="008932CE">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C0525E" w:rsidRDefault="00C0525E" w:rsidP="008932CE">
                  <w:pPr>
                    <w:framePr w:hSpace="36" w:wrap="around" w:vAnchor="text" w:hAnchor="text"/>
                    <w:rPr>
                      <w:rFonts w:ascii="Times" w:eastAsia="Times New Roman" w:hAnsi="Times" w:cs="Times"/>
                      <w:sz w:val="20"/>
                      <w:szCs w:val="20"/>
                    </w:rPr>
                  </w:pP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4" w:name="54"/>
            <w:r>
              <w:rPr>
                <w:rFonts w:ascii="Times" w:eastAsia="Times New Roman" w:hAnsi="Times" w:cs="Times"/>
                <w:sz w:val="20"/>
                <w:szCs w:val="20"/>
              </w:rPr>
              <w:t>National Highway Traffic Safety Administration</w:t>
            </w:r>
            <w:bookmarkEnd w:id="54"/>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 (g),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89"/>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EISA statutory deadline : 06/16/2011</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5" w:name="55"/>
            <w:r>
              <w:rPr>
                <w:rFonts w:ascii="Times" w:eastAsia="Times New Roman" w:hAnsi="Times" w:cs="Times"/>
                <w:sz w:val="20"/>
                <w:szCs w:val="20"/>
              </w:rPr>
              <w:t>National Highway Traffic Safety Administration</w:t>
            </w:r>
            <w:bookmarkEnd w:id="55"/>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A936EC">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Yellow</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40BA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40BA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40BA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40BA5" w:rsidRDefault="00240BA5"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6" w:name="56"/>
            <w:r>
              <w:rPr>
                <w:rFonts w:ascii="Times" w:eastAsia="Times New Roman" w:hAnsi="Times" w:cs="Times"/>
                <w:sz w:val="20"/>
                <w:szCs w:val="20"/>
              </w:rPr>
              <w:t>National Highway Traffic Safety Administration</w:t>
            </w:r>
            <w:bookmarkEnd w:id="56"/>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2127-AL20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of lower anchorages and tethers in all rear seating positions in accordance with the Moving Ahead for Progress in the 21st Century Act (MAP-21), P.L. 112-141, address comments on LATCH usability received in response to the public,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NPRM : 10/01/2013</w:t>
                  </w:r>
                  <w:r>
                    <w:rPr>
                      <w:rFonts w:ascii="Times" w:eastAsia="Times New Roman" w:hAnsi="Times" w:cs="Times"/>
                      <w:sz w:val="20"/>
                      <w:szCs w:val="20"/>
                    </w:rPr>
                    <w:br/>
                    <w:t>Publish Final Rule : 10/01/2015</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97F68">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97F68">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97F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B97F68" w:rsidRDefault="00B97F68"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7" w:name="57"/>
            <w:r>
              <w:rPr>
                <w:rFonts w:ascii="Times" w:eastAsia="Times New Roman" w:hAnsi="Times" w:cs="Times"/>
                <w:sz w:val="20"/>
                <w:szCs w:val="20"/>
              </w:rPr>
              <w:t>National Highway Traffic Safety Administration</w:t>
            </w:r>
            <w:bookmarkEnd w:id="57"/>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2127-AL34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31501(b) of MAP-21, this rulemaking would upgrade FMVSS No. 213 seat assembly and test parameters. NHTSA is considering updates to the standard seat geometry, seat cushion stiffness, and seat belt assembly that better replicate real world conditions. In addition, revision to the frontal crash sled pulse is being considered to be more representative of crash pulses of the current vehicle fleet. Prior to MAP-21, the agency had expressed its intention of examining potential upgrades to the frontal sled test in FMVSS No. 213 in its 2009-2011 Priority Plan (76 FR 17808, Docket No. NHTSA-2009-0108).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61"/>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10/01/2014</w:t>
                  </w:r>
                  <w:r>
                    <w:rPr>
                      <w:rFonts w:ascii="Times" w:eastAsia="Times New Roman" w:hAnsi="Times" w:cs="Times"/>
                      <w:sz w:val="20"/>
                      <w:szCs w:val="20"/>
                    </w:rPr>
                    <w:br/>
                    <w:t>Final Rule : 10/01/2016</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8" w:name="58"/>
            <w:r>
              <w:rPr>
                <w:rFonts w:ascii="Times" w:eastAsia="Times New Roman" w:hAnsi="Times" w:cs="Times"/>
                <w:sz w:val="20"/>
                <w:szCs w:val="20"/>
              </w:rPr>
              <w:t>National Highway Traffic Safety Administration</w:t>
            </w:r>
            <w:bookmarkEnd w:id="58"/>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2127-AL37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seat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59" w:name="59"/>
            <w:r>
              <w:rPr>
                <w:rFonts w:ascii="Times" w:eastAsia="Times New Roman" w:hAnsi="Times" w:cs="Times"/>
                <w:sz w:val="20"/>
                <w:szCs w:val="20"/>
              </w:rPr>
              <w:t>National Highway Traffic Safety Administration</w:t>
            </w:r>
            <w:bookmarkEnd w:id="59"/>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2127-AL55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NPRM: Publication Approved 12/28/2016;Publication Date 01/12/2017;End of Comment Period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0" w:name="60"/>
            <w:r>
              <w:rPr>
                <w:rFonts w:ascii="Times" w:eastAsia="Times New Roman" w:hAnsi="Times" w:cs="Times"/>
                <w:sz w:val="20"/>
                <w:szCs w:val="20"/>
              </w:rPr>
              <w:t>National Highway Traffic Safety Administration</w:t>
            </w:r>
            <w:bookmarkEnd w:id="60"/>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2127-AL57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1" w:name="61"/>
            <w:r>
              <w:rPr>
                <w:rFonts w:ascii="Times" w:eastAsia="Times New Roman" w:hAnsi="Times" w:cs="Times"/>
                <w:sz w:val="20"/>
                <w:szCs w:val="20"/>
              </w:rPr>
              <w:t>National Highway Traffic Safety Administration</w:t>
            </w:r>
            <w:bookmarkEnd w:id="61"/>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2127-AL61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30164 (c) to (f),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 To further implement the statute, the regulations would condition the importation of a motor vehicle or motor vehicle equipment upon the manufacturer's compliance with: (a) certain statutory provisions; (b) a request from NHTSA for reports and records the manufacturer is required to maintain with respect to the vehicle or equipment; (c) a request from NHTSA for inspection of premises or of the vehicle or equipment; (d) an order or voluntary agreement to remedy a safety-related defect or a noncompliance with a Federal motor vehicle safety standard (FMVSS) in the vehicle or equipment; and (e) regulations implementing these requirements. The amendments would provide an opportunity for the manufacturer to present information to NHTSA before the agency decides that importation of the manufacturer's products should be restricted, as well as procedures for the manufacturer to petition for the reinstatement of its ability to import motor vehicle or motor vehicle equipment.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2" w:name="62"/>
            <w:r>
              <w:rPr>
                <w:rFonts w:ascii="Times" w:eastAsia="Times New Roman" w:hAnsi="Times" w:cs="Times"/>
                <w:sz w:val="20"/>
                <w:szCs w:val="20"/>
              </w:rPr>
              <w:t>National Highway Traffic Safety Administration</w:t>
            </w:r>
            <w:bookmarkEnd w:id="62"/>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2127-AL66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the Moving Ahead for Progress in the 21st Century Act (MAP-21) Congress authorizes the Secretary of Transportation to amend the means of notification required under 49 U.S.C.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 This ANRPM is the most appropriate course to obtain additional information that will help us decide which means are the most effective in motivating owners, purchasers, and dealers to participate in recall campaigns, to aid the agency in developing a rule implementing the notification requirements under MAP-21.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3" w:name="63"/>
            <w:r>
              <w:rPr>
                <w:rFonts w:ascii="Times" w:eastAsia="Times New Roman" w:hAnsi="Times" w:cs="Times"/>
                <w:sz w:val="20"/>
                <w:szCs w:val="20"/>
              </w:rPr>
              <w:t>National Highway Traffic Safety Administration</w:t>
            </w:r>
            <w:bookmarkEnd w:id="63"/>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2127-AL76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 Undetermined: Publication Date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4" w:name="64"/>
            <w:r>
              <w:rPr>
                <w:rFonts w:ascii="Times" w:eastAsia="Times New Roman" w:hAnsi="Times" w:cs="Times"/>
                <w:sz w:val="20"/>
                <w:szCs w:val="20"/>
              </w:rPr>
              <w:t>National Highway Traffic Safety Administration</w:t>
            </w:r>
            <w:bookmarkEnd w:id="64"/>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Revised Regulations for Implementing the 911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911 Grant Program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2127-AL86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comment on proposed revisions to the National Telecommunications and Information Administration's and the National Highway Traffic Safety Administration's joint regulations implementing the changes to the E911 Grant Program required by the Next Generation 911 Advancement Act of 2012. The program will provide grants to States and tribal organizations to improve emergency 911 public safety answering points.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05/18/2017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5" w:name="65"/>
            <w:r>
              <w:rPr>
                <w:rFonts w:ascii="Times" w:eastAsia="Times New Roman" w:hAnsi="Times" w:cs="Times"/>
                <w:sz w:val="20"/>
                <w:szCs w:val="20"/>
              </w:rPr>
              <w:t>National Highway Traffic Safety Administration</w:t>
            </w:r>
            <w:bookmarkEnd w:id="65"/>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Removing Unnecessary Regulatory Barriers to Automated Safety Technologies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Removing Automated Safety Technologies Barriers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2127-AL91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National Highway Traffic-Safety Administration (NHTSA) seeks comments to identify any unnecessary regulatory barriers to Automated Safety Technologies, and for the testing and compliance certification of motor vehicles with unconventional automated vehicles designs, particularly those that are not equipped with controls for a human driver; e.g., steering wheel, brake or accelerator pedal. Further, NHTSA seeks comments on the research that would be required to remove such barriers. This action will inform subsequent steps in the regulatory process to amend Federal motor vehicle safety standards (FMVSS) and other motor vehicle regulations in order to safely lay a path for innovative automated vehicle designs and technology.</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4261D">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F4261D" w:rsidRDefault="00F4261D"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500" w:type="dxa"/>
                  <w:tcBorders>
                    <w:top w:val="outset" w:sz="6" w:space="0" w:color="auto"/>
                    <w:left w:val="outset" w:sz="6" w:space="0" w:color="auto"/>
                    <w:bottom w:val="outset" w:sz="6" w:space="0" w:color="auto"/>
                    <w:right w:val="outset" w:sz="6" w:space="0" w:color="auto"/>
                  </w:tcBorders>
                </w:tcPr>
                <w:p w:rsidR="00F4261D" w:rsidRDefault="00F4261D"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10/25/2017</w:t>
                  </w:r>
                </w:p>
              </w:tc>
              <w:tc>
                <w:tcPr>
                  <w:tcW w:w="1500" w:type="dxa"/>
                  <w:tcBorders>
                    <w:top w:val="outset" w:sz="6" w:space="0" w:color="auto"/>
                    <w:left w:val="outset" w:sz="6" w:space="0" w:color="auto"/>
                    <w:bottom w:val="outset" w:sz="6" w:space="0" w:color="auto"/>
                    <w:right w:val="outset" w:sz="6" w:space="0" w:color="auto"/>
                  </w:tcBorders>
                </w:tcPr>
                <w:p w:rsidR="00F4261D" w:rsidRDefault="00F4261D" w:rsidP="008932CE">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F4261D" w:rsidRDefault="00F4261D" w:rsidP="008932CE">
                  <w:pPr>
                    <w:framePr w:hSpace="36" w:wrap="around" w:vAnchor="text" w:hAnchor="text"/>
                    <w:rPr>
                      <w:rFonts w:ascii="Times" w:eastAsia="Times New Roman" w:hAnsi="Times" w:cs="Times"/>
                      <w:sz w:val="20"/>
                      <w:szCs w:val="20"/>
                    </w:rPr>
                  </w:pPr>
                </w:p>
              </w:tc>
            </w:tr>
            <w:tr w:rsidR="00F4261D">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F4261D" w:rsidRDefault="00F4261D"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500" w:type="dxa"/>
                  <w:tcBorders>
                    <w:top w:val="outset" w:sz="6" w:space="0" w:color="auto"/>
                    <w:left w:val="outset" w:sz="6" w:space="0" w:color="auto"/>
                    <w:bottom w:val="outset" w:sz="6" w:space="0" w:color="auto"/>
                    <w:right w:val="outset" w:sz="6" w:space="0" w:color="auto"/>
                  </w:tcBorders>
                </w:tcPr>
                <w:p w:rsidR="00F4261D" w:rsidRDefault="00F4261D"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11/24/2017</w:t>
                  </w:r>
                </w:p>
              </w:tc>
              <w:tc>
                <w:tcPr>
                  <w:tcW w:w="1500" w:type="dxa"/>
                  <w:tcBorders>
                    <w:top w:val="outset" w:sz="6" w:space="0" w:color="auto"/>
                    <w:left w:val="outset" w:sz="6" w:space="0" w:color="auto"/>
                    <w:bottom w:val="outset" w:sz="6" w:space="0" w:color="auto"/>
                    <w:right w:val="outset" w:sz="6" w:space="0" w:color="auto"/>
                  </w:tcBorders>
                </w:tcPr>
                <w:p w:rsidR="00F4261D" w:rsidRDefault="00F4261D" w:rsidP="008932CE">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F4261D" w:rsidRDefault="00F4261D" w:rsidP="008932CE">
                  <w:pPr>
                    <w:framePr w:hSpace="36" w:wrap="around" w:vAnchor="text" w:hAnchor="text"/>
                    <w:rPr>
                      <w:rFonts w:ascii="Times" w:eastAsia="Times New Roman" w:hAnsi="Times" w:cs="Times"/>
                      <w:sz w:val="20"/>
                      <w:szCs w:val="20"/>
                    </w:rPr>
                  </w:pP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6" w:name="66"/>
            <w:r>
              <w:rPr>
                <w:rFonts w:ascii="Times" w:eastAsia="Times New Roman" w:hAnsi="Times" w:cs="Times"/>
                <w:b/>
                <w:bCs/>
                <w:sz w:val="20"/>
                <w:szCs w:val="20"/>
              </w:rPr>
              <w:t>Office of the Secretary</w:t>
            </w:r>
          </w:p>
        </w:tc>
      </w:tr>
      <w:tr w:rsidR="00A936EC">
        <w:trPr>
          <w:tblCellSpacing w:w="24" w:type="dxa"/>
        </w:trPr>
        <w:tc>
          <w:tcPr>
            <w:tcW w:w="0" w:type="auto"/>
            <w:gridSpan w:val="2"/>
            <w:vAlign w:val="center"/>
            <w:hideMark/>
          </w:tcPr>
          <w:p w:rsidR="00A936EC" w:rsidRDefault="008932CE">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66"/>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2105-AE12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 The statutory deadline requiring the Department to issue a supplemental notice of proposed rulemaking regarding the items identified in RIN 2105-AE12 is July 15, 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112"/>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Deadline to issue NPRM. : 07/15/2017</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7" w:name="67"/>
            <w:r>
              <w:rPr>
                <w:rFonts w:ascii="Times" w:eastAsia="Times New Roman" w:hAnsi="Times" w:cs="Times"/>
                <w:sz w:val="20"/>
                <w:szCs w:val="20"/>
              </w:rPr>
              <w:t>Office of the Secretary</w:t>
            </w:r>
            <w:bookmarkEnd w:id="67"/>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2105-AE30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8" w:name="68"/>
            <w:r>
              <w:rPr>
                <w:rFonts w:ascii="Times" w:eastAsia="Times New Roman" w:hAnsi="Times" w:cs="Times"/>
                <w:sz w:val="20"/>
                <w:szCs w:val="20"/>
              </w:rPr>
              <w:t>Office of the Secretary</w:t>
            </w:r>
            <w:bookmarkEnd w:id="68"/>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2105-AE31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of Proposed Rulemaking (NPRM) issued on July 15, 2011 (76 F.R. 41726 et seq.) proposed to collect more detailed revenue information regarding airline imposed fees from those air carriers meeting the definition of "large certificated air carriers." The proposal revised reporting requirements to improve data collection on the amount of revenue air carriers receive from different, specific types of optional fees.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69" w:name="69"/>
            <w:r>
              <w:rPr>
                <w:rFonts w:ascii="Times" w:eastAsia="Times New Roman" w:hAnsi="Times" w:cs="Times"/>
                <w:sz w:val="20"/>
                <w:szCs w:val="20"/>
              </w:rPr>
              <w:t>Office of the Secretary</w:t>
            </w:r>
            <w:bookmarkEnd w:id="69"/>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 and Accessible Lavatories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2105-AE32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 The statutory deadline requiring the Department to issue a notice of proposed rulemaking regarding the items identified in RIN 2105-AE12 (including accessible lavatories) is July 15, 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r>
                    <w:rPr>
                      <w:rFonts w:ascii="Times" w:eastAsia="Times New Roman" w:hAnsi="Times" w:cs="Times"/>
                      <w:sz w:val="20"/>
                      <w:szCs w:val="20"/>
                    </w:rPr>
                    <w:br/>
                    <w:t>Additional coordination needed for regulatory evaluation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0" w:name="70"/>
            <w:r>
              <w:rPr>
                <w:rFonts w:ascii="Times" w:eastAsia="Times New Roman" w:hAnsi="Times" w:cs="Times"/>
                <w:sz w:val="20"/>
                <w:szCs w:val="20"/>
              </w:rPr>
              <w:t>Office of the Secretary</w:t>
            </w:r>
            <w:bookmarkEnd w:id="70"/>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Geographic-Based Hiring Preferences in Administering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Local Hiring</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2105-AE38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03/06/15; End of Extended C/P: 05/06/15.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withdraws a rulemaking that proposed to amend DOT´s regulations in 2 CFR Part 1201 implementing the Government-wide Uniform Administrative Requirements, Cost Principles, and Audit Requirements for Federal Awards to permit recipients and subrecipients to impose geographic-based hiring preferences whenever not otherwise prohibited by Federal statute.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02/02/2015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10/06/2017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1" w:name="71"/>
            <w:r>
              <w:rPr>
                <w:rFonts w:ascii="Times" w:eastAsia="Times New Roman" w:hAnsi="Times" w:cs="Times"/>
                <w:sz w:val="20"/>
                <w:szCs w:val="20"/>
              </w:rPr>
              <w:t>Office of the Secretary</w:t>
            </w:r>
            <w:bookmarkEnd w:id="71"/>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Transparency of Airline Ancillary Service Fees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Service Fees and the GDS Issue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2105-AE56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01/19/17; C/P Suspended: 03/02/17. SNPRM: Publication Approved 01/16/2017;Publication Date 01/19/2017;End of Comment Period 03/20/2017.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explored whether to require airlines and ticket agents to disclose at all points of sale the fees for certain basic ancillary services associated with the air transportation consumers are buying or considering buying. The rulemaking previously known as Airline Pricing Transparency and Other Consumer Protection Issues was separated into three proceedings. Two other proceedings address other provisions identified in the NPRM. See RIN 2105-AE11 and 2105-AE57.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2" w:name="72"/>
            <w:r>
              <w:rPr>
                <w:rFonts w:ascii="Times" w:eastAsia="Times New Roman" w:hAnsi="Times" w:cs="Times"/>
                <w:sz w:val="20"/>
                <w:szCs w:val="20"/>
              </w:rPr>
              <w:t>Office of the Secretary</w:t>
            </w:r>
            <w:bookmarkEnd w:id="72"/>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2105-AE57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5/23/2014; End of C/P: 08/21/2014. Final Rule: Publication Approved ;Publication Date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(2105-AE11)have been separated into this proceeding.</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3" w:name="73"/>
            <w:r>
              <w:rPr>
                <w:rFonts w:ascii="Times" w:eastAsia="Times New Roman" w:hAnsi="Times" w:cs="Times"/>
                <w:sz w:val="20"/>
                <w:szCs w:val="20"/>
              </w:rPr>
              <w:t>Office of the Secretary</w:t>
            </w:r>
            <w:bookmarkEnd w:id="73"/>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2105-AE63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reduce the likelihood that passengers wishing to travel with their pets on aircraft will be able to falsely claim that their pets are service animals. This NPRM follows up on air travel accessibility issues discussed in the preamble of the 2008 Air Carrier Access Act (ACAA) final rule. This rulemaking covers one of the topics initially proposed under RIN 2105-AE12. The Department is required to by statute to issue a supplemental notice of proposed rulemaking regarding the items identified in RIN 2105-AE12 by July 15, 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4" w:name="74"/>
            <w:r>
              <w:rPr>
                <w:rFonts w:ascii="Times" w:eastAsia="Times New Roman" w:hAnsi="Times" w:cs="Times"/>
                <w:b/>
                <w:bCs/>
                <w:sz w:val="20"/>
                <w:szCs w:val="20"/>
              </w:rPr>
              <w:t>Pipeline and Hazardous Materials Safety Administration</w:t>
            </w:r>
          </w:p>
        </w:tc>
      </w:tr>
      <w:tr w:rsidR="00A936EC">
        <w:trPr>
          <w:tblCellSpacing w:w="24" w:type="dxa"/>
        </w:trPr>
        <w:tc>
          <w:tcPr>
            <w:tcW w:w="0" w:type="auto"/>
            <w:gridSpan w:val="2"/>
            <w:vAlign w:val="center"/>
            <w:hideMark/>
          </w:tcPr>
          <w:p w:rsidR="00A936EC" w:rsidRDefault="008932CE">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74"/>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2137-AE66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5" w:name="75"/>
            <w:r>
              <w:rPr>
                <w:rFonts w:ascii="Times" w:eastAsia="Times New Roman" w:hAnsi="Times" w:cs="Times"/>
                <w:sz w:val="20"/>
                <w:szCs w:val="20"/>
              </w:rPr>
              <w:t>Pipeline and Hazardous Materials Safety Administration</w:t>
            </w:r>
            <w:bookmarkEnd w:id="75"/>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936E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Red</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2137-AE72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 NPRM: Publication Approved 03/11/2016;Publication Date 04/08/2016;End of Comment Period 06/08/2016;Extension of Comment Period . NPRM: Publication Approved 03/11/2016;Publication Date 04/08/2016;End of Comment Period 06/08/2016;Extension of Comment Period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address integrity management principles for gas transmission pipelines. The rulemaking would address repair criteria for high-consequence areas (HCA) and non-HCA areas, assessment methods, validating and integrating pipeline data, risk assessments, knowledge gained through the integrity management program, corrosion control, change management, gathering lines, and safety features on launchers and receivers.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6" w:name="76"/>
            <w:r>
              <w:rPr>
                <w:rFonts w:ascii="Times" w:eastAsia="Times New Roman" w:hAnsi="Times" w:cs="Times"/>
                <w:sz w:val="20"/>
                <w:szCs w:val="20"/>
              </w:rPr>
              <w:t>Pipeline and Hazardous Materials Safety Administration</w:t>
            </w:r>
            <w:bookmarkEnd w:id="76"/>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Pipeline Safety: Issues related to the use of Plastic Pipe in Gas Pipeline Industry (RRR)</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Plastic Pipe Rule (RRR)</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2137-AE93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5/21/2015; C/P closed 7/31/2015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Federal Pipeline Safety Regulations that govern the use of plastic piping systems in the transportation of natural and other gas. These amendments are necessary to enhance pipeline safety, adopt innovative technologies and best practices, and respond to petitions from stakeholders. The amendments include an increased design factor for polyethylene (PE) pipe, stronger mechanical fitting requirements, new and updated riser standards, new accepted uses of Polyamide-11 (PA-11) thermoplastic pipe, authorization to use Polyamide-12 (PA-12) thermoplastic pipe and new or updated consensus standards for pipe, fittings, and other components.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7" w:name="77"/>
            <w:r>
              <w:rPr>
                <w:rFonts w:ascii="Times" w:eastAsia="Times New Roman" w:hAnsi="Times" w:cs="Times"/>
                <w:sz w:val="20"/>
                <w:szCs w:val="20"/>
              </w:rPr>
              <w:t>Pipeline and Hazardous Materials Safety Administration</w:t>
            </w:r>
            <w:bookmarkEnd w:id="77"/>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2137-AF08</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applicability of comprehensive oil spill response plans (OSRP) based on thresholds of liquid petroleum oil that apply to an entire train consist. The rulemaking would also require railroads to share information about high-hazard flammable train operations with state and tribal emergency response commissions to improve community preparedness in accordance with the Fixing America's Surface Transportation Act of 2015 (FAST Act). Finally, the rulemaking would incorporate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01/02/2018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04/02/2018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8" w:name="78"/>
            <w:r>
              <w:rPr>
                <w:rFonts w:ascii="Times" w:eastAsia="Times New Roman" w:hAnsi="Times" w:cs="Times"/>
                <w:sz w:val="20"/>
                <w:szCs w:val="20"/>
              </w:rPr>
              <w:t>Pipeline and Hazardous Materials Safety Administration</w:t>
            </w:r>
            <w:bookmarkEnd w:id="78"/>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2137-AF20</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the Hazardous Materials Regulations (HMR; 49 CFR Parts 171-180) applicable to the transport of lithium cells and batteries by aircraft. The IFR contains three amendments: (1) a prohibition on the transport of lithium ion cells and batteries as cargo on passenger aircraft; (2) a requirement that lithium ion cells and batteries be shipped at not more than a 30 percent state of charge aboard cargo-only aircraft; and (3) a limitation on the use of alternative provisions for small lithium cell or battery shipments to one package per consignment or overpack. These amendments are consistent with three emergency amendments to the 2015–2016 International Civil Aviation Organization Technical Instructions for the Safe Transport of Dangerous Goods by Air (ICAO Technical Instructions). The amendments in this IFR do not restrict passengers or crew members from bringing personal items or electronic devices containing lithium batteries aboard aircraft in carry-on or checked baggage, or restrict cargo-only aircraft from transporting lithium ion batteries at a state of charge exceeding 30 percent when packed with or contained in equipment. PHMSA is providing limited relief from the passenger aircraft prohibition and the state of charge restriction for small lithium ion batteries transported entirely within Alaska, Hawaii, and U.S. territories.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09/20/2017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79" w:name="79"/>
            <w:r>
              <w:rPr>
                <w:rFonts w:ascii="Times" w:eastAsia="Times New Roman" w:hAnsi="Times" w:cs="Times"/>
                <w:sz w:val="20"/>
                <w:szCs w:val="20"/>
              </w:rPr>
              <w:t>Pipeline and Hazardous Materials Safety Administration</w:t>
            </w:r>
            <w:bookmarkEnd w:id="79"/>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2137-AF24</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1/18/2017; C/P Extension published 3/21/2017; C/P Extension closed 5/19/2017.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this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936EC">
        <w:trPr>
          <w:tblCellSpacing w:w="24" w:type="dxa"/>
        </w:trPr>
        <w:tc>
          <w:tcPr>
            <w:tcW w:w="0" w:type="auto"/>
            <w:gridSpan w:val="2"/>
            <w:vAlign w:val="center"/>
            <w:hideMark/>
          </w:tcPr>
          <w:p w:rsidR="00A936EC" w:rsidRDefault="00047006">
            <w:pPr>
              <w:jc w:val="center"/>
              <w:rPr>
                <w:rFonts w:ascii="Times" w:eastAsia="Times New Roman" w:hAnsi="Times" w:cs="Times"/>
                <w:sz w:val="20"/>
                <w:szCs w:val="20"/>
              </w:rPr>
            </w:pPr>
            <w:bookmarkStart w:id="80" w:name="80"/>
            <w:r>
              <w:rPr>
                <w:rFonts w:ascii="Times" w:eastAsia="Times New Roman" w:hAnsi="Times" w:cs="Times"/>
                <w:sz w:val="20"/>
                <w:szCs w:val="20"/>
              </w:rPr>
              <w:t>Pipeline and Hazardous Materials Safety Administration</w:t>
            </w:r>
            <w:bookmarkEnd w:id="80"/>
          </w:p>
        </w:tc>
      </w:tr>
      <w:tr w:rsidR="00A936EC">
        <w:trPr>
          <w:tblCellSpacing w:w="24" w:type="dxa"/>
        </w:trPr>
        <w:tc>
          <w:tcPr>
            <w:tcW w:w="360" w:type="dxa"/>
            <w:vAlign w:val="center"/>
            <w:hideMark/>
          </w:tcPr>
          <w:p w:rsidR="00A936EC" w:rsidRDefault="00047006">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936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rsidR="00A936EC" w:rsidRDefault="00047006">
                  <w:pPr>
                    <w:rPr>
                      <w:rFonts w:ascii="Times" w:eastAsia="Times New Roman" w:hAnsi="Times" w:cs="Times"/>
                      <w:sz w:val="20"/>
                      <w:szCs w:val="20"/>
                    </w:rPr>
                  </w:pPr>
                  <w:r>
                    <w:rPr>
                      <w:rFonts w:ascii="Times" w:eastAsia="Times New Roman" w:hAnsi="Times" w:cs="Times"/>
                      <w:sz w:val="20"/>
                      <w:szCs w:val="20"/>
                    </w:rPr>
                    <w:t>Black</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Class Location Requirements</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RIN 2137-AF29</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regards existing class location requirements, specifically as they pertain to actions operators are required to take following class location changes.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This request for public comment would be used to inform future regulatory or deregulatory efforts related to this topic.</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936EC">
              <w:trPr>
                <w:tblCellSpacing w:w="0" w:type="dxa"/>
              </w:trPr>
              <w:tc>
                <w:tcPr>
                  <w:tcW w:w="450" w:type="dxa"/>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936EC">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936EC">
              <w:trPr>
                <w:tblCellSpacing w:w="0" w:type="dxa"/>
              </w:trPr>
              <w:tc>
                <w:tcPr>
                  <w:tcW w:w="0" w:type="auto"/>
                  <w:noWrap/>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936EC" w:rsidRDefault="00A936EC">
                  <w:pPr>
                    <w:framePr w:hSpace="36" w:wrap="around" w:vAnchor="text" w:hAnchor="text"/>
                    <w:rPr>
                      <w:rFonts w:ascii="Times" w:eastAsia="Times New Roman" w:hAnsi="Times" w:cs="Times"/>
                      <w:sz w:val="20"/>
                      <w:szCs w:val="20"/>
                    </w:rPr>
                  </w:pP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936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936E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936EC" w:rsidRDefault="00047006" w:rsidP="008932CE">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936EC">
              <w:trPr>
                <w:tblCellSpacing w:w="15" w:type="dxa"/>
              </w:trPr>
              <w:tc>
                <w:tcPr>
                  <w:tcW w:w="0" w:type="auto"/>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936EC" w:rsidRDefault="00047006">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936EC" w:rsidRDefault="00A936EC">
            <w:pPr>
              <w:rPr>
                <w:rFonts w:ascii="Times" w:eastAsia="Times New Roman" w:hAnsi="Times" w:cs="Times"/>
                <w:sz w:val="20"/>
                <w:szCs w:val="20"/>
              </w:rPr>
            </w:pPr>
          </w:p>
        </w:tc>
      </w:tr>
      <w:tr w:rsidR="00A936EC">
        <w:trPr>
          <w:tblCellSpacing w:w="24" w:type="dxa"/>
        </w:trPr>
        <w:tc>
          <w:tcPr>
            <w:tcW w:w="0" w:type="auto"/>
            <w:gridSpan w:val="2"/>
            <w:vAlign w:val="center"/>
            <w:hideMark/>
          </w:tcPr>
          <w:p w:rsidR="00A936EC" w:rsidRDefault="0004700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936EC" w:rsidRDefault="00047006">
      <w:pPr>
        <w:rPr>
          <w:rFonts w:ascii="Times" w:eastAsia="Times New Roman" w:hAnsi="Times" w:cs="Times"/>
          <w:sz w:val="20"/>
          <w:szCs w:val="20"/>
        </w:rPr>
      </w:pPr>
      <w:r>
        <w:rPr>
          <w:rFonts w:ascii="Times" w:eastAsia="Times New Roman" w:hAnsi="Times" w:cs="Times"/>
          <w:sz w:val="20"/>
          <w:szCs w:val="20"/>
        </w:rPr>
        <w:br w:type="textWrapping" w:clear="all"/>
      </w:r>
    </w:p>
    <w:sectPr w:rsidR="00A93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06"/>
    <w:rsid w:val="00047006"/>
    <w:rsid w:val="001835F3"/>
    <w:rsid w:val="00240BA5"/>
    <w:rsid w:val="00406A99"/>
    <w:rsid w:val="00653408"/>
    <w:rsid w:val="008932CE"/>
    <w:rsid w:val="00920D20"/>
    <w:rsid w:val="00A936EC"/>
    <w:rsid w:val="00B97F68"/>
    <w:rsid w:val="00C0525E"/>
    <w:rsid w:val="00F4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4088053B-28B3-454F-B1A5-88DA30B9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083">
      <w:marLeft w:val="0"/>
      <w:marRight w:val="0"/>
      <w:marTop w:val="0"/>
      <w:marBottom w:val="0"/>
      <w:divBdr>
        <w:top w:val="none" w:sz="0" w:space="0" w:color="auto"/>
        <w:left w:val="none" w:sz="0" w:space="0" w:color="auto"/>
        <w:bottom w:val="none" w:sz="0" w:space="0" w:color="auto"/>
        <w:right w:val="none" w:sz="0" w:space="0" w:color="auto"/>
      </w:divBdr>
    </w:div>
    <w:div w:id="32464467">
      <w:marLeft w:val="0"/>
      <w:marRight w:val="0"/>
      <w:marTop w:val="0"/>
      <w:marBottom w:val="0"/>
      <w:divBdr>
        <w:top w:val="none" w:sz="0" w:space="0" w:color="auto"/>
        <w:left w:val="none" w:sz="0" w:space="0" w:color="auto"/>
        <w:bottom w:val="none" w:sz="0" w:space="0" w:color="auto"/>
        <w:right w:val="none" w:sz="0" w:space="0" w:color="auto"/>
      </w:divBdr>
    </w:div>
    <w:div w:id="67116865">
      <w:marLeft w:val="0"/>
      <w:marRight w:val="0"/>
      <w:marTop w:val="0"/>
      <w:marBottom w:val="0"/>
      <w:divBdr>
        <w:top w:val="none" w:sz="0" w:space="0" w:color="auto"/>
        <w:left w:val="none" w:sz="0" w:space="0" w:color="auto"/>
        <w:bottom w:val="none" w:sz="0" w:space="0" w:color="auto"/>
        <w:right w:val="none" w:sz="0" w:space="0" w:color="auto"/>
      </w:divBdr>
    </w:div>
    <w:div w:id="91820613">
      <w:marLeft w:val="0"/>
      <w:marRight w:val="0"/>
      <w:marTop w:val="0"/>
      <w:marBottom w:val="0"/>
      <w:divBdr>
        <w:top w:val="none" w:sz="0" w:space="0" w:color="auto"/>
        <w:left w:val="none" w:sz="0" w:space="0" w:color="auto"/>
        <w:bottom w:val="none" w:sz="0" w:space="0" w:color="auto"/>
        <w:right w:val="none" w:sz="0" w:space="0" w:color="auto"/>
      </w:divBdr>
    </w:div>
    <w:div w:id="100415497">
      <w:marLeft w:val="0"/>
      <w:marRight w:val="0"/>
      <w:marTop w:val="0"/>
      <w:marBottom w:val="0"/>
      <w:divBdr>
        <w:top w:val="none" w:sz="0" w:space="0" w:color="auto"/>
        <w:left w:val="none" w:sz="0" w:space="0" w:color="auto"/>
        <w:bottom w:val="none" w:sz="0" w:space="0" w:color="auto"/>
        <w:right w:val="none" w:sz="0" w:space="0" w:color="auto"/>
      </w:divBdr>
    </w:div>
    <w:div w:id="116608963">
      <w:marLeft w:val="0"/>
      <w:marRight w:val="0"/>
      <w:marTop w:val="0"/>
      <w:marBottom w:val="0"/>
      <w:divBdr>
        <w:top w:val="none" w:sz="0" w:space="0" w:color="auto"/>
        <w:left w:val="none" w:sz="0" w:space="0" w:color="auto"/>
        <w:bottom w:val="none" w:sz="0" w:space="0" w:color="auto"/>
        <w:right w:val="none" w:sz="0" w:space="0" w:color="auto"/>
      </w:divBdr>
    </w:div>
    <w:div w:id="129714646">
      <w:marLeft w:val="0"/>
      <w:marRight w:val="0"/>
      <w:marTop w:val="0"/>
      <w:marBottom w:val="0"/>
      <w:divBdr>
        <w:top w:val="none" w:sz="0" w:space="0" w:color="auto"/>
        <w:left w:val="none" w:sz="0" w:space="0" w:color="auto"/>
        <w:bottom w:val="none" w:sz="0" w:space="0" w:color="auto"/>
        <w:right w:val="none" w:sz="0" w:space="0" w:color="auto"/>
      </w:divBdr>
    </w:div>
    <w:div w:id="139271307">
      <w:marLeft w:val="0"/>
      <w:marRight w:val="0"/>
      <w:marTop w:val="0"/>
      <w:marBottom w:val="0"/>
      <w:divBdr>
        <w:top w:val="none" w:sz="0" w:space="0" w:color="auto"/>
        <w:left w:val="none" w:sz="0" w:space="0" w:color="auto"/>
        <w:bottom w:val="none" w:sz="0" w:space="0" w:color="auto"/>
        <w:right w:val="none" w:sz="0" w:space="0" w:color="auto"/>
      </w:divBdr>
    </w:div>
    <w:div w:id="154103835">
      <w:marLeft w:val="0"/>
      <w:marRight w:val="0"/>
      <w:marTop w:val="0"/>
      <w:marBottom w:val="0"/>
      <w:divBdr>
        <w:top w:val="none" w:sz="0" w:space="0" w:color="auto"/>
        <w:left w:val="none" w:sz="0" w:space="0" w:color="auto"/>
        <w:bottom w:val="none" w:sz="0" w:space="0" w:color="auto"/>
        <w:right w:val="none" w:sz="0" w:space="0" w:color="auto"/>
      </w:divBdr>
    </w:div>
    <w:div w:id="188379145">
      <w:marLeft w:val="0"/>
      <w:marRight w:val="0"/>
      <w:marTop w:val="0"/>
      <w:marBottom w:val="0"/>
      <w:divBdr>
        <w:top w:val="none" w:sz="0" w:space="0" w:color="auto"/>
        <w:left w:val="none" w:sz="0" w:space="0" w:color="auto"/>
        <w:bottom w:val="none" w:sz="0" w:space="0" w:color="auto"/>
        <w:right w:val="none" w:sz="0" w:space="0" w:color="auto"/>
      </w:divBdr>
    </w:div>
    <w:div w:id="195238914">
      <w:marLeft w:val="0"/>
      <w:marRight w:val="0"/>
      <w:marTop w:val="0"/>
      <w:marBottom w:val="0"/>
      <w:divBdr>
        <w:top w:val="none" w:sz="0" w:space="0" w:color="auto"/>
        <w:left w:val="none" w:sz="0" w:space="0" w:color="auto"/>
        <w:bottom w:val="none" w:sz="0" w:space="0" w:color="auto"/>
        <w:right w:val="none" w:sz="0" w:space="0" w:color="auto"/>
      </w:divBdr>
    </w:div>
    <w:div w:id="219512602">
      <w:marLeft w:val="0"/>
      <w:marRight w:val="0"/>
      <w:marTop w:val="0"/>
      <w:marBottom w:val="0"/>
      <w:divBdr>
        <w:top w:val="none" w:sz="0" w:space="0" w:color="auto"/>
        <w:left w:val="none" w:sz="0" w:space="0" w:color="auto"/>
        <w:bottom w:val="none" w:sz="0" w:space="0" w:color="auto"/>
        <w:right w:val="none" w:sz="0" w:space="0" w:color="auto"/>
      </w:divBdr>
    </w:div>
    <w:div w:id="233703246">
      <w:marLeft w:val="0"/>
      <w:marRight w:val="0"/>
      <w:marTop w:val="0"/>
      <w:marBottom w:val="0"/>
      <w:divBdr>
        <w:top w:val="none" w:sz="0" w:space="0" w:color="auto"/>
        <w:left w:val="none" w:sz="0" w:space="0" w:color="auto"/>
        <w:bottom w:val="none" w:sz="0" w:space="0" w:color="auto"/>
        <w:right w:val="none" w:sz="0" w:space="0" w:color="auto"/>
      </w:divBdr>
    </w:div>
    <w:div w:id="249433859">
      <w:marLeft w:val="0"/>
      <w:marRight w:val="0"/>
      <w:marTop w:val="0"/>
      <w:marBottom w:val="0"/>
      <w:divBdr>
        <w:top w:val="none" w:sz="0" w:space="0" w:color="auto"/>
        <w:left w:val="none" w:sz="0" w:space="0" w:color="auto"/>
        <w:bottom w:val="none" w:sz="0" w:space="0" w:color="auto"/>
        <w:right w:val="none" w:sz="0" w:space="0" w:color="auto"/>
      </w:divBdr>
    </w:div>
    <w:div w:id="291058430">
      <w:marLeft w:val="0"/>
      <w:marRight w:val="0"/>
      <w:marTop w:val="0"/>
      <w:marBottom w:val="0"/>
      <w:divBdr>
        <w:top w:val="none" w:sz="0" w:space="0" w:color="auto"/>
        <w:left w:val="none" w:sz="0" w:space="0" w:color="auto"/>
        <w:bottom w:val="none" w:sz="0" w:space="0" w:color="auto"/>
        <w:right w:val="none" w:sz="0" w:space="0" w:color="auto"/>
      </w:divBdr>
    </w:div>
    <w:div w:id="353120965">
      <w:marLeft w:val="0"/>
      <w:marRight w:val="0"/>
      <w:marTop w:val="0"/>
      <w:marBottom w:val="0"/>
      <w:divBdr>
        <w:top w:val="none" w:sz="0" w:space="0" w:color="auto"/>
        <w:left w:val="none" w:sz="0" w:space="0" w:color="auto"/>
        <w:bottom w:val="none" w:sz="0" w:space="0" w:color="auto"/>
        <w:right w:val="none" w:sz="0" w:space="0" w:color="auto"/>
      </w:divBdr>
    </w:div>
    <w:div w:id="458038962">
      <w:marLeft w:val="0"/>
      <w:marRight w:val="0"/>
      <w:marTop w:val="0"/>
      <w:marBottom w:val="0"/>
      <w:divBdr>
        <w:top w:val="none" w:sz="0" w:space="0" w:color="auto"/>
        <w:left w:val="none" w:sz="0" w:space="0" w:color="auto"/>
        <w:bottom w:val="none" w:sz="0" w:space="0" w:color="auto"/>
        <w:right w:val="none" w:sz="0" w:space="0" w:color="auto"/>
      </w:divBdr>
    </w:div>
    <w:div w:id="486092640">
      <w:marLeft w:val="0"/>
      <w:marRight w:val="0"/>
      <w:marTop w:val="0"/>
      <w:marBottom w:val="0"/>
      <w:divBdr>
        <w:top w:val="none" w:sz="0" w:space="0" w:color="auto"/>
        <w:left w:val="none" w:sz="0" w:space="0" w:color="auto"/>
        <w:bottom w:val="none" w:sz="0" w:space="0" w:color="auto"/>
        <w:right w:val="none" w:sz="0" w:space="0" w:color="auto"/>
      </w:divBdr>
    </w:div>
    <w:div w:id="505095417">
      <w:marLeft w:val="0"/>
      <w:marRight w:val="0"/>
      <w:marTop w:val="0"/>
      <w:marBottom w:val="0"/>
      <w:divBdr>
        <w:top w:val="none" w:sz="0" w:space="0" w:color="auto"/>
        <w:left w:val="none" w:sz="0" w:space="0" w:color="auto"/>
        <w:bottom w:val="none" w:sz="0" w:space="0" w:color="auto"/>
        <w:right w:val="none" w:sz="0" w:space="0" w:color="auto"/>
      </w:divBdr>
    </w:div>
    <w:div w:id="511528539">
      <w:marLeft w:val="0"/>
      <w:marRight w:val="0"/>
      <w:marTop w:val="0"/>
      <w:marBottom w:val="0"/>
      <w:divBdr>
        <w:top w:val="none" w:sz="0" w:space="0" w:color="auto"/>
        <w:left w:val="none" w:sz="0" w:space="0" w:color="auto"/>
        <w:bottom w:val="none" w:sz="0" w:space="0" w:color="auto"/>
        <w:right w:val="none" w:sz="0" w:space="0" w:color="auto"/>
      </w:divBdr>
    </w:div>
    <w:div w:id="513693536">
      <w:marLeft w:val="0"/>
      <w:marRight w:val="0"/>
      <w:marTop w:val="0"/>
      <w:marBottom w:val="0"/>
      <w:divBdr>
        <w:top w:val="none" w:sz="0" w:space="0" w:color="auto"/>
        <w:left w:val="none" w:sz="0" w:space="0" w:color="auto"/>
        <w:bottom w:val="none" w:sz="0" w:space="0" w:color="auto"/>
        <w:right w:val="none" w:sz="0" w:space="0" w:color="auto"/>
      </w:divBdr>
    </w:div>
    <w:div w:id="559101555">
      <w:marLeft w:val="0"/>
      <w:marRight w:val="0"/>
      <w:marTop w:val="0"/>
      <w:marBottom w:val="0"/>
      <w:divBdr>
        <w:top w:val="none" w:sz="0" w:space="0" w:color="auto"/>
        <w:left w:val="none" w:sz="0" w:space="0" w:color="auto"/>
        <w:bottom w:val="none" w:sz="0" w:space="0" w:color="auto"/>
        <w:right w:val="none" w:sz="0" w:space="0" w:color="auto"/>
      </w:divBdr>
    </w:div>
    <w:div w:id="602222905">
      <w:marLeft w:val="0"/>
      <w:marRight w:val="0"/>
      <w:marTop w:val="0"/>
      <w:marBottom w:val="0"/>
      <w:divBdr>
        <w:top w:val="none" w:sz="0" w:space="0" w:color="auto"/>
        <w:left w:val="none" w:sz="0" w:space="0" w:color="auto"/>
        <w:bottom w:val="none" w:sz="0" w:space="0" w:color="auto"/>
        <w:right w:val="none" w:sz="0" w:space="0" w:color="auto"/>
      </w:divBdr>
    </w:div>
    <w:div w:id="616837066">
      <w:marLeft w:val="0"/>
      <w:marRight w:val="0"/>
      <w:marTop w:val="0"/>
      <w:marBottom w:val="0"/>
      <w:divBdr>
        <w:top w:val="none" w:sz="0" w:space="0" w:color="auto"/>
        <w:left w:val="none" w:sz="0" w:space="0" w:color="auto"/>
        <w:bottom w:val="none" w:sz="0" w:space="0" w:color="auto"/>
        <w:right w:val="none" w:sz="0" w:space="0" w:color="auto"/>
      </w:divBdr>
    </w:div>
    <w:div w:id="621494630">
      <w:marLeft w:val="0"/>
      <w:marRight w:val="0"/>
      <w:marTop w:val="0"/>
      <w:marBottom w:val="0"/>
      <w:divBdr>
        <w:top w:val="none" w:sz="0" w:space="0" w:color="auto"/>
        <w:left w:val="none" w:sz="0" w:space="0" w:color="auto"/>
        <w:bottom w:val="none" w:sz="0" w:space="0" w:color="auto"/>
        <w:right w:val="none" w:sz="0" w:space="0" w:color="auto"/>
      </w:divBdr>
    </w:div>
    <w:div w:id="632250385">
      <w:marLeft w:val="0"/>
      <w:marRight w:val="0"/>
      <w:marTop w:val="0"/>
      <w:marBottom w:val="0"/>
      <w:divBdr>
        <w:top w:val="none" w:sz="0" w:space="0" w:color="auto"/>
        <w:left w:val="none" w:sz="0" w:space="0" w:color="auto"/>
        <w:bottom w:val="none" w:sz="0" w:space="0" w:color="auto"/>
        <w:right w:val="none" w:sz="0" w:space="0" w:color="auto"/>
      </w:divBdr>
    </w:div>
    <w:div w:id="650256001">
      <w:marLeft w:val="0"/>
      <w:marRight w:val="0"/>
      <w:marTop w:val="0"/>
      <w:marBottom w:val="0"/>
      <w:divBdr>
        <w:top w:val="none" w:sz="0" w:space="0" w:color="auto"/>
        <w:left w:val="none" w:sz="0" w:space="0" w:color="auto"/>
        <w:bottom w:val="none" w:sz="0" w:space="0" w:color="auto"/>
        <w:right w:val="none" w:sz="0" w:space="0" w:color="auto"/>
      </w:divBdr>
    </w:div>
    <w:div w:id="658267037">
      <w:marLeft w:val="0"/>
      <w:marRight w:val="0"/>
      <w:marTop w:val="0"/>
      <w:marBottom w:val="0"/>
      <w:divBdr>
        <w:top w:val="none" w:sz="0" w:space="0" w:color="auto"/>
        <w:left w:val="none" w:sz="0" w:space="0" w:color="auto"/>
        <w:bottom w:val="none" w:sz="0" w:space="0" w:color="auto"/>
        <w:right w:val="none" w:sz="0" w:space="0" w:color="auto"/>
      </w:divBdr>
    </w:div>
    <w:div w:id="662776333">
      <w:marLeft w:val="0"/>
      <w:marRight w:val="0"/>
      <w:marTop w:val="0"/>
      <w:marBottom w:val="0"/>
      <w:divBdr>
        <w:top w:val="none" w:sz="0" w:space="0" w:color="auto"/>
        <w:left w:val="none" w:sz="0" w:space="0" w:color="auto"/>
        <w:bottom w:val="none" w:sz="0" w:space="0" w:color="auto"/>
        <w:right w:val="none" w:sz="0" w:space="0" w:color="auto"/>
      </w:divBdr>
    </w:div>
    <w:div w:id="675612426">
      <w:marLeft w:val="0"/>
      <w:marRight w:val="0"/>
      <w:marTop w:val="0"/>
      <w:marBottom w:val="0"/>
      <w:divBdr>
        <w:top w:val="none" w:sz="0" w:space="0" w:color="auto"/>
        <w:left w:val="none" w:sz="0" w:space="0" w:color="auto"/>
        <w:bottom w:val="none" w:sz="0" w:space="0" w:color="auto"/>
        <w:right w:val="none" w:sz="0" w:space="0" w:color="auto"/>
      </w:divBdr>
    </w:div>
    <w:div w:id="723406229">
      <w:marLeft w:val="0"/>
      <w:marRight w:val="0"/>
      <w:marTop w:val="0"/>
      <w:marBottom w:val="0"/>
      <w:divBdr>
        <w:top w:val="none" w:sz="0" w:space="0" w:color="auto"/>
        <w:left w:val="none" w:sz="0" w:space="0" w:color="auto"/>
        <w:bottom w:val="none" w:sz="0" w:space="0" w:color="auto"/>
        <w:right w:val="none" w:sz="0" w:space="0" w:color="auto"/>
      </w:divBdr>
    </w:div>
    <w:div w:id="740253208">
      <w:marLeft w:val="0"/>
      <w:marRight w:val="0"/>
      <w:marTop w:val="0"/>
      <w:marBottom w:val="0"/>
      <w:divBdr>
        <w:top w:val="none" w:sz="0" w:space="0" w:color="auto"/>
        <w:left w:val="none" w:sz="0" w:space="0" w:color="auto"/>
        <w:bottom w:val="none" w:sz="0" w:space="0" w:color="auto"/>
        <w:right w:val="none" w:sz="0" w:space="0" w:color="auto"/>
      </w:divBdr>
    </w:div>
    <w:div w:id="756710207">
      <w:marLeft w:val="0"/>
      <w:marRight w:val="0"/>
      <w:marTop w:val="0"/>
      <w:marBottom w:val="0"/>
      <w:divBdr>
        <w:top w:val="none" w:sz="0" w:space="0" w:color="auto"/>
        <w:left w:val="none" w:sz="0" w:space="0" w:color="auto"/>
        <w:bottom w:val="none" w:sz="0" w:space="0" w:color="auto"/>
        <w:right w:val="none" w:sz="0" w:space="0" w:color="auto"/>
      </w:divBdr>
    </w:div>
    <w:div w:id="794904960">
      <w:marLeft w:val="0"/>
      <w:marRight w:val="0"/>
      <w:marTop w:val="0"/>
      <w:marBottom w:val="0"/>
      <w:divBdr>
        <w:top w:val="none" w:sz="0" w:space="0" w:color="auto"/>
        <w:left w:val="none" w:sz="0" w:space="0" w:color="auto"/>
        <w:bottom w:val="none" w:sz="0" w:space="0" w:color="auto"/>
        <w:right w:val="none" w:sz="0" w:space="0" w:color="auto"/>
      </w:divBdr>
    </w:div>
    <w:div w:id="833569207">
      <w:marLeft w:val="0"/>
      <w:marRight w:val="0"/>
      <w:marTop w:val="0"/>
      <w:marBottom w:val="0"/>
      <w:divBdr>
        <w:top w:val="none" w:sz="0" w:space="0" w:color="auto"/>
        <w:left w:val="none" w:sz="0" w:space="0" w:color="auto"/>
        <w:bottom w:val="none" w:sz="0" w:space="0" w:color="auto"/>
        <w:right w:val="none" w:sz="0" w:space="0" w:color="auto"/>
      </w:divBdr>
    </w:div>
    <w:div w:id="840048444">
      <w:marLeft w:val="0"/>
      <w:marRight w:val="0"/>
      <w:marTop w:val="0"/>
      <w:marBottom w:val="0"/>
      <w:divBdr>
        <w:top w:val="none" w:sz="0" w:space="0" w:color="auto"/>
        <w:left w:val="none" w:sz="0" w:space="0" w:color="auto"/>
        <w:bottom w:val="none" w:sz="0" w:space="0" w:color="auto"/>
        <w:right w:val="none" w:sz="0" w:space="0" w:color="auto"/>
      </w:divBdr>
    </w:div>
    <w:div w:id="846407565">
      <w:marLeft w:val="0"/>
      <w:marRight w:val="0"/>
      <w:marTop w:val="0"/>
      <w:marBottom w:val="0"/>
      <w:divBdr>
        <w:top w:val="none" w:sz="0" w:space="0" w:color="auto"/>
        <w:left w:val="none" w:sz="0" w:space="0" w:color="auto"/>
        <w:bottom w:val="none" w:sz="0" w:space="0" w:color="auto"/>
        <w:right w:val="none" w:sz="0" w:space="0" w:color="auto"/>
      </w:divBdr>
    </w:div>
    <w:div w:id="856118280">
      <w:marLeft w:val="0"/>
      <w:marRight w:val="0"/>
      <w:marTop w:val="0"/>
      <w:marBottom w:val="0"/>
      <w:divBdr>
        <w:top w:val="none" w:sz="0" w:space="0" w:color="auto"/>
        <w:left w:val="none" w:sz="0" w:space="0" w:color="auto"/>
        <w:bottom w:val="none" w:sz="0" w:space="0" w:color="auto"/>
        <w:right w:val="none" w:sz="0" w:space="0" w:color="auto"/>
      </w:divBdr>
    </w:div>
    <w:div w:id="900754352">
      <w:marLeft w:val="0"/>
      <w:marRight w:val="0"/>
      <w:marTop w:val="0"/>
      <w:marBottom w:val="0"/>
      <w:divBdr>
        <w:top w:val="none" w:sz="0" w:space="0" w:color="auto"/>
        <w:left w:val="none" w:sz="0" w:space="0" w:color="auto"/>
        <w:bottom w:val="none" w:sz="0" w:space="0" w:color="auto"/>
        <w:right w:val="none" w:sz="0" w:space="0" w:color="auto"/>
      </w:divBdr>
    </w:div>
    <w:div w:id="906067703">
      <w:marLeft w:val="0"/>
      <w:marRight w:val="0"/>
      <w:marTop w:val="0"/>
      <w:marBottom w:val="0"/>
      <w:divBdr>
        <w:top w:val="none" w:sz="0" w:space="0" w:color="auto"/>
        <w:left w:val="none" w:sz="0" w:space="0" w:color="auto"/>
        <w:bottom w:val="none" w:sz="0" w:space="0" w:color="auto"/>
        <w:right w:val="none" w:sz="0" w:space="0" w:color="auto"/>
      </w:divBdr>
    </w:div>
    <w:div w:id="1060135207">
      <w:marLeft w:val="0"/>
      <w:marRight w:val="0"/>
      <w:marTop w:val="0"/>
      <w:marBottom w:val="0"/>
      <w:divBdr>
        <w:top w:val="none" w:sz="0" w:space="0" w:color="auto"/>
        <w:left w:val="none" w:sz="0" w:space="0" w:color="auto"/>
        <w:bottom w:val="none" w:sz="0" w:space="0" w:color="auto"/>
        <w:right w:val="none" w:sz="0" w:space="0" w:color="auto"/>
      </w:divBdr>
    </w:div>
    <w:div w:id="1111783914">
      <w:marLeft w:val="0"/>
      <w:marRight w:val="0"/>
      <w:marTop w:val="0"/>
      <w:marBottom w:val="0"/>
      <w:divBdr>
        <w:top w:val="none" w:sz="0" w:space="0" w:color="auto"/>
        <w:left w:val="none" w:sz="0" w:space="0" w:color="auto"/>
        <w:bottom w:val="none" w:sz="0" w:space="0" w:color="auto"/>
        <w:right w:val="none" w:sz="0" w:space="0" w:color="auto"/>
      </w:divBdr>
    </w:div>
    <w:div w:id="1133400494">
      <w:marLeft w:val="0"/>
      <w:marRight w:val="0"/>
      <w:marTop w:val="0"/>
      <w:marBottom w:val="0"/>
      <w:divBdr>
        <w:top w:val="none" w:sz="0" w:space="0" w:color="auto"/>
        <w:left w:val="none" w:sz="0" w:space="0" w:color="auto"/>
        <w:bottom w:val="none" w:sz="0" w:space="0" w:color="auto"/>
        <w:right w:val="none" w:sz="0" w:space="0" w:color="auto"/>
      </w:divBdr>
    </w:div>
    <w:div w:id="1147551525">
      <w:marLeft w:val="0"/>
      <w:marRight w:val="0"/>
      <w:marTop w:val="0"/>
      <w:marBottom w:val="0"/>
      <w:divBdr>
        <w:top w:val="none" w:sz="0" w:space="0" w:color="auto"/>
        <w:left w:val="none" w:sz="0" w:space="0" w:color="auto"/>
        <w:bottom w:val="none" w:sz="0" w:space="0" w:color="auto"/>
        <w:right w:val="none" w:sz="0" w:space="0" w:color="auto"/>
      </w:divBdr>
    </w:div>
    <w:div w:id="1165511071">
      <w:marLeft w:val="0"/>
      <w:marRight w:val="0"/>
      <w:marTop w:val="0"/>
      <w:marBottom w:val="0"/>
      <w:divBdr>
        <w:top w:val="none" w:sz="0" w:space="0" w:color="auto"/>
        <w:left w:val="none" w:sz="0" w:space="0" w:color="auto"/>
        <w:bottom w:val="none" w:sz="0" w:space="0" w:color="auto"/>
        <w:right w:val="none" w:sz="0" w:space="0" w:color="auto"/>
      </w:divBdr>
    </w:div>
    <w:div w:id="1244223288">
      <w:marLeft w:val="0"/>
      <w:marRight w:val="0"/>
      <w:marTop w:val="0"/>
      <w:marBottom w:val="0"/>
      <w:divBdr>
        <w:top w:val="none" w:sz="0" w:space="0" w:color="auto"/>
        <w:left w:val="none" w:sz="0" w:space="0" w:color="auto"/>
        <w:bottom w:val="none" w:sz="0" w:space="0" w:color="auto"/>
        <w:right w:val="none" w:sz="0" w:space="0" w:color="auto"/>
      </w:divBdr>
    </w:div>
    <w:div w:id="1253591750">
      <w:marLeft w:val="0"/>
      <w:marRight w:val="0"/>
      <w:marTop w:val="0"/>
      <w:marBottom w:val="0"/>
      <w:divBdr>
        <w:top w:val="none" w:sz="0" w:space="0" w:color="auto"/>
        <w:left w:val="none" w:sz="0" w:space="0" w:color="auto"/>
        <w:bottom w:val="none" w:sz="0" w:space="0" w:color="auto"/>
        <w:right w:val="none" w:sz="0" w:space="0" w:color="auto"/>
      </w:divBdr>
    </w:div>
    <w:div w:id="1296835866">
      <w:marLeft w:val="0"/>
      <w:marRight w:val="0"/>
      <w:marTop w:val="0"/>
      <w:marBottom w:val="0"/>
      <w:divBdr>
        <w:top w:val="none" w:sz="0" w:space="0" w:color="auto"/>
        <w:left w:val="none" w:sz="0" w:space="0" w:color="auto"/>
        <w:bottom w:val="none" w:sz="0" w:space="0" w:color="auto"/>
        <w:right w:val="none" w:sz="0" w:space="0" w:color="auto"/>
      </w:divBdr>
    </w:div>
    <w:div w:id="1302999074">
      <w:marLeft w:val="0"/>
      <w:marRight w:val="0"/>
      <w:marTop w:val="0"/>
      <w:marBottom w:val="0"/>
      <w:divBdr>
        <w:top w:val="none" w:sz="0" w:space="0" w:color="auto"/>
        <w:left w:val="none" w:sz="0" w:space="0" w:color="auto"/>
        <w:bottom w:val="none" w:sz="0" w:space="0" w:color="auto"/>
        <w:right w:val="none" w:sz="0" w:space="0" w:color="auto"/>
      </w:divBdr>
    </w:div>
    <w:div w:id="1312752575">
      <w:marLeft w:val="0"/>
      <w:marRight w:val="0"/>
      <w:marTop w:val="0"/>
      <w:marBottom w:val="0"/>
      <w:divBdr>
        <w:top w:val="none" w:sz="0" w:space="0" w:color="auto"/>
        <w:left w:val="none" w:sz="0" w:space="0" w:color="auto"/>
        <w:bottom w:val="none" w:sz="0" w:space="0" w:color="auto"/>
        <w:right w:val="none" w:sz="0" w:space="0" w:color="auto"/>
      </w:divBdr>
    </w:div>
    <w:div w:id="1327367158">
      <w:marLeft w:val="0"/>
      <w:marRight w:val="0"/>
      <w:marTop w:val="0"/>
      <w:marBottom w:val="0"/>
      <w:divBdr>
        <w:top w:val="none" w:sz="0" w:space="0" w:color="auto"/>
        <w:left w:val="none" w:sz="0" w:space="0" w:color="auto"/>
        <w:bottom w:val="none" w:sz="0" w:space="0" w:color="auto"/>
        <w:right w:val="none" w:sz="0" w:space="0" w:color="auto"/>
      </w:divBdr>
    </w:div>
    <w:div w:id="1332292390">
      <w:marLeft w:val="0"/>
      <w:marRight w:val="0"/>
      <w:marTop w:val="0"/>
      <w:marBottom w:val="0"/>
      <w:divBdr>
        <w:top w:val="none" w:sz="0" w:space="0" w:color="auto"/>
        <w:left w:val="none" w:sz="0" w:space="0" w:color="auto"/>
        <w:bottom w:val="none" w:sz="0" w:space="0" w:color="auto"/>
        <w:right w:val="none" w:sz="0" w:space="0" w:color="auto"/>
      </w:divBdr>
    </w:div>
    <w:div w:id="1367756439">
      <w:marLeft w:val="0"/>
      <w:marRight w:val="0"/>
      <w:marTop w:val="0"/>
      <w:marBottom w:val="0"/>
      <w:divBdr>
        <w:top w:val="none" w:sz="0" w:space="0" w:color="auto"/>
        <w:left w:val="none" w:sz="0" w:space="0" w:color="auto"/>
        <w:bottom w:val="none" w:sz="0" w:space="0" w:color="auto"/>
        <w:right w:val="none" w:sz="0" w:space="0" w:color="auto"/>
      </w:divBdr>
    </w:div>
    <w:div w:id="1416392208">
      <w:marLeft w:val="0"/>
      <w:marRight w:val="0"/>
      <w:marTop w:val="0"/>
      <w:marBottom w:val="0"/>
      <w:divBdr>
        <w:top w:val="none" w:sz="0" w:space="0" w:color="auto"/>
        <w:left w:val="none" w:sz="0" w:space="0" w:color="auto"/>
        <w:bottom w:val="none" w:sz="0" w:space="0" w:color="auto"/>
        <w:right w:val="none" w:sz="0" w:space="0" w:color="auto"/>
      </w:divBdr>
    </w:div>
    <w:div w:id="1423211968">
      <w:marLeft w:val="0"/>
      <w:marRight w:val="0"/>
      <w:marTop w:val="0"/>
      <w:marBottom w:val="0"/>
      <w:divBdr>
        <w:top w:val="none" w:sz="0" w:space="0" w:color="auto"/>
        <w:left w:val="none" w:sz="0" w:space="0" w:color="auto"/>
        <w:bottom w:val="none" w:sz="0" w:space="0" w:color="auto"/>
        <w:right w:val="none" w:sz="0" w:space="0" w:color="auto"/>
      </w:divBdr>
    </w:div>
    <w:div w:id="1430656648">
      <w:marLeft w:val="0"/>
      <w:marRight w:val="0"/>
      <w:marTop w:val="0"/>
      <w:marBottom w:val="0"/>
      <w:divBdr>
        <w:top w:val="none" w:sz="0" w:space="0" w:color="auto"/>
        <w:left w:val="none" w:sz="0" w:space="0" w:color="auto"/>
        <w:bottom w:val="none" w:sz="0" w:space="0" w:color="auto"/>
        <w:right w:val="none" w:sz="0" w:space="0" w:color="auto"/>
      </w:divBdr>
    </w:div>
    <w:div w:id="1474710701">
      <w:marLeft w:val="0"/>
      <w:marRight w:val="0"/>
      <w:marTop w:val="0"/>
      <w:marBottom w:val="0"/>
      <w:divBdr>
        <w:top w:val="none" w:sz="0" w:space="0" w:color="auto"/>
        <w:left w:val="none" w:sz="0" w:space="0" w:color="auto"/>
        <w:bottom w:val="none" w:sz="0" w:space="0" w:color="auto"/>
        <w:right w:val="none" w:sz="0" w:space="0" w:color="auto"/>
      </w:divBdr>
    </w:div>
    <w:div w:id="1482041538">
      <w:marLeft w:val="0"/>
      <w:marRight w:val="0"/>
      <w:marTop w:val="0"/>
      <w:marBottom w:val="0"/>
      <w:divBdr>
        <w:top w:val="none" w:sz="0" w:space="0" w:color="auto"/>
        <w:left w:val="none" w:sz="0" w:space="0" w:color="auto"/>
        <w:bottom w:val="none" w:sz="0" w:space="0" w:color="auto"/>
        <w:right w:val="none" w:sz="0" w:space="0" w:color="auto"/>
      </w:divBdr>
    </w:div>
    <w:div w:id="1498038619">
      <w:marLeft w:val="0"/>
      <w:marRight w:val="0"/>
      <w:marTop w:val="0"/>
      <w:marBottom w:val="0"/>
      <w:divBdr>
        <w:top w:val="none" w:sz="0" w:space="0" w:color="auto"/>
        <w:left w:val="none" w:sz="0" w:space="0" w:color="auto"/>
        <w:bottom w:val="none" w:sz="0" w:space="0" w:color="auto"/>
        <w:right w:val="none" w:sz="0" w:space="0" w:color="auto"/>
      </w:divBdr>
    </w:div>
    <w:div w:id="1547137828">
      <w:marLeft w:val="0"/>
      <w:marRight w:val="0"/>
      <w:marTop w:val="0"/>
      <w:marBottom w:val="0"/>
      <w:divBdr>
        <w:top w:val="none" w:sz="0" w:space="0" w:color="auto"/>
        <w:left w:val="none" w:sz="0" w:space="0" w:color="auto"/>
        <w:bottom w:val="none" w:sz="0" w:space="0" w:color="auto"/>
        <w:right w:val="none" w:sz="0" w:space="0" w:color="auto"/>
      </w:divBdr>
    </w:div>
    <w:div w:id="1666670078">
      <w:marLeft w:val="0"/>
      <w:marRight w:val="0"/>
      <w:marTop w:val="0"/>
      <w:marBottom w:val="0"/>
      <w:divBdr>
        <w:top w:val="none" w:sz="0" w:space="0" w:color="auto"/>
        <w:left w:val="none" w:sz="0" w:space="0" w:color="auto"/>
        <w:bottom w:val="none" w:sz="0" w:space="0" w:color="auto"/>
        <w:right w:val="none" w:sz="0" w:space="0" w:color="auto"/>
      </w:divBdr>
    </w:div>
    <w:div w:id="1685784921">
      <w:marLeft w:val="0"/>
      <w:marRight w:val="0"/>
      <w:marTop w:val="0"/>
      <w:marBottom w:val="0"/>
      <w:divBdr>
        <w:top w:val="none" w:sz="0" w:space="0" w:color="auto"/>
        <w:left w:val="none" w:sz="0" w:space="0" w:color="auto"/>
        <w:bottom w:val="none" w:sz="0" w:space="0" w:color="auto"/>
        <w:right w:val="none" w:sz="0" w:space="0" w:color="auto"/>
      </w:divBdr>
    </w:div>
    <w:div w:id="1728525637">
      <w:marLeft w:val="0"/>
      <w:marRight w:val="0"/>
      <w:marTop w:val="0"/>
      <w:marBottom w:val="0"/>
      <w:divBdr>
        <w:top w:val="none" w:sz="0" w:space="0" w:color="auto"/>
        <w:left w:val="none" w:sz="0" w:space="0" w:color="auto"/>
        <w:bottom w:val="none" w:sz="0" w:space="0" w:color="auto"/>
        <w:right w:val="none" w:sz="0" w:space="0" w:color="auto"/>
      </w:divBdr>
    </w:div>
    <w:div w:id="1730036106">
      <w:marLeft w:val="0"/>
      <w:marRight w:val="0"/>
      <w:marTop w:val="0"/>
      <w:marBottom w:val="0"/>
      <w:divBdr>
        <w:top w:val="none" w:sz="0" w:space="0" w:color="auto"/>
        <w:left w:val="none" w:sz="0" w:space="0" w:color="auto"/>
        <w:bottom w:val="none" w:sz="0" w:space="0" w:color="auto"/>
        <w:right w:val="none" w:sz="0" w:space="0" w:color="auto"/>
      </w:divBdr>
    </w:div>
    <w:div w:id="1741175302">
      <w:marLeft w:val="0"/>
      <w:marRight w:val="0"/>
      <w:marTop w:val="0"/>
      <w:marBottom w:val="0"/>
      <w:divBdr>
        <w:top w:val="none" w:sz="0" w:space="0" w:color="auto"/>
        <w:left w:val="none" w:sz="0" w:space="0" w:color="auto"/>
        <w:bottom w:val="none" w:sz="0" w:space="0" w:color="auto"/>
        <w:right w:val="none" w:sz="0" w:space="0" w:color="auto"/>
      </w:divBdr>
    </w:div>
    <w:div w:id="1745490506">
      <w:marLeft w:val="0"/>
      <w:marRight w:val="0"/>
      <w:marTop w:val="0"/>
      <w:marBottom w:val="0"/>
      <w:divBdr>
        <w:top w:val="none" w:sz="0" w:space="0" w:color="auto"/>
        <w:left w:val="none" w:sz="0" w:space="0" w:color="auto"/>
        <w:bottom w:val="none" w:sz="0" w:space="0" w:color="auto"/>
        <w:right w:val="none" w:sz="0" w:space="0" w:color="auto"/>
      </w:divBdr>
    </w:div>
    <w:div w:id="1766535182">
      <w:marLeft w:val="0"/>
      <w:marRight w:val="0"/>
      <w:marTop w:val="0"/>
      <w:marBottom w:val="0"/>
      <w:divBdr>
        <w:top w:val="none" w:sz="0" w:space="0" w:color="auto"/>
        <w:left w:val="none" w:sz="0" w:space="0" w:color="auto"/>
        <w:bottom w:val="none" w:sz="0" w:space="0" w:color="auto"/>
        <w:right w:val="none" w:sz="0" w:space="0" w:color="auto"/>
      </w:divBdr>
    </w:div>
    <w:div w:id="1795758379">
      <w:marLeft w:val="0"/>
      <w:marRight w:val="0"/>
      <w:marTop w:val="0"/>
      <w:marBottom w:val="0"/>
      <w:divBdr>
        <w:top w:val="none" w:sz="0" w:space="0" w:color="auto"/>
        <w:left w:val="none" w:sz="0" w:space="0" w:color="auto"/>
        <w:bottom w:val="none" w:sz="0" w:space="0" w:color="auto"/>
        <w:right w:val="none" w:sz="0" w:space="0" w:color="auto"/>
      </w:divBdr>
    </w:div>
    <w:div w:id="1800800764">
      <w:marLeft w:val="0"/>
      <w:marRight w:val="0"/>
      <w:marTop w:val="0"/>
      <w:marBottom w:val="0"/>
      <w:divBdr>
        <w:top w:val="none" w:sz="0" w:space="0" w:color="auto"/>
        <w:left w:val="none" w:sz="0" w:space="0" w:color="auto"/>
        <w:bottom w:val="none" w:sz="0" w:space="0" w:color="auto"/>
        <w:right w:val="none" w:sz="0" w:space="0" w:color="auto"/>
      </w:divBdr>
    </w:div>
    <w:div w:id="1854952568">
      <w:marLeft w:val="0"/>
      <w:marRight w:val="0"/>
      <w:marTop w:val="0"/>
      <w:marBottom w:val="0"/>
      <w:divBdr>
        <w:top w:val="none" w:sz="0" w:space="0" w:color="auto"/>
        <w:left w:val="none" w:sz="0" w:space="0" w:color="auto"/>
        <w:bottom w:val="none" w:sz="0" w:space="0" w:color="auto"/>
        <w:right w:val="none" w:sz="0" w:space="0" w:color="auto"/>
      </w:divBdr>
    </w:div>
    <w:div w:id="1869491660">
      <w:marLeft w:val="0"/>
      <w:marRight w:val="0"/>
      <w:marTop w:val="0"/>
      <w:marBottom w:val="0"/>
      <w:divBdr>
        <w:top w:val="none" w:sz="0" w:space="0" w:color="auto"/>
        <w:left w:val="none" w:sz="0" w:space="0" w:color="auto"/>
        <w:bottom w:val="none" w:sz="0" w:space="0" w:color="auto"/>
        <w:right w:val="none" w:sz="0" w:space="0" w:color="auto"/>
      </w:divBdr>
    </w:div>
    <w:div w:id="1888905896">
      <w:marLeft w:val="0"/>
      <w:marRight w:val="0"/>
      <w:marTop w:val="0"/>
      <w:marBottom w:val="0"/>
      <w:divBdr>
        <w:top w:val="none" w:sz="0" w:space="0" w:color="auto"/>
        <w:left w:val="none" w:sz="0" w:space="0" w:color="auto"/>
        <w:bottom w:val="none" w:sz="0" w:space="0" w:color="auto"/>
        <w:right w:val="none" w:sz="0" w:space="0" w:color="auto"/>
      </w:divBdr>
    </w:div>
    <w:div w:id="1930892280">
      <w:marLeft w:val="0"/>
      <w:marRight w:val="0"/>
      <w:marTop w:val="0"/>
      <w:marBottom w:val="0"/>
      <w:divBdr>
        <w:top w:val="none" w:sz="0" w:space="0" w:color="auto"/>
        <w:left w:val="none" w:sz="0" w:space="0" w:color="auto"/>
        <w:bottom w:val="none" w:sz="0" w:space="0" w:color="auto"/>
        <w:right w:val="none" w:sz="0" w:space="0" w:color="auto"/>
      </w:divBdr>
    </w:div>
    <w:div w:id="1967275470">
      <w:marLeft w:val="0"/>
      <w:marRight w:val="0"/>
      <w:marTop w:val="0"/>
      <w:marBottom w:val="0"/>
      <w:divBdr>
        <w:top w:val="none" w:sz="0" w:space="0" w:color="auto"/>
        <w:left w:val="none" w:sz="0" w:space="0" w:color="auto"/>
        <w:bottom w:val="none" w:sz="0" w:space="0" w:color="auto"/>
        <w:right w:val="none" w:sz="0" w:space="0" w:color="auto"/>
      </w:divBdr>
    </w:div>
    <w:div w:id="1983538299">
      <w:marLeft w:val="0"/>
      <w:marRight w:val="0"/>
      <w:marTop w:val="0"/>
      <w:marBottom w:val="0"/>
      <w:divBdr>
        <w:top w:val="none" w:sz="0" w:space="0" w:color="auto"/>
        <w:left w:val="none" w:sz="0" w:space="0" w:color="auto"/>
        <w:bottom w:val="none" w:sz="0" w:space="0" w:color="auto"/>
        <w:right w:val="none" w:sz="0" w:space="0" w:color="auto"/>
      </w:divBdr>
    </w:div>
    <w:div w:id="2041469272">
      <w:marLeft w:val="0"/>
      <w:marRight w:val="0"/>
      <w:marTop w:val="0"/>
      <w:marBottom w:val="0"/>
      <w:divBdr>
        <w:top w:val="none" w:sz="0" w:space="0" w:color="auto"/>
        <w:left w:val="none" w:sz="0" w:space="0" w:color="auto"/>
        <w:bottom w:val="none" w:sz="0" w:space="0" w:color="auto"/>
        <w:right w:val="none" w:sz="0" w:space="0" w:color="auto"/>
      </w:divBdr>
    </w:div>
    <w:div w:id="2043439518">
      <w:marLeft w:val="0"/>
      <w:marRight w:val="0"/>
      <w:marTop w:val="0"/>
      <w:marBottom w:val="0"/>
      <w:divBdr>
        <w:top w:val="none" w:sz="0" w:space="0" w:color="auto"/>
        <w:left w:val="none" w:sz="0" w:space="0" w:color="auto"/>
        <w:bottom w:val="none" w:sz="0" w:space="0" w:color="auto"/>
        <w:right w:val="none" w:sz="0" w:space="0" w:color="auto"/>
      </w:divBdr>
    </w:div>
    <w:div w:id="2043625507">
      <w:marLeft w:val="0"/>
      <w:marRight w:val="0"/>
      <w:marTop w:val="0"/>
      <w:marBottom w:val="0"/>
      <w:divBdr>
        <w:top w:val="none" w:sz="0" w:space="0" w:color="auto"/>
        <w:left w:val="none" w:sz="0" w:space="0" w:color="auto"/>
        <w:bottom w:val="none" w:sz="0" w:space="0" w:color="auto"/>
        <w:right w:val="none" w:sz="0" w:space="0" w:color="auto"/>
      </w:divBdr>
    </w:div>
    <w:div w:id="2076781137">
      <w:marLeft w:val="0"/>
      <w:marRight w:val="0"/>
      <w:marTop w:val="0"/>
      <w:marBottom w:val="0"/>
      <w:divBdr>
        <w:top w:val="none" w:sz="0" w:space="0" w:color="auto"/>
        <w:left w:val="none" w:sz="0" w:space="0" w:color="auto"/>
        <w:bottom w:val="none" w:sz="0" w:space="0" w:color="auto"/>
        <w:right w:val="none" w:sz="0" w:space="0" w:color="auto"/>
      </w:divBdr>
    </w:div>
    <w:div w:id="2091930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18750</Words>
  <Characters>106879</Characters>
  <Application>Microsoft Office Word</Application>
  <DocSecurity>4</DocSecurity>
  <Lines>890</Lines>
  <Paragraphs>250</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
  <LinksUpToDate>false</LinksUpToDate>
  <CharactersWithSpaces>125379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subject/>
  <dc:creator>Abdul-Wali, Jennifer (OST)</dc:creator>
  <cp:keywords/>
  <dc:description/>
  <cp:lastModifiedBy>Laptosky, Jill (OST)</cp:lastModifiedBy>
  <cp:revision>2</cp:revision>
  <dcterms:created xsi:type="dcterms:W3CDTF">2017-10-25T21:43:00Z</dcterms:created>
  <dcterms:modified xsi:type="dcterms:W3CDTF">2017-10-25T21:43:00Z</dcterms:modified>
</cp:coreProperties>
</file>