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CEB" w:rsidRDefault="001C0CEB">
      <w:pPr>
        <w:pStyle w:val="Heading1"/>
        <w:jc w:val="center"/>
        <w:rPr>
          <w:rFonts w:eastAsia="Times New Roman"/>
        </w:rPr>
      </w:pPr>
      <w:r>
        <w:rPr>
          <w:rFonts w:eastAsia="Times New Roman"/>
        </w:rPr>
        <w:t>Report on DOT Significant Rulemakings</w:t>
      </w:r>
    </w:p>
    <w:p w:rsidR="001C0CEB" w:rsidRDefault="001C0CEB">
      <w:pPr>
        <w:jc w:val="center"/>
        <w:rPr>
          <w:rFonts w:ascii="Times" w:eastAsia="Times New Roman" w:hAnsi="Times" w:cs="Times"/>
          <w:sz w:val="36"/>
          <w:szCs w:val="36"/>
        </w:rPr>
      </w:pPr>
      <w:r>
        <w:rPr>
          <w:rFonts w:ascii="Times" w:eastAsia="Times New Roman" w:hAnsi="Times" w:cs="Times"/>
          <w:sz w:val="36"/>
          <w:szCs w:val="36"/>
        </w:rPr>
        <w:t>Table of Contents</w:t>
      </w:r>
    </w:p>
    <w:p w:rsidR="001C0CEB" w:rsidRDefault="001C0CEB">
      <w:pPr>
        <w:rPr>
          <w:rFonts w:ascii="Times" w:eastAsia="Times New Roman" w:hAnsi="Times" w:cs="Times"/>
        </w:rPr>
      </w:pPr>
      <w:r>
        <w:rPr>
          <w:rFonts w:ascii="Times" w:eastAsia="Times New Roman" w:hAnsi="Times" w:cs="Times"/>
          <w:b/>
          <w:bCs/>
        </w:rPr>
        <w:t>Federal Aviation Administration</w:t>
      </w:r>
    </w:p>
    <w:p w:rsidR="001C0CEB" w:rsidRDefault="001C0CEB">
      <w:pPr>
        <w:divId w:val="2015185388"/>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Airport Safety Management System</w:t>
        </w:r>
      </w:hyperlink>
    </w:p>
    <w:p w:rsidR="001C0CEB" w:rsidRDefault="001C0CEB">
      <w:pPr>
        <w:rPr>
          <w:rFonts w:ascii="Times" w:eastAsia="Times New Roman" w:hAnsi="Times" w:cs="Times"/>
          <w:sz w:val="20"/>
          <w:szCs w:val="20"/>
        </w:rPr>
      </w:pPr>
    </w:p>
    <w:p w:rsidR="001C0CEB" w:rsidRDefault="001C0CEB">
      <w:pPr>
        <w:divId w:val="2141219801"/>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Prohibition Against Certain Flights Within the Territory and Airspace of Afghanistan</w:t>
        </w:r>
      </w:hyperlink>
    </w:p>
    <w:p w:rsidR="001C0CEB" w:rsidRDefault="001C0CEB">
      <w:pPr>
        <w:rPr>
          <w:rFonts w:ascii="Times" w:eastAsia="Times New Roman" w:hAnsi="Times" w:cs="Times"/>
          <w:sz w:val="20"/>
          <w:szCs w:val="20"/>
        </w:rPr>
      </w:pPr>
    </w:p>
    <w:p w:rsidR="001C0CEB" w:rsidRDefault="001C0CEB">
      <w:pPr>
        <w:divId w:val="41947476"/>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Requirement for Wildlife Assessments at Certificated Airports</w:t>
        </w:r>
      </w:hyperlink>
    </w:p>
    <w:p w:rsidR="001C0CEB" w:rsidRDefault="001C0CEB">
      <w:pPr>
        <w:rPr>
          <w:rFonts w:ascii="Times" w:eastAsia="Times New Roman" w:hAnsi="Times" w:cs="Times"/>
          <w:sz w:val="20"/>
          <w:szCs w:val="20"/>
        </w:rPr>
      </w:pPr>
    </w:p>
    <w:p w:rsidR="001C0CEB" w:rsidRDefault="001C0CEB">
      <w:pPr>
        <w:divId w:val="1085615971"/>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 xml:space="preserve">Regulation </w:t>
        </w:r>
        <w:proofErr w:type="gramStart"/>
        <w:r>
          <w:rPr>
            <w:rStyle w:val="Hyperlink"/>
            <w:rFonts w:ascii="Times" w:eastAsia="Times New Roman" w:hAnsi="Times" w:cs="Times"/>
          </w:rPr>
          <w:t>Of</w:t>
        </w:r>
        <w:proofErr w:type="gramEnd"/>
        <w:r>
          <w:rPr>
            <w:rStyle w:val="Hyperlink"/>
            <w:rFonts w:ascii="Times" w:eastAsia="Times New Roman" w:hAnsi="Times" w:cs="Times"/>
          </w:rPr>
          <w:t xml:space="preserve"> Flight Operations Conducted By Alaska Guide Pilots</w:t>
        </w:r>
      </w:hyperlink>
    </w:p>
    <w:p w:rsidR="001C0CEB" w:rsidRDefault="001C0CEB">
      <w:pPr>
        <w:rPr>
          <w:rFonts w:ascii="Times" w:eastAsia="Times New Roman" w:hAnsi="Times" w:cs="Times"/>
          <w:sz w:val="20"/>
          <w:szCs w:val="20"/>
        </w:rPr>
      </w:pPr>
    </w:p>
    <w:p w:rsidR="001C0CEB" w:rsidRDefault="001C0CEB">
      <w:pPr>
        <w:divId w:val="1873880428"/>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Pilot Professional Development</w:t>
        </w:r>
      </w:hyperlink>
    </w:p>
    <w:p w:rsidR="001C0CEB" w:rsidRDefault="001C0CEB">
      <w:pPr>
        <w:rPr>
          <w:rFonts w:ascii="Times" w:eastAsia="Times New Roman" w:hAnsi="Times" w:cs="Times"/>
          <w:sz w:val="20"/>
          <w:szCs w:val="20"/>
        </w:rPr>
      </w:pPr>
    </w:p>
    <w:p w:rsidR="001C0CEB" w:rsidRDefault="001C0CEB">
      <w:pPr>
        <w:divId w:val="1161121961"/>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System Safety Assessment</w:t>
        </w:r>
      </w:hyperlink>
    </w:p>
    <w:p w:rsidR="001C0CEB" w:rsidRDefault="001C0CEB">
      <w:pPr>
        <w:rPr>
          <w:rFonts w:ascii="Times" w:eastAsia="Times New Roman" w:hAnsi="Times" w:cs="Times"/>
          <w:sz w:val="20"/>
          <w:szCs w:val="20"/>
        </w:rPr>
      </w:pPr>
    </w:p>
    <w:p w:rsidR="001C0CEB" w:rsidRDefault="001C0CEB">
      <w:pPr>
        <w:divId w:val="150407879"/>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Applying the Flight, Duty, and Rest requirements to Ferry Flights that Follow Domestic, Flag, or Supplemental All-Cargo Operations (Reauthorization)</w:t>
        </w:r>
      </w:hyperlink>
    </w:p>
    <w:p w:rsidR="001C0CEB" w:rsidRDefault="001C0CEB">
      <w:pPr>
        <w:rPr>
          <w:rFonts w:ascii="Times" w:eastAsia="Times New Roman" w:hAnsi="Times" w:cs="Times"/>
          <w:sz w:val="20"/>
          <w:szCs w:val="20"/>
        </w:rPr>
      </w:pPr>
    </w:p>
    <w:p w:rsidR="001C0CEB" w:rsidRDefault="001C0CEB">
      <w:pPr>
        <w:divId w:val="307436381"/>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Transport Airplane Fuel Tank and System Lightning Protection (RRR)</w:t>
        </w:r>
      </w:hyperlink>
    </w:p>
    <w:p w:rsidR="001C0CEB" w:rsidRDefault="001C0CEB">
      <w:pPr>
        <w:rPr>
          <w:rFonts w:ascii="Times" w:eastAsia="Times New Roman" w:hAnsi="Times" w:cs="Times"/>
          <w:sz w:val="20"/>
          <w:szCs w:val="20"/>
        </w:rPr>
      </w:pPr>
    </w:p>
    <w:p w:rsidR="001C0CEB" w:rsidRDefault="001C0CEB">
      <w:pPr>
        <w:divId w:val="1443646539"/>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Applying the Flight, Duty, and Rest Rules of 14 CFR part 135 to Tail-End Ferry Operations (FAA Reauthorization</w:t>
        </w:r>
      </w:hyperlink>
    </w:p>
    <w:p w:rsidR="001C0CEB" w:rsidRDefault="001C0CEB">
      <w:pPr>
        <w:rPr>
          <w:rFonts w:ascii="Times" w:eastAsia="Times New Roman" w:hAnsi="Times" w:cs="Times"/>
          <w:sz w:val="20"/>
          <w:szCs w:val="20"/>
        </w:rPr>
      </w:pPr>
    </w:p>
    <w:p w:rsidR="001C0CEB" w:rsidRDefault="001C0CEB">
      <w:pPr>
        <w:divId w:val="15350266"/>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Pilot Records Database (HR 5900)</w:t>
        </w:r>
      </w:hyperlink>
    </w:p>
    <w:p w:rsidR="001C0CEB" w:rsidRDefault="001C0CEB">
      <w:pPr>
        <w:rPr>
          <w:rFonts w:ascii="Times" w:eastAsia="Times New Roman" w:hAnsi="Times" w:cs="Times"/>
          <w:sz w:val="20"/>
          <w:szCs w:val="20"/>
        </w:rPr>
      </w:pPr>
    </w:p>
    <w:p w:rsidR="001C0CEB" w:rsidRDefault="001C0CEB">
      <w:pPr>
        <w:divId w:val="1202985006"/>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Pilot Biometric Certificates (FAA Reauthorization)</w:t>
        </w:r>
      </w:hyperlink>
    </w:p>
    <w:p w:rsidR="001C0CEB" w:rsidRDefault="001C0CEB">
      <w:pPr>
        <w:rPr>
          <w:rFonts w:ascii="Times" w:eastAsia="Times New Roman" w:hAnsi="Times" w:cs="Times"/>
          <w:sz w:val="20"/>
          <w:szCs w:val="20"/>
        </w:rPr>
      </w:pPr>
    </w:p>
    <w:p w:rsidR="001C0CEB" w:rsidRDefault="001C0CEB">
      <w:pPr>
        <w:divId w:val="432215107"/>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Aircraft Registration and Airmen Certification Fees</w:t>
        </w:r>
      </w:hyperlink>
    </w:p>
    <w:p w:rsidR="001C0CEB" w:rsidRDefault="001C0CEB">
      <w:pPr>
        <w:rPr>
          <w:rFonts w:ascii="Times" w:eastAsia="Times New Roman" w:hAnsi="Times" w:cs="Times"/>
          <w:sz w:val="20"/>
          <w:szCs w:val="20"/>
        </w:rPr>
      </w:pPr>
    </w:p>
    <w:p w:rsidR="001C0CEB" w:rsidRDefault="001C0CEB">
      <w:pPr>
        <w:divId w:val="1240795383"/>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Permanent Requirement for Helicopters to use the New York North Shore Helicopter Route</w:t>
        </w:r>
      </w:hyperlink>
    </w:p>
    <w:p w:rsidR="001C0CEB" w:rsidRDefault="001C0CEB">
      <w:pPr>
        <w:rPr>
          <w:rFonts w:ascii="Times" w:eastAsia="Times New Roman" w:hAnsi="Times" w:cs="Times"/>
          <w:sz w:val="20"/>
          <w:szCs w:val="20"/>
        </w:rPr>
      </w:pPr>
    </w:p>
    <w:p w:rsidR="001C0CEB" w:rsidRDefault="001C0CEB">
      <w:pPr>
        <w:divId w:val="1667048679"/>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Helicopter Air Ambulance Pilot Training and Operational Requirements (HAA II) (FAA Reauthorization)</w:t>
        </w:r>
      </w:hyperlink>
    </w:p>
    <w:p w:rsidR="001C0CEB" w:rsidRDefault="001C0CEB">
      <w:pPr>
        <w:rPr>
          <w:rFonts w:ascii="Times" w:eastAsia="Times New Roman" w:hAnsi="Times" w:cs="Times"/>
          <w:sz w:val="20"/>
          <w:szCs w:val="20"/>
        </w:rPr>
      </w:pPr>
    </w:p>
    <w:p w:rsidR="001C0CEB" w:rsidRDefault="001C0CEB">
      <w:pPr>
        <w:divId w:val="1297563067"/>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Revision of Airworthiness Standards for Normal, Utility, Acrobatic, and Commuter Category Airplanes (RRR)</w:t>
        </w:r>
      </w:hyperlink>
    </w:p>
    <w:p w:rsidR="001C0CEB" w:rsidRDefault="001C0CEB">
      <w:pPr>
        <w:rPr>
          <w:rFonts w:ascii="Times" w:eastAsia="Times New Roman" w:hAnsi="Times" w:cs="Times"/>
          <w:sz w:val="20"/>
          <w:szCs w:val="20"/>
        </w:rPr>
      </w:pPr>
    </w:p>
    <w:p w:rsidR="001C0CEB" w:rsidRDefault="001C0CEB">
      <w:pPr>
        <w:divId w:val="1450511828"/>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Requirements to File Notice of Construction of Meteorological Evaluation Towers and Other Renewable Energy Projects</w:t>
        </w:r>
      </w:hyperlink>
    </w:p>
    <w:p w:rsidR="001C0CEB" w:rsidRDefault="001C0CEB">
      <w:pPr>
        <w:rPr>
          <w:rFonts w:ascii="Times" w:eastAsia="Times New Roman" w:hAnsi="Times" w:cs="Times"/>
          <w:sz w:val="20"/>
          <w:szCs w:val="20"/>
        </w:rPr>
      </w:pPr>
    </w:p>
    <w:p w:rsidR="001C0CEB" w:rsidRDefault="001C0CEB">
      <w:pPr>
        <w:divId w:val="29915523"/>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Orbital Debris Mitigation Methods for Launch Vehicle Upper Stages (Orbital Debris)</w:t>
        </w:r>
      </w:hyperlink>
    </w:p>
    <w:p w:rsidR="001C0CEB" w:rsidRDefault="001C0CEB">
      <w:pPr>
        <w:rPr>
          <w:rFonts w:ascii="Times" w:eastAsia="Times New Roman" w:hAnsi="Times" w:cs="Times"/>
          <w:sz w:val="20"/>
          <w:szCs w:val="20"/>
        </w:rPr>
      </w:pPr>
    </w:p>
    <w:p w:rsidR="001C0CEB" w:rsidRDefault="001C0CEB">
      <w:pPr>
        <w:divId w:val="1154449078"/>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Registration and Marking Requirements for Small Unmanned Aircraft</w:t>
        </w:r>
      </w:hyperlink>
    </w:p>
    <w:p w:rsidR="001C0CEB" w:rsidRDefault="001C0CEB">
      <w:pPr>
        <w:rPr>
          <w:rFonts w:ascii="Times" w:eastAsia="Times New Roman" w:hAnsi="Times" w:cs="Times"/>
          <w:sz w:val="20"/>
          <w:szCs w:val="20"/>
        </w:rPr>
      </w:pPr>
    </w:p>
    <w:p w:rsidR="001C0CEB" w:rsidRDefault="001C0CEB">
      <w:pPr>
        <w:divId w:val="1113131744"/>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Operations of Small Unmanned Aircraft Over People</w:t>
        </w:r>
      </w:hyperlink>
    </w:p>
    <w:p w:rsidR="001C0CEB" w:rsidRDefault="001C0CEB">
      <w:pPr>
        <w:rPr>
          <w:rFonts w:ascii="Times" w:eastAsia="Times New Roman" w:hAnsi="Times" w:cs="Times"/>
          <w:sz w:val="20"/>
          <w:szCs w:val="20"/>
        </w:rPr>
      </w:pPr>
    </w:p>
    <w:p w:rsidR="001C0CEB" w:rsidRDefault="001C0CEB">
      <w:pPr>
        <w:divId w:val="894975135"/>
        <w:rPr>
          <w:rFonts w:ascii="Times" w:eastAsia="Times New Roman" w:hAnsi="Times" w:cs="Times"/>
        </w:rPr>
      </w:pPr>
      <w:r>
        <w:rPr>
          <w:rFonts w:ascii="Times" w:eastAsia="Times New Roman" w:hAnsi="Times" w:cs="Times"/>
        </w:rPr>
        <w:lastRenderedPageBreak/>
        <w:t>20. </w:t>
      </w:r>
      <w:hyperlink w:anchor="20" w:history="1">
        <w:r>
          <w:rPr>
            <w:rStyle w:val="Hyperlink"/>
            <w:rFonts w:ascii="Times" w:eastAsia="Times New Roman" w:hAnsi="Times" w:cs="Times"/>
          </w:rPr>
          <w:t>Extension of the prohibition against Certain Flights in the Damascus (OSTT) Flight Information Region (FIR)</w:t>
        </w:r>
      </w:hyperlink>
    </w:p>
    <w:p w:rsidR="001C0CEB" w:rsidRDefault="001C0CEB">
      <w:pPr>
        <w:rPr>
          <w:rFonts w:ascii="Times" w:eastAsia="Times New Roman" w:hAnsi="Times" w:cs="Times"/>
          <w:sz w:val="20"/>
          <w:szCs w:val="20"/>
        </w:rPr>
      </w:pPr>
    </w:p>
    <w:p w:rsidR="001C0CEB" w:rsidRDefault="001C0CEB">
      <w:pPr>
        <w:divId w:val="1094278956"/>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Extension of the Prohibition against Certain Flights in the Tripoli (HLLL) Flight Information Region</w:t>
        </w:r>
      </w:hyperlink>
    </w:p>
    <w:p w:rsidR="001C0CEB" w:rsidRDefault="001C0CEB">
      <w:pPr>
        <w:rPr>
          <w:rFonts w:ascii="Times" w:eastAsia="Times New Roman" w:hAnsi="Times" w:cs="Times"/>
          <w:sz w:val="20"/>
          <w:szCs w:val="20"/>
        </w:rPr>
      </w:pPr>
    </w:p>
    <w:p w:rsidR="001C0CEB" w:rsidRDefault="001C0CEB">
      <w:pPr>
        <w:divId w:val="810754250"/>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Unmanned Aircraft Systems Expanded Operations</w:t>
        </w:r>
      </w:hyperlink>
    </w:p>
    <w:p w:rsidR="001C0CEB" w:rsidRDefault="001C0CEB">
      <w:pPr>
        <w:rPr>
          <w:rFonts w:ascii="Times" w:eastAsia="Times New Roman" w:hAnsi="Times" w:cs="Times"/>
          <w:sz w:val="20"/>
          <w:szCs w:val="20"/>
        </w:rPr>
      </w:pPr>
    </w:p>
    <w:p w:rsidR="001C0CEB" w:rsidRDefault="001C0CEB">
      <w:pPr>
        <w:divId w:val="2123769127"/>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Extension of the Prohibition against Certain Flights in the Baghdad (ORBB) Flight Information Region (FIR)</w:t>
        </w:r>
      </w:hyperlink>
    </w:p>
    <w:p w:rsidR="001C0CEB" w:rsidRDefault="001C0CEB">
      <w:pPr>
        <w:rPr>
          <w:rFonts w:ascii="Times" w:eastAsia="Times New Roman" w:hAnsi="Times" w:cs="Times"/>
          <w:sz w:val="20"/>
          <w:szCs w:val="20"/>
        </w:rPr>
      </w:pPr>
    </w:p>
    <w:p w:rsidR="001C0CEB" w:rsidRDefault="001C0CEB">
      <w:pPr>
        <w:divId w:val="1727605929"/>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Prohibition against Certain Flights in the Damascus (OSTT) Flight Information Region (FIR)</w:t>
        </w:r>
      </w:hyperlink>
    </w:p>
    <w:p w:rsidR="001C0CEB" w:rsidRDefault="001C0CEB">
      <w:pPr>
        <w:rPr>
          <w:rFonts w:ascii="Times" w:eastAsia="Times New Roman" w:hAnsi="Times" w:cs="Times"/>
          <w:sz w:val="20"/>
          <w:szCs w:val="20"/>
        </w:rPr>
      </w:pPr>
    </w:p>
    <w:p w:rsidR="001C0CEB" w:rsidRDefault="001C0CEB">
      <w:pPr>
        <w:rPr>
          <w:rFonts w:ascii="Times" w:eastAsia="Times New Roman" w:hAnsi="Times" w:cs="Times"/>
        </w:rPr>
      </w:pPr>
      <w:r>
        <w:rPr>
          <w:rFonts w:ascii="Times" w:eastAsia="Times New Roman" w:hAnsi="Times" w:cs="Times"/>
          <w:b/>
          <w:bCs/>
        </w:rPr>
        <w:t>Federal Highway Administration</w:t>
      </w:r>
    </w:p>
    <w:p w:rsidR="001C0CEB" w:rsidRDefault="001C0CEB">
      <w:pPr>
        <w:divId w:val="1454250752"/>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Pavement Markings</w:t>
        </w:r>
      </w:hyperlink>
    </w:p>
    <w:p w:rsidR="001C0CEB" w:rsidRDefault="001C0CEB">
      <w:pPr>
        <w:rPr>
          <w:rFonts w:ascii="Times" w:eastAsia="Times New Roman" w:hAnsi="Times" w:cs="Times"/>
          <w:sz w:val="20"/>
          <w:szCs w:val="20"/>
        </w:rPr>
      </w:pPr>
    </w:p>
    <w:p w:rsidR="001C0CEB" w:rsidRDefault="001C0CEB">
      <w:pPr>
        <w:divId w:val="1648195610"/>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Highway Worker Safety (MAP-21)</w:t>
        </w:r>
      </w:hyperlink>
    </w:p>
    <w:p w:rsidR="001C0CEB" w:rsidRDefault="001C0CEB">
      <w:pPr>
        <w:rPr>
          <w:rFonts w:ascii="Times" w:eastAsia="Times New Roman" w:hAnsi="Times" w:cs="Times"/>
          <w:sz w:val="20"/>
          <w:szCs w:val="20"/>
        </w:rPr>
      </w:pPr>
    </w:p>
    <w:p w:rsidR="001C0CEB" w:rsidRDefault="001C0CEB">
      <w:pPr>
        <w:divId w:val="870193645"/>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National Goals and Performance Management Measures 2 (MAP-21)</w:t>
        </w:r>
      </w:hyperlink>
    </w:p>
    <w:p w:rsidR="001C0CEB" w:rsidRDefault="001C0CEB">
      <w:pPr>
        <w:rPr>
          <w:rFonts w:ascii="Times" w:eastAsia="Times New Roman" w:hAnsi="Times" w:cs="Times"/>
          <w:sz w:val="20"/>
          <w:szCs w:val="20"/>
        </w:rPr>
      </w:pPr>
    </w:p>
    <w:p w:rsidR="001C0CEB" w:rsidRDefault="001C0CEB">
      <w:pPr>
        <w:divId w:val="559094697"/>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National Goals and Performance Management Measures 3 (MAP-21)</w:t>
        </w:r>
      </w:hyperlink>
    </w:p>
    <w:p w:rsidR="001C0CEB" w:rsidRDefault="001C0CEB">
      <w:pPr>
        <w:rPr>
          <w:rFonts w:ascii="Times" w:eastAsia="Times New Roman" w:hAnsi="Times" w:cs="Times"/>
          <w:sz w:val="20"/>
          <w:szCs w:val="20"/>
        </w:rPr>
      </w:pPr>
    </w:p>
    <w:p w:rsidR="001C0CEB" w:rsidRDefault="001C0CEB">
      <w:pPr>
        <w:divId w:val="827474966"/>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National Bridge Inspection Standards (MAP-21)</w:t>
        </w:r>
      </w:hyperlink>
    </w:p>
    <w:p w:rsidR="001C0CEB" w:rsidRDefault="001C0CEB">
      <w:pPr>
        <w:rPr>
          <w:rFonts w:ascii="Times" w:eastAsia="Times New Roman" w:hAnsi="Times" w:cs="Times"/>
          <w:sz w:val="20"/>
          <w:szCs w:val="20"/>
        </w:rPr>
      </w:pPr>
    </w:p>
    <w:p w:rsidR="001C0CEB" w:rsidRDefault="001C0CEB">
      <w:pPr>
        <w:divId w:val="715203926"/>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Congestion Mitigation and Air Quality Improvement Program (MAP-21)</w:t>
        </w:r>
      </w:hyperlink>
    </w:p>
    <w:p w:rsidR="001C0CEB" w:rsidRDefault="001C0CEB">
      <w:pPr>
        <w:rPr>
          <w:rFonts w:ascii="Times" w:eastAsia="Times New Roman" w:hAnsi="Times" w:cs="Times"/>
          <w:sz w:val="20"/>
          <w:szCs w:val="20"/>
        </w:rPr>
      </w:pPr>
    </w:p>
    <w:p w:rsidR="001C0CEB" w:rsidRDefault="001C0CEB">
      <w:pPr>
        <w:divId w:val="1851751457"/>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Buy America (RRR)</w:t>
        </w:r>
      </w:hyperlink>
    </w:p>
    <w:p w:rsidR="001C0CEB" w:rsidRDefault="001C0CEB">
      <w:pPr>
        <w:rPr>
          <w:rFonts w:ascii="Times" w:eastAsia="Times New Roman" w:hAnsi="Times" w:cs="Times"/>
          <w:sz w:val="20"/>
          <w:szCs w:val="20"/>
        </w:rPr>
      </w:pPr>
    </w:p>
    <w:p w:rsidR="001C0CEB" w:rsidRDefault="001C0CEB">
      <w:pPr>
        <w:divId w:val="727459805"/>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Metropolitan Planning Organization (MPO) Coordination</w:t>
        </w:r>
      </w:hyperlink>
    </w:p>
    <w:p w:rsidR="001C0CEB" w:rsidRDefault="001C0CEB">
      <w:pPr>
        <w:rPr>
          <w:rFonts w:ascii="Times" w:eastAsia="Times New Roman" w:hAnsi="Times" w:cs="Times"/>
          <w:sz w:val="20"/>
          <w:szCs w:val="20"/>
        </w:rPr>
      </w:pPr>
    </w:p>
    <w:p w:rsidR="001C0CEB" w:rsidRDefault="001C0CEB">
      <w:pPr>
        <w:divId w:val="1881434139"/>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Tribal Transportation Self-Governance Program</w:t>
        </w:r>
      </w:hyperlink>
    </w:p>
    <w:p w:rsidR="001C0CEB" w:rsidRDefault="001C0CEB">
      <w:pPr>
        <w:rPr>
          <w:rFonts w:ascii="Times" w:eastAsia="Times New Roman" w:hAnsi="Times" w:cs="Times"/>
          <w:sz w:val="20"/>
          <w:szCs w:val="20"/>
        </w:rPr>
      </w:pPr>
    </w:p>
    <w:p w:rsidR="001C0CEB" w:rsidRDefault="001C0CEB">
      <w:pPr>
        <w:divId w:val="41639745"/>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Covered Heavy-Duty Tow and Recovery Vehicles</w:t>
        </w:r>
      </w:hyperlink>
    </w:p>
    <w:p w:rsidR="001C0CEB" w:rsidRDefault="001C0CEB">
      <w:pPr>
        <w:rPr>
          <w:rFonts w:ascii="Times" w:eastAsia="Times New Roman" w:hAnsi="Times" w:cs="Times"/>
          <w:sz w:val="20"/>
          <w:szCs w:val="20"/>
        </w:rPr>
      </w:pPr>
    </w:p>
    <w:p w:rsidR="001C0CEB" w:rsidRDefault="001C0CEB">
      <w:pPr>
        <w:divId w:val="1988435145"/>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Metropolitan Planning Organization Coordination and Planning Area Reform</w:t>
        </w:r>
      </w:hyperlink>
    </w:p>
    <w:p w:rsidR="001C0CEB" w:rsidRDefault="001C0CEB">
      <w:pPr>
        <w:rPr>
          <w:rFonts w:ascii="Times" w:eastAsia="Times New Roman" w:hAnsi="Times" w:cs="Times"/>
          <w:sz w:val="20"/>
          <w:szCs w:val="20"/>
        </w:rPr>
      </w:pPr>
    </w:p>
    <w:p w:rsidR="001C0CEB" w:rsidRDefault="001C0CEB">
      <w:pPr>
        <w:divId w:val="1604067823"/>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National Performance Management Measures; Assessing Performance of the National Highway System, Freight Movement on the Interstate System, and Congestion Mitigation and Air Quality Improvement Program</w:t>
        </w:r>
      </w:hyperlink>
    </w:p>
    <w:p w:rsidR="001C0CEB" w:rsidRDefault="001C0CEB">
      <w:pPr>
        <w:rPr>
          <w:rFonts w:ascii="Times" w:eastAsia="Times New Roman" w:hAnsi="Times" w:cs="Times"/>
          <w:sz w:val="20"/>
          <w:szCs w:val="20"/>
        </w:rPr>
      </w:pPr>
    </w:p>
    <w:p w:rsidR="001C0CEB" w:rsidRDefault="001C0CEB">
      <w:pPr>
        <w:rPr>
          <w:rFonts w:ascii="Times" w:eastAsia="Times New Roman" w:hAnsi="Times" w:cs="Times"/>
        </w:rPr>
      </w:pPr>
      <w:r>
        <w:rPr>
          <w:rFonts w:ascii="Times" w:eastAsia="Times New Roman" w:hAnsi="Times" w:cs="Times"/>
          <w:b/>
          <w:bCs/>
        </w:rPr>
        <w:t>Federal Motor Carrier Safety Administration</w:t>
      </w:r>
    </w:p>
    <w:p w:rsidR="001C0CEB" w:rsidRDefault="001C0CEB">
      <w:pPr>
        <w:divId w:val="1325083698"/>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Application by Certain Mexico-Domiciled Motor Carriers to Operate Beyond U.S. Municipalities and Commercial Zones on the U.S.-Mexico Border</w:t>
        </w:r>
      </w:hyperlink>
    </w:p>
    <w:p w:rsidR="001C0CEB" w:rsidRDefault="001C0CEB">
      <w:pPr>
        <w:rPr>
          <w:rFonts w:ascii="Times" w:eastAsia="Times New Roman" w:hAnsi="Times" w:cs="Times"/>
          <w:sz w:val="20"/>
          <w:szCs w:val="20"/>
        </w:rPr>
      </w:pPr>
    </w:p>
    <w:p w:rsidR="001C0CEB" w:rsidRDefault="001C0CEB">
      <w:pPr>
        <w:divId w:val="444619973"/>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Safety Monitoring System and Compliance Initiative for Mexico-Domiciled Motor Carriers Operating in the United States</w:t>
        </w:r>
      </w:hyperlink>
    </w:p>
    <w:p w:rsidR="001C0CEB" w:rsidRDefault="001C0CEB">
      <w:pPr>
        <w:rPr>
          <w:rFonts w:ascii="Times" w:eastAsia="Times New Roman" w:hAnsi="Times" w:cs="Times"/>
          <w:sz w:val="20"/>
          <w:szCs w:val="20"/>
        </w:rPr>
      </w:pPr>
    </w:p>
    <w:p w:rsidR="001C0CEB" w:rsidRDefault="001C0CEB">
      <w:pPr>
        <w:divId w:val="112987606"/>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Certification of Safety Auditors, Safety Investigators, and Safety Inspectors</w:t>
        </w:r>
      </w:hyperlink>
    </w:p>
    <w:p w:rsidR="001C0CEB" w:rsidRDefault="001C0CEB">
      <w:pPr>
        <w:rPr>
          <w:rFonts w:ascii="Times" w:eastAsia="Times New Roman" w:hAnsi="Times" w:cs="Times"/>
          <w:sz w:val="20"/>
          <w:szCs w:val="20"/>
        </w:rPr>
      </w:pPr>
    </w:p>
    <w:p w:rsidR="001C0CEB" w:rsidRDefault="001C0CEB">
      <w:pPr>
        <w:divId w:val="1456830973"/>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Consumer Complaint Information</w:t>
        </w:r>
      </w:hyperlink>
    </w:p>
    <w:p w:rsidR="001C0CEB" w:rsidRDefault="001C0CEB">
      <w:pPr>
        <w:rPr>
          <w:rFonts w:ascii="Times" w:eastAsia="Times New Roman" w:hAnsi="Times" w:cs="Times"/>
          <w:sz w:val="20"/>
          <w:szCs w:val="20"/>
        </w:rPr>
      </w:pPr>
    </w:p>
    <w:p w:rsidR="001C0CEB" w:rsidRDefault="001C0CEB">
      <w:pPr>
        <w:divId w:val="69424086"/>
        <w:rPr>
          <w:rFonts w:ascii="Times" w:eastAsia="Times New Roman" w:hAnsi="Times" w:cs="Times"/>
        </w:rPr>
      </w:pPr>
      <w:r>
        <w:rPr>
          <w:rFonts w:ascii="Times" w:eastAsia="Times New Roman" w:hAnsi="Times" w:cs="Times"/>
        </w:rPr>
        <w:t>41. </w:t>
      </w:r>
      <w:hyperlink w:anchor="41" w:history="1">
        <w:r>
          <w:rPr>
            <w:rStyle w:val="Hyperlink"/>
            <w:rFonts w:ascii="Times" w:eastAsia="Times New Roman" w:hAnsi="Times" w:cs="Times"/>
          </w:rPr>
          <w:t>Carrier Safety Fitness Determination</w:t>
        </w:r>
      </w:hyperlink>
    </w:p>
    <w:p w:rsidR="001C0CEB" w:rsidRDefault="001C0CEB">
      <w:pPr>
        <w:rPr>
          <w:rFonts w:ascii="Times" w:eastAsia="Times New Roman" w:hAnsi="Times" w:cs="Times"/>
          <w:sz w:val="20"/>
          <w:szCs w:val="20"/>
        </w:rPr>
      </w:pPr>
    </w:p>
    <w:p w:rsidR="001C0CEB" w:rsidRDefault="001C0CEB">
      <w:pPr>
        <w:divId w:val="1645312942"/>
        <w:rPr>
          <w:rFonts w:ascii="Times" w:eastAsia="Times New Roman" w:hAnsi="Times" w:cs="Times"/>
        </w:rPr>
      </w:pPr>
      <w:r>
        <w:rPr>
          <w:rFonts w:ascii="Times" w:eastAsia="Times New Roman" w:hAnsi="Times" w:cs="Times"/>
        </w:rPr>
        <w:t>42. </w:t>
      </w:r>
      <w:hyperlink w:anchor="42" w:history="1">
        <w:r>
          <w:rPr>
            <w:rStyle w:val="Hyperlink"/>
            <w:rFonts w:ascii="Times" w:eastAsia="Times New Roman" w:hAnsi="Times" w:cs="Times"/>
          </w:rPr>
          <w:t>New Entrant Safety Assurance Process: Implementation of Section 210(b) of the Motor Carrier Safety Improvement Act of 1999</w:t>
        </w:r>
      </w:hyperlink>
    </w:p>
    <w:p w:rsidR="001C0CEB" w:rsidRDefault="001C0CEB">
      <w:pPr>
        <w:rPr>
          <w:rFonts w:ascii="Times" w:eastAsia="Times New Roman" w:hAnsi="Times" w:cs="Times"/>
          <w:sz w:val="20"/>
          <w:szCs w:val="20"/>
        </w:rPr>
      </w:pPr>
    </w:p>
    <w:p w:rsidR="001C0CEB" w:rsidRDefault="001C0CEB">
      <w:pPr>
        <w:divId w:val="1932157046"/>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MAP-21 Enhancements and Other Updates to the Unified Registration System</w:t>
        </w:r>
      </w:hyperlink>
    </w:p>
    <w:p w:rsidR="001C0CEB" w:rsidRDefault="001C0CEB">
      <w:pPr>
        <w:rPr>
          <w:rFonts w:ascii="Times" w:eastAsia="Times New Roman" w:hAnsi="Times" w:cs="Times"/>
          <w:sz w:val="20"/>
          <w:szCs w:val="20"/>
        </w:rPr>
      </w:pPr>
    </w:p>
    <w:p w:rsidR="001C0CEB" w:rsidRDefault="001C0CEB">
      <w:pPr>
        <w:divId w:val="562527384"/>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Heavy Vehicle Speed Limiters</w:t>
        </w:r>
      </w:hyperlink>
    </w:p>
    <w:p w:rsidR="001C0CEB" w:rsidRDefault="001C0CEB">
      <w:pPr>
        <w:rPr>
          <w:rFonts w:ascii="Times" w:eastAsia="Times New Roman" w:hAnsi="Times" w:cs="Times"/>
          <w:sz w:val="20"/>
          <w:szCs w:val="20"/>
        </w:rPr>
      </w:pPr>
    </w:p>
    <w:p w:rsidR="001C0CEB" w:rsidRDefault="001C0CEB">
      <w:pPr>
        <w:divId w:val="142506808"/>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Entry-Level Driver Training</w:t>
        </w:r>
      </w:hyperlink>
    </w:p>
    <w:p w:rsidR="001C0CEB" w:rsidRDefault="001C0CEB">
      <w:pPr>
        <w:rPr>
          <w:rFonts w:ascii="Times" w:eastAsia="Times New Roman" w:hAnsi="Times" w:cs="Times"/>
          <w:sz w:val="20"/>
          <w:szCs w:val="20"/>
        </w:rPr>
      </w:pPr>
    </w:p>
    <w:p w:rsidR="001C0CEB" w:rsidRDefault="001C0CEB">
      <w:pPr>
        <w:divId w:val="938637498"/>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Financial Responsibility for Motor Carriers, Freight Forwarders, and Brokers</w:t>
        </w:r>
      </w:hyperlink>
    </w:p>
    <w:p w:rsidR="001C0CEB" w:rsidRDefault="001C0CEB">
      <w:pPr>
        <w:rPr>
          <w:rFonts w:ascii="Times" w:eastAsia="Times New Roman" w:hAnsi="Times" w:cs="Times"/>
          <w:sz w:val="20"/>
          <w:szCs w:val="20"/>
        </w:rPr>
      </w:pPr>
    </w:p>
    <w:p w:rsidR="001C0CEB" w:rsidRDefault="001C0CEB">
      <w:pPr>
        <w:divId w:val="663319193"/>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State Inspection Programs for Passenger Carrier Vehicles</w:t>
        </w:r>
      </w:hyperlink>
    </w:p>
    <w:p w:rsidR="001C0CEB" w:rsidRDefault="001C0CEB">
      <w:pPr>
        <w:rPr>
          <w:rFonts w:ascii="Times" w:eastAsia="Times New Roman" w:hAnsi="Times" w:cs="Times"/>
          <w:sz w:val="20"/>
          <w:szCs w:val="20"/>
        </w:rPr>
      </w:pPr>
    </w:p>
    <w:p w:rsidR="001C0CEB" w:rsidRDefault="001C0CEB">
      <w:pPr>
        <w:divId w:val="1990667575"/>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Evaluation of Safety-Sensitive Personnel for Moderate-to-Severe Obstructive Sleep Apnea</w:t>
        </w:r>
      </w:hyperlink>
    </w:p>
    <w:p w:rsidR="001C0CEB" w:rsidRDefault="001C0CEB">
      <w:pPr>
        <w:rPr>
          <w:rFonts w:ascii="Times" w:eastAsia="Times New Roman" w:hAnsi="Times" w:cs="Times"/>
          <w:sz w:val="20"/>
          <w:szCs w:val="20"/>
        </w:rPr>
      </w:pPr>
    </w:p>
    <w:p w:rsidR="001C0CEB" w:rsidRDefault="001C0CEB">
      <w:pPr>
        <w:divId w:val="930971519"/>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Amendments to Motor Carrier Safety Assistance Program</w:t>
        </w:r>
      </w:hyperlink>
    </w:p>
    <w:p w:rsidR="001C0CEB" w:rsidRDefault="001C0CEB">
      <w:pPr>
        <w:rPr>
          <w:rFonts w:ascii="Times" w:eastAsia="Times New Roman" w:hAnsi="Times" w:cs="Times"/>
          <w:sz w:val="20"/>
          <w:szCs w:val="20"/>
        </w:rPr>
      </w:pPr>
    </w:p>
    <w:p w:rsidR="001C0CEB" w:rsidRDefault="001C0CEB">
      <w:pPr>
        <w:rPr>
          <w:rFonts w:ascii="Times" w:eastAsia="Times New Roman" w:hAnsi="Times" w:cs="Times"/>
        </w:rPr>
      </w:pPr>
      <w:r>
        <w:rPr>
          <w:rFonts w:ascii="Times" w:eastAsia="Times New Roman" w:hAnsi="Times" w:cs="Times"/>
          <w:b/>
          <w:bCs/>
        </w:rPr>
        <w:t>Federal Railroad Administration</w:t>
      </w:r>
    </w:p>
    <w:p w:rsidR="001C0CEB" w:rsidRDefault="001C0CEB">
      <w:pPr>
        <w:divId w:val="1387485065"/>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Risk Reduction Program</w:t>
        </w:r>
      </w:hyperlink>
    </w:p>
    <w:p w:rsidR="001C0CEB" w:rsidRDefault="001C0CEB">
      <w:pPr>
        <w:rPr>
          <w:rFonts w:ascii="Times" w:eastAsia="Times New Roman" w:hAnsi="Times" w:cs="Times"/>
          <w:sz w:val="20"/>
          <w:szCs w:val="20"/>
        </w:rPr>
      </w:pPr>
    </w:p>
    <w:p w:rsidR="001C0CEB" w:rsidRDefault="001C0CEB">
      <w:pPr>
        <w:divId w:val="1413508228"/>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Emergency Escape Breathing Apparatus</w:t>
        </w:r>
      </w:hyperlink>
    </w:p>
    <w:p w:rsidR="001C0CEB" w:rsidRDefault="001C0CEB">
      <w:pPr>
        <w:rPr>
          <w:rFonts w:ascii="Times" w:eastAsia="Times New Roman" w:hAnsi="Times" w:cs="Times"/>
          <w:sz w:val="20"/>
          <w:szCs w:val="20"/>
        </w:rPr>
      </w:pPr>
    </w:p>
    <w:p w:rsidR="001C0CEB" w:rsidRDefault="001C0CEB">
      <w:pPr>
        <w:divId w:val="766968217"/>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High-Speed Rail Corridor Development and Capital Investment Grants to Support Intercity Passenger Rail Service</w:t>
        </w:r>
      </w:hyperlink>
    </w:p>
    <w:p w:rsidR="001C0CEB" w:rsidRDefault="001C0CEB">
      <w:pPr>
        <w:rPr>
          <w:rFonts w:ascii="Times" w:eastAsia="Times New Roman" w:hAnsi="Times" w:cs="Times"/>
          <w:sz w:val="20"/>
          <w:szCs w:val="20"/>
        </w:rPr>
      </w:pPr>
    </w:p>
    <w:p w:rsidR="001C0CEB" w:rsidRDefault="001C0CEB">
      <w:pPr>
        <w:divId w:val="1481384769"/>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High-Speed Intercity Passenger Rail (HSIPR) Program; Buy America Program Requirements</w:t>
        </w:r>
      </w:hyperlink>
    </w:p>
    <w:p w:rsidR="001C0CEB" w:rsidRDefault="001C0CEB">
      <w:pPr>
        <w:rPr>
          <w:rFonts w:ascii="Times" w:eastAsia="Times New Roman" w:hAnsi="Times" w:cs="Times"/>
          <w:sz w:val="20"/>
          <w:szCs w:val="20"/>
        </w:rPr>
      </w:pPr>
    </w:p>
    <w:p w:rsidR="001C0CEB" w:rsidRDefault="001C0CEB">
      <w:pPr>
        <w:divId w:val="1946646830"/>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Passenger Equipment Safety Standards Amendments (RRR)</w:t>
        </w:r>
      </w:hyperlink>
    </w:p>
    <w:p w:rsidR="001C0CEB" w:rsidRDefault="001C0CEB">
      <w:pPr>
        <w:rPr>
          <w:rFonts w:ascii="Times" w:eastAsia="Times New Roman" w:hAnsi="Times" w:cs="Times"/>
          <w:sz w:val="20"/>
          <w:szCs w:val="20"/>
        </w:rPr>
      </w:pPr>
    </w:p>
    <w:p w:rsidR="001C0CEB" w:rsidRDefault="001C0CEB">
      <w:pPr>
        <w:divId w:val="280454535"/>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Train Crew Staffing and Location</w:t>
        </w:r>
      </w:hyperlink>
    </w:p>
    <w:p w:rsidR="001C0CEB" w:rsidRDefault="001C0CEB">
      <w:pPr>
        <w:rPr>
          <w:rFonts w:ascii="Times" w:eastAsia="Times New Roman" w:hAnsi="Times" w:cs="Times"/>
          <w:sz w:val="20"/>
          <w:szCs w:val="20"/>
        </w:rPr>
      </w:pPr>
    </w:p>
    <w:p w:rsidR="001C0CEB" w:rsidRDefault="001C0CEB">
      <w:pPr>
        <w:divId w:val="286937303"/>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Locomotive Recording Devices</w:t>
        </w:r>
      </w:hyperlink>
    </w:p>
    <w:p w:rsidR="001C0CEB" w:rsidRDefault="001C0CEB">
      <w:pPr>
        <w:rPr>
          <w:rFonts w:ascii="Times" w:eastAsia="Times New Roman" w:hAnsi="Times" w:cs="Times"/>
          <w:sz w:val="20"/>
          <w:szCs w:val="20"/>
        </w:rPr>
      </w:pPr>
    </w:p>
    <w:p w:rsidR="001C0CEB" w:rsidRDefault="001C0CEB">
      <w:pPr>
        <w:divId w:val="1436826708"/>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Evaluation of Safety-Sensitive Personnel for Moderate-to-Severe Obstructive Sleep Apnea</w:t>
        </w:r>
      </w:hyperlink>
    </w:p>
    <w:p w:rsidR="001C0CEB" w:rsidRDefault="001C0CEB">
      <w:pPr>
        <w:rPr>
          <w:rFonts w:ascii="Times" w:eastAsia="Times New Roman" w:hAnsi="Times" w:cs="Times"/>
          <w:sz w:val="20"/>
          <w:szCs w:val="20"/>
        </w:rPr>
      </w:pPr>
    </w:p>
    <w:p w:rsidR="001C0CEB" w:rsidRDefault="001C0CEB">
      <w:pPr>
        <w:divId w:val="2055501225"/>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Track Safety Standards; Improving Rail Integrity</w:t>
        </w:r>
      </w:hyperlink>
    </w:p>
    <w:p w:rsidR="001C0CEB" w:rsidRDefault="001C0CEB">
      <w:pPr>
        <w:rPr>
          <w:rFonts w:ascii="Times" w:eastAsia="Times New Roman" w:hAnsi="Times" w:cs="Times"/>
          <w:sz w:val="20"/>
          <w:szCs w:val="20"/>
        </w:rPr>
      </w:pPr>
    </w:p>
    <w:p w:rsidR="001C0CEB" w:rsidRDefault="001C0CEB">
      <w:pPr>
        <w:rPr>
          <w:rFonts w:ascii="Times" w:eastAsia="Times New Roman" w:hAnsi="Times" w:cs="Times"/>
        </w:rPr>
      </w:pPr>
      <w:r>
        <w:rPr>
          <w:rFonts w:ascii="Times" w:eastAsia="Times New Roman" w:hAnsi="Times" w:cs="Times"/>
          <w:b/>
          <w:bCs/>
        </w:rPr>
        <w:t>Federal Transit Administration</w:t>
      </w:r>
    </w:p>
    <w:p w:rsidR="001C0CEB" w:rsidRDefault="001C0CEB">
      <w:pPr>
        <w:divId w:val="257180031"/>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Core Capacity Projects (Fast Act)</w:t>
        </w:r>
      </w:hyperlink>
    </w:p>
    <w:p w:rsidR="001C0CEB" w:rsidRDefault="001C0CEB">
      <w:pPr>
        <w:rPr>
          <w:rFonts w:ascii="Times" w:eastAsia="Times New Roman" w:hAnsi="Times" w:cs="Times"/>
          <w:sz w:val="20"/>
          <w:szCs w:val="20"/>
        </w:rPr>
      </w:pPr>
    </w:p>
    <w:p w:rsidR="001C0CEB" w:rsidRDefault="001C0CEB">
      <w:pPr>
        <w:divId w:val="1390766106"/>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National and Public Transportation Safety Plans (MAP-21) and Transit Asset Management</w:t>
        </w:r>
      </w:hyperlink>
    </w:p>
    <w:p w:rsidR="001C0CEB" w:rsidRDefault="001C0CEB">
      <w:pPr>
        <w:rPr>
          <w:rFonts w:ascii="Times" w:eastAsia="Times New Roman" w:hAnsi="Times" w:cs="Times"/>
          <w:sz w:val="20"/>
          <w:szCs w:val="20"/>
        </w:rPr>
      </w:pPr>
    </w:p>
    <w:p w:rsidR="001C0CEB" w:rsidRDefault="001C0CEB">
      <w:pPr>
        <w:divId w:val="1507789344"/>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Public Transportation Agency Safety Plans</w:t>
        </w:r>
      </w:hyperlink>
    </w:p>
    <w:p w:rsidR="001C0CEB" w:rsidRDefault="001C0CEB">
      <w:pPr>
        <w:rPr>
          <w:rFonts w:ascii="Times" w:eastAsia="Times New Roman" w:hAnsi="Times" w:cs="Times"/>
          <w:sz w:val="20"/>
          <w:szCs w:val="20"/>
        </w:rPr>
      </w:pPr>
    </w:p>
    <w:p w:rsidR="001C0CEB" w:rsidRDefault="001C0CEB">
      <w:pPr>
        <w:divId w:val="76873769"/>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Metropolitan Planning Organization (MPO) Coordination</w:t>
        </w:r>
      </w:hyperlink>
    </w:p>
    <w:p w:rsidR="001C0CEB" w:rsidRDefault="001C0CEB">
      <w:pPr>
        <w:rPr>
          <w:rFonts w:ascii="Times" w:eastAsia="Times New Roman" w:hAnsi="Times" w:cs="Times"/>
          <w:sz w:val="20"/>
          <w:szCs w:val="20"/>
        </w:rPr>
      </w:pPr>
    </w:p>
    <w:p w:rsidR="001C0CEB" w:rsidRDefault="001C0CEB">
      <w:pPr>
        <w:divId w:val="768503914"/>
        <w:rPr>
          <w:rFonts w:ascii="Times" w:eastAsia="Times New Roman" w:hAnsi="Times" w:cs="Times"/>
        </w:rPr>
      </w:pPr>
      <w:r>
        <w:rPr>
          <w:rFonts w:ascii="Times" w:eastAsia="Times New Roman" w:hAnsi="Times" w:cs="Times"/>
        </w:rPr>
        <w:t>63. </w:t>
      </w:r>
      <w:hyperlink w:anchor="63" w:history="1">
        <w:r>
          <w:rPr>
            <w:rStyle w:val="Hyperlink"/>
            <w:rFonts w:ascii="Times" w:eastAsia="Times New Roman" w:hAnsi="Times" w:cs="Times"/>
          </w:rPr>
          <w:t>Protecting Transit Operators from the Risk of Assaults</w:t>
        </w:r>
      </w:hyperlink>
    </w:p>
    <w:p w:rsidR="001C0CEB" w:rsidRDefault="001C0CEB">
      <w:pPr>
        <w:rPr>
          <w:rFonts w:ascii="Times" w:eastAsia="Times New Roman" w:hAnsi="Times" w:cs="Times"/>
          <w:sz w:val="20"/>
          <w:szCs w:val="20"/>
        </w:rPr>
      </w:pPr>
    </w:p>
    <w:p w:rsidR="001C0CEB" w:rsidRDefault="001C0CEB">
      <w:pPr>
        <w:divId w:val="720330082"/>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Metropolitan Planning Organization Coordination and Planning Area Reform</w:t>
        </w:r>
      </w:hyperlink>
    </w:p>
    <w:p w:rsidR="001C0CEB" w:rsidRDefault="001C0CEB">
      <w:pPr>
        <w:rPr>
          <w:rFonts w:ascii="Times" w:eastAsia="Times New Roman" w:hAnsi="Times" w:cs="Times"/>
          <w:sz w:val="20"/>
          <w:szCs w:val="20"/>
        </w:rPr>
      </w:pPr>
    </w:p>
    <w:p w:rsidR="001C0CEB" w:rsidRDefault="001C0CEB">
      <w:pPr>
        <w:rPr>
          <w:rFonts w:ascii="Times" w:eastAsia="Times New Roman" w:hAnsi="Times" w:cs="Times"/>
        </w:rPr>
      </w:pPr>
      <w:r>
        <w:rPr>
          <w:rFonts w:ascii="Times" w:eastAsia="Times New Roman" w:hAnsi="Times" w:cs="Times"/>
          <w:b/>
          <w:bCs/>
        </w:rPr>
        <w:t>National Highway Traffic Safety Administration</w:t>
      </w:r>
    </w:p>
    <w:p w:rsidR="001C0CEB" w:rsidRDefault="001C0CEB">
      <w:pPr>
        <w:divId w:val="470828781"/>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Tire Fuel Efficiency Consumer Information - Part 2</w:t>
        </w:r>
      </w:hyperlink>
    </w:p>
    <w:p w:rsidR="001C0CEB" w:rsidRDefault="001C0CEB">
      <w:pPr>
        <w:rPr>
          <w:rFonts w:ascii="Times" w:eastAsia="Times New Roman" w:hAnsi="Times" w:cs="Times"/>
          <w:sz w:val="20"/>
          <w:szCs w:val="20"/>
        </w:rPr>
      </w:pPr>
    </w:p>
    <w:p w:rsidR="001C0CEB" w:rsidRDefault="001C0CEB">
      <w:pPr>
        <w:divId w:val="218903709"/>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Mandatory Event Data Recorder Requirements</w:t>
        </w:r>
      </w:hyperlink>
    </w:p>
    <w:p w:rsidR="001C0CEB" w:rsidRDefault="001C0CEB">
      <w:pPr>
        <w:rPr>
          <w:rFonts w:ascii="Times" w:eastAsia="Times New Roman" w:hAnsi="Times" w:cs="Times"/>
          <w:sz w:val="20"/>
          <w:szCs w:val="20"/>
        </w:rPr>
      </w:pPr>
    </w:p>
    <w:p w:rsidR="001C0CEB" w:rsidRDefault="001C0CEB">
      <w:pPr>
        <w:divId w:val="73013481"/>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Heavy Vehicle Speed Limiters</w:t>
        </w:r>
      </w:hyperlink>
    </w:p>
    <w:p w:rsidR="001C0CEB" w:rsidRDefault="001C0CEB">
      <w:pPr>
        <w:rPr>
          <w:rFonts w:ascii="Times" w:eastAsia="Times New Roman" w:hAnsi="Times" w:cs="Times"/>
          <w:sz w:val="20"/>
          <w:szCs w:val="20"/>
        </w:rPr>
      </w:pPr>
    </w:p>
    <w:p w:rsidR="001C0CEB" w:rsidRDefault="001C0CEB">
      <w:pPr>
        <w:divId w:val="705258027"/>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Sound for Hybrid and Electric Vehicles</w:t>
        </w:r>
      </w:hyperlink>
    </w:p>
    <w:p w:rsidR="001C0CEB" w:rsidRDefault="001C0CEB">
      <w:pPr>
        <w:rPr>
          <w:rFonts w:ascii="Times" w:eastAsia="Times New Roman" w:hAnsi="Times" w:cs="Times"/>
          <w:sz w:val="20"/>
          <w:szCs w:val="20"/>
        </w:rPr>
      </w:pPr>
    </w:p>
    <w:p w:rsidR="001C0CEB" w:rsidRDefault="001C0CEB">
      <w:pPr>
        <w:divId w:val="938097603"/>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Establish Side Impact Performance Requirements for Child Restraint Systems (MAP-21)</w:t>
        </w:r>
      </w:hyperlink>
    </w:p>
    <w:p w:rsidR="001C0CEB" w:rsidRDefault="001C0CEB">
      <w:pPr>
        <w:rPr>
          <w:rFonts w:ascii="Times" w:eastAsia="Times New Roman" w:hAnsi="Times" w:cs="Times"/>
          <w:sz w:val="20"/>
          <w:szCs w:val="20"/>
        </w:rPr>
      </w:pPr>
    </w:p>
    <w:p w:rsidR="001C0CEB" w:rsidRDefault="001C0CEB">
      <w:pPr>
        <w:divId w:val="969748161"/>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Motorcoach Rollover Structural Integrity (MAP-21)</w:t>
        </w:r>
      </w:hyperlink>
    </w:p>
    <w:p w:rsidR="001C0CEB" w:rsidRDefault="001C0CEB">
      <w:pPr>
        <w:rPr>
          <w:rFonts w:ascii="Times" w:eastAsia="Times New Roman" w:hAnsi="Times" w:cs="Times"/>
          <w:sz w:val="20"/>
          <w:szCs w:val="20"/>
        </w:rPr>
      </w:pPr>
    </w:p>
    <w:p w:rsidR="001C0CEB" w:rsidRDefault="001C0CEB">
      <w:pPr>
        <w:divId w:val="806698869"/>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FMVSS No. 218 and Enforcement Policy Concerning Novelty Helmets</w:t>
        </w:r>
      </w:hyperlink>
    </w:p>
    <w:p w:rsidR="001C0CEB" w:rsidRDefault="001C0CEB">
      <w:pPr>
        <w:rPr>
          <w:rFonts w:ascii="Times" w:eastAsia="Times New Roman" w:hAnsi="Times" w:cs="Times"/>
          <w:sz w:val="20"/>
          <w:szCs w:val="20"/>
        </w:rPr>
      </w:pPr>
    </w:p>
    <w:p w:rsidR="001C0CEB" w:rsidRDefault="001C0CEB">
      <w:pPr>
        <w:divId w:val="387534631"/>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Part 572 Q3s 3-year-old Side Impact Dummy (MAP-21)</w:t>
        </w:r>
      </w:hyperlink>
    </w:p>
    <w:p w:rsidR="001C0CEB" w:rsidRDefault="001C0CEB">
      <w:pPr>
        <w:rPr>
          <w:rFonts w:ascii="Times" w:eastAsia="Times New Roman" w:hAnsi="Times" w:cs="Times"/>
          <w:sz w:val="20"/>
          <w:szCs w:val="20"/>
        </w:rPr>
      </w:pPr>
    </w:p>
    <w:p w:rsidR="001C0CEB" w:rsidRDefault="001C0CEB">
      <w:pPr>
        <w:divId w:val="465582231"/>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Consumer Information on Fuel Economy, Emissions, and Alternative Fuel Usage</w:t>
        </w:r>
      </w:hyperlink>
    </w:p>
    <w:p w:rsidR="001C0CEB" w:rsidRDefault="001C0CEB">
      <w:pPr>
        <w:rPr>
          <w:rFonts w:ascii="Times" w:eastAsia="Times New Roman" w:hAnsi="Times" w:cs="Times"/>
          <w:sz w:val="20"/>
          <w:szCs w:val="20"/>
        </w:rPr>
      </w:pPr>
    </w:p>
    <w:p w:rsidR="001C0CEB" w:rsidRDefault="001C0CEB">
      <w:pPr>
        <w:divId w:val="18554739"/>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Amend Definition of 3-Wheeled Vehicles</w:t>
        </w:r>
      </w:hyperlink>
    </w:p>
    <w:p w:rsidR="001C0CEB" w:rsidRDefault="001C0CEB">
      <w:pPr>
        <w:rPr>
          <w:rFonts w:ascii="Times" w:eastAsia="Times New Roman" w:hAnsi="Times" w:cs="Times"/>
          <w:sz w:val="20"/>
          <w:szCs w:val="20"/>
        </w:rPr>
      </w:pPr>
    </w:p>
    <w:p w:rsidR="001C0CEB" w:rsidRDefault="001C0CEB">
      <w:pPr>
        <w:divId w:val="408887738"/>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Upgrade of LATCH Usability Requirements (MAP-21) (RRR)</w:t>
        </w:r>
      </w:hyperlink>
    </w:p>
    <w:p w:rsidR="001C0CEB" w:rsidRDefault="001C0CEB">
      <w:pPr>
        <w:rPr>
          <w:rFonts w:ascii="Times" w:eastAsia="Times New Roman" w:hAnsi="Times" w:cs="Times"/>
          <w:sz w:val="20"/>
          <w:szCs w:val="20"/>
        </w:rPr>
      </w:pPr>
    </w:p>
    <w:p w:rsidR="001C0CEB" w:rsidRDefault="001C0CEB">
      <w:pPr>
        <w:divId w:val="1853571395"/>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Upgrade FMVSS No. 213 for Improved Child Occupant Protection</w:t>
        </w:r>
      </w:hyperlink>
    </w:p>
    <w:p w:rsidR="001C0CEB" w:rsidRDefault="001C0CEB">
      <w:pPr>
        <w:rPr>
          <w:rFonts w:ascii="Times" w:eastAsia="Times New Roman" w:hAnsi="Times" w:cs="Times"/>
          <w:sz w:val="20"/>
          <w:szCs w:val="20"/>
        </w:rPr>
      </w:pPr>
    </w:p>
    <w:p w:rsidR="001C0CEB" w:rsidRDefault="001C0CEB">
      <w:pPr>
        <w:divId w:val="1391344153"/>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Rear Seat Belt Reminder System</w:t>
        </w:r>
      </w:hyperlink>
    </w:p>
    <w:p w:rsidR="001C0CEB" w:rsidRDefault="001C0CEB">
      <w:pPr>
        <w:rPr>
          <w:rFonts w:ascii="Times" w:eastAsia="Times New Roman" w:hAnsi="Times" w:cs="Times"/>
          <w:sz w:val="20"/>
          <w:szCs w:val="20"/>
        </w:rPr>
      </w:pPr>
    </w:p>
    <w:p w:rsidR="001C0CEB" w:rsidRDefault="001C0CEB">
      <w:pPr>
        <w:divId w:val="2028212777"/>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Fuel Efficiency Standards for Medium- and Heavy-Duty Vehicles and Work Trucks: Phase 2</w:t>
        </w:r>
      </w:hyperlink>
    </w:p>
    <w:p w:rsidR="001C0CEB" w:rsidRDefault="001C0CEB">
      <w:pPr>
        <w:rPr>
          <w:rFonts w:ascii="Times" w:eastAsia="Times New Roman" w:hAnsi="Times" w:cs="Times"/>
          <w:sz w:val="20"/>
          <w:szCs w:val="20"/>
        </w:rPr>
      </w:pPr>
    </w:p>
    <w:p w:rsidR="001C0CEB" w:rsidRDefault="001C0CEB">
      <w:pPr>
        <w:divId w:val="860896568"/>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Federal Motor Vehicle Safety Standard (FMVSS) 150 - Vehicle to Vehicle (V2V) Communication</w:t>
        </w:r>
      </w:hyperlink>
    </w:p>
    <w:p w:rsidR="001C0CEB" w:rsidRDefault="001C0CEB">
      <w:pPr>
        <w:rPr>
          <w:rFonts w:ascii="Times" w:eastAsia="Times New Roman" w:hAnsi="Times" w:cs="Times"/>
          <w:sz w:val="20"/>
          <w:szCs w:val="20"/>
        </w:rPr>
      </w:pPr>
    </w:p>
    <w:p w:rsidR="001C0CEB" w:rsidRDefault="001C0CEB">
      <w:pPr>
        <w:divId w:val="468743789"/>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Retroreflective Tape for Single Unit Trucks</w:t>
        </w:r>
      </w:hyperlink>
    </w:p>
    <w:p w:rsidR="001C0CEB" w:rsidRDefault="001C0CEB">
      <w:pPr>
        <w:rPr>
          <w:rFonts w:ascii="Times" w:eastAsia="Times New Roman" w:hAnsi="Times" w:cs="Times"/>
          <w:sz w:val="20"/>
          <w:szCs w:val="20"/>
        </w:rPr>
      </w:pPr>
    </w:p>
    <w:p w:rsidR="001C0CEB" w:rsidRDefault="001C0CEB">
      <w:pPr>
        <w:divId w:val="1711147012"/>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Requirements for Importing Motor Vehicles and Motor Vehicle Equipment</w:t>
        </w:r>
      </w:hyperlink>
    </w:p>
    <w:p w:rsidR="001C0CEB" w:rsidRDefault="001C0CEB">
      <w:pPr>
        <w:rPr>
          <w:rFonts w:ascii="Times" w:eastAsia="Times New Roman" w:hAnsi="Times" w:cs="Times"/>
          <w:sz w:val="20"/>
          <w:szCs w:val="20"/>
        </w:rPr>
      </w:pPr>
    </w:p>
    <w:p w:rsidR="001C0CEB" w:rsidRDefault="001C0CEB">
      <w:pPr>
        <w:divId w:val="220412650"/>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49 CFR Part 577 Defect and Noncompliance Notification</w:t>
        </w:r>
      </w:hyperlink>
    </w:p>
    <w:p w:rsidR="001C0CEB" w:rsidRDefault="001C0CEB">
      <w:pPr>
        <w:rPr>
          <w:rFonts w:ascii="Times" w:eastAsia="Times New Roman" w:hAnsi="Times" w:cs="Times"/>
          <w:sz w:val="20"/>
          <w:szCs w:val="20"/>
        </w:rPr>
      </w:pPr>
    </w:p>
    <w:p w:rsidR="001C0CEB" w:rsidRDefault="001C0CEB">
      <w:pPr>
        <w:divId w:val="717583337"/>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49 CFR Part 502 - Allocation of Responsibility for Defects and Noncompliances in Original Equipment</w:t>
        </w:r>
      </w:hyperlink>
    </w:p>
    <w:p w:rsidR="001C0CEB" w:rsidRDefault="001C0CEB">
      <w:pPr>
        <w:rPr>
          <w:rFonts w:ascii="Times" w:eastAsia="Times New Roman" w:hAnsi="Times" w:cs="Times"/>
          <w:sz w:val="20"/>
          <w:szCs w:val="20"/>
        </w:rPr>
      </w:pPr>
    </w:p>
    <w:p w:rsidR="001C0CEB" w:rsidRDefault="001C0CEB">
      <w:pPr>
        <w:divId w:val="1399129239"/>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Passenger Car and Light Truck Corporate Average Fuel Economy Standards MYs 2022-2025</w:t>
        </w:r>
      </w:hyperlink>
    </w:p>
    <w:p w:rsidR="001C0CEB" w:rsidRDefault="001C0CEB">
      <w:pPr>
        <w:rPr>
          <w:rFonts w:ascii="Times" w:eastAsia="Times New Roman" w:hAnsi="Times" w:cs="Times"/>
          <w:sz w:val="20"/>
          <w:szCs w:val="20"/>
        </w:rPr>
      </w:pPr>
    </w:p>
    <w:p w:rsidR="001C0CEB" w:rsidRDefault="001C0CEB">
      <w:pPr>
        <w:divId w:val="304092082"/>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Revised Regulations for Implementing the 911 Grant Program</w:t>
        </w:r>
      </w:hyperlink>
    </w:p>
    <w:p w:rsidR="001C0CEB" w:rsidRDefault="001C0CEB">
      <w:pPr>
        <w:rPr>
          <w:rFonts w:ascii="Times" w:eastAsia="Times New Roman" w:hAnsi="Times" w:cs="Times"/>
          <w:sz w:val="20"/>
          <w:szCs w:val="20"/>
        </w:rPr>
      </w:pPr>
    </w:p>
    <w:p w:rsidR="001C0CEB" w:rsidRDefault="001C0CEB">
      <w:pPr>
        <w:rPr>
          <w:rFonts w:ascii="Times" w:eastAsia="Times New Roman" w:hAnsi="Times" w:cs="Times"/>
        </w:rPr>
      </w:pPr>
      <w:r>
        <w:rPr>
          <w:rFonts w:ascii="Times" w:eastAsia="Times New Roman" w:hAnsi="Times" w:cs="Times"/>
          <w:b/>
          <w:bCs/>
        </w:rPr>
        <w:t>Office of the Secretary</w:t>
      </w:r>
    </w:p>
    <w:p w:rsidR="001C0CEB" w:rsidRDefault="001C0CEB">
      <w:pPr>
        <w:divId w:val="558900516"/>
        <w:rPr>
          <w:rFonts w:ascii="Times" w:eastAsia="Times New Roman" w:hAnsi="Times" w:cs="Times"/>
        </w:rPr>
      </w:pPr>
      <w:r>
        <w:rPr>
          <w:rFonts w:ascii="Times" w:eastAsia="Times New Roman" w:hAnsi="Times" w:cs="Times"/>
        </w:rPr>
        <w:t>86. </w:t>
      </w:r>
      <w:hyperlink w:anchor="86" w:history="1">
        <w:r>
          <w:rPr>
            <w:rStyle w:val="Hyperlink"/>
            <w:rFonts w:ascii="Times" w:eastAsia="Times New Roman" w:hAnsi="Times" w:cs="Times"/>
          </w:rPr>
          <w:t>Carrier-Supplied Medical Oxygen, Service Request Reporting, and Seating Accommodations with Extra Legroom</w:t>
        </w:r>
      </w:hyperlink>
    </w:p>
    <w:p w:rsidR="001C0CEB" w:rsidRDefault="001C0CEB">
      <w:pPr>
        <w:rPr>
          <w:rFonts w:ascii="Times" w:eastAsia="Times New Roman" w:hAnsi="Times" w:cs="Times"/>
          <w:sz w:val="20"/>
          <w:szCs w:val="20"/>
        </w:rPr>
      </w:pPr>
    </w:p>
    <w:p w:rsidR="001C0CEB" w:rsidRDefault="001C0CEB">
      <w:pPr>
        <w:divId w:val="1998798422"/>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Transportation Services for Individuals with Disabilities: Over-the-Road Buses (RRR)</w:t>
        </w:r>
      </w:hyperlink>
    </w:p>
    <w:p w:rsidR="001C0CEB" w:rsidRDefault="001C0CEB">
      <w:pPr>
        <w:rPr>
          <w:rFonts w:ascii="Times" w:eastAsia="Times New Roman" w:hAnsi="Times" w:cs="Times"/>
          <w:sz w:val="20"/>
          <w:szCs w:val="20"/>
        </w:rPr>
      </w:pPr>
    </w:p>
    <w:p w:rsidR="001C0CEB" w:rsidRDefault="001C0CEB">
      <w:pPr>
        <w:divId w:val="256595918"/>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Use of Mobile Wireless Devices for Voice Calls on Aircraft</w:t>
        </w:r>
      </w:hyperlink>
    </w:p>
    <w:p w:rsidR="001C0CEB" w:rsidRDefault="001C0CEB">
      <w:pPr>
        <w:rPr>
          <w:rFonts w:ascii="Times" w:eastAsia="Times New Roman" w:hAnsi="Times" w:cs="Times"/>
          <w:sz w:val="20"/>
          <w:szCs w:val="20"/>
        </w:rPr>
      </w:pPr>
    </w:p>
    <w:p w:rsidR="001C0CEB" w:rsidRDefault="001C0CEB">
      <w:pPr>
        <w:divId w:val="606082098"/>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Reporting Ancillary Airline Passenger Revenues</w:t>
        </w:r>
      </w:hyperlink>
    </w:p>
    <w:p w:rsidR="001C0CEB" w:rsidRDefault="001C0CEB">
      <w:pPr>
        <w:rPr>
          <w:rFonts w:ascii="Times" w:eastAsia="Times New Roman" w:hAnsi="Times" w:cs="Times"/>
          <w:sz w:val="20"/>
          <w:szCs w:val="20"/>
        </w:rPr>
      </w:pPr>
    </w:p>
    <w:p w:rsidR="001C0CEB" w:rsidRDefault="001C0CEB">
      <w:pPr>
        <w:divId w:val="1471823406"/>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Accessible In-Flight Entertainment and Accessible Lavatories on Single-Aisle Aircraft</w:t>
        </w:r>
      </w:hyperlink>
    </w:p>
    <w:p w:rsidR="001C0CEB" w:rsidRDefault="001C0CEB">
      <w:pPr>
        <w:rPr>
          <w:rFonts w:ascii="Times" w:eastAsia="Times New Roman" w:hAnsi="Times" w:cs="Times"/>
          <w:sz w:val="20"/>
          <w:szCs w:val="20"/>
        </w:rPr>
      </w:pPr>
    </w:p>
    <w:p w:rsidR="001C0CEB" w:rsidRDefault="001C0CEB">
      <w:pPr>
        <w:divId w:val="136263321"/>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Geographic-Based Hiring Preferences in Administering Federal Awards</w:t>
        </w:r>
      </w:hyperlink>
    </w:p>
    <w:p w:rsidR="001C0CEB" w:rsidRDefault="001C0CEB">
      <w:pPr>
        <w:rPr>
          <w:rFonts w:ascii="Times" w:eastAsia="Times New Roman" w:hAnsi="Times" w:cs="Times"/>
          <w:sz w:val="20"/>
          <w:szCs w:val="20"/>
        </w:rPr>
      </w:pPr>
    </w:p>
    <w:p w:rsidR="001C0CEB" w:rsidRDefault="001C0CEB">
      <w:pPr>
        <w:divId w:val="306470148"/>
        <w:rPr>
          <w:rFonts w:ascii="Times" w:eastAsia="Times New Roman" w:hAnsi="Times" w:cs="Times"/>
        </w:rPr>
      </w:pPr>
      <w:r>
        <w:rPr>
          <w:rFonts w:ascii="Times" w:eastAsia="Times New Roman" w:hAnsi="Times" w:cs="Times"/>
        </w:rPr>
        <w:t>92. </w:t>
      </w:r>
      <w:hyperlink w:anchor="92" w:history="1">
        <w:r>
          <w:rPr>
            <w:rStyle w:val="Hyperlink"/>
            <w:rFonts w:ascii="Times" w:eastAsia="Times New Roman" w:hAnsi="Times" w:cs="Times"/>
          </w:rPr>
          <w:t>Amendment to Excessive Tarmac Delay Definition</w:t>
        </w:r>
      </w:hyperlink>
    </w:p>
    <w:p w:rsidR="001C0CEB" w:rsidRDefault="001C0CEB">
      <w:pPr>
        <w:rPr>
          <w:rFonts w:ascii="Times" w:eastAsia="Times New Roman" w:hAnsi="Times" w:cs="Times"/>
          <w:sz w:val="20"/>
          <w:szCs w:val="20"/>
        </w:rPr>
      </w:pPr>
    </w:p>
    <w:p w:rsidR="001C0CEB" w:rsidRDefault="001C0CEB">
      <w:pPr>
        <w:divId w:val="199902837"/>
        <w:rPr>
          <w:rFonts w:ascii="Times" w:eastAsia="Times New Roman" w:hAnsi="Times" w:cs="Times"/>
        </w:rPr>
      </w:pPr>
      <w:r>
        <w:rPr>
          <w:rFonts w:ascii="Times" w:eastAsia="Times New Roman" w:hAnsi="Times" w:cs="Times"/>
        </w:rPr>
        <w:t>93. </w:t>
      </w:r>
      <w:hyperlink w:anchor="93" w:history="1">
        <w:r>
          <w:rPr>
            <w:rStyle w:val="Hyperlink"/>
            <w:rFonts w:ascii="Times" w:eastAsia="Times New Roman" w:hAnsi="Times" w:cs="Times"/>
          </w:rPr>
          <w:t>Transparency of Airline Ancillary Service Fees</w:t>
        </w:r>
      </w:hyperlink>
    </w:p>
    <w:p w:rsidR="001C0CEB" w:rsidRDefault="001C0CEB">
      <w:pPr>
        <w:rPr>
          <w:rFonts w:ascii="Times" w:eastAsia="Times New Roman" w:hAnsi="Times" w:cs="Times"/>
          <w:sz w:val="20"/>
          <w:szCs w:val="20"/>
        </w:rPr>
      </w:pPr>
    </w:p>
    <w:p w:rsidR="001C0CEB" w:rsidRDefault="001C0CEB">
      <w:pPr>
        <w:divId w:val="90854509"/>
        <w:rPr>
          <w:rFonts w:ascii="Times" w:eastAsia="Times New Roman" w:hAnsi="Times" w:cs="Times"/>
        </w:rPr>
      </w:pPr>
      <w:r>
        <w:rPr>
          <w:rFonts w:ascii="Times" w:eastAsia="Times New Roman" w:hAnsi="Times" w:cs="Times"/>
        </w:rPr>
        <w:t>94. </w:t>
      </w:r>
      <w:hyperlink w:anchor="94" w:history="1">
        <w:r>
          <w:rPr>
            <w:rStyle w:val="Hyperlink"/>
            <w:rFonts w:ascii="Times" w:eastAsia="Times New Roman" w:hAnsi="Times" w:cs="Times"/>
          </w:rPr>
          <w:t>Air Transportation Consumer Protection Requirements for Ticket Agents</w:t>
        </w:r>
      </w:hyperlink>
    </w:p>
    <w:p w:rsidR="001C0CEB" w:rsidRDefault="001C0CEB">
      <w:pPr>
        <w:rPr>
          <w:rFonts w:ascii="Times" w:eastAsia="Times New Roman" w:hAnsi="Times" w:cs="Times"/>
          <w:sz w:val="20"/>
          <w:szCs w:val="20"/>
        </w:rPr>
      </w:pPr>
    </w:p>
    <w:p w:rsidR="001C0CEB" w:rsidRDefault="001C0CEB">
      <w:pPr>
        <w:divId w:val="1952080963"/>
        <w:rPr>
          <w:rFonts w:ascii="Times" w:eastAsia="Times New Roman" w:hAnsi="Times" w:cs="Times"/>
        </w:rPr>
      </w:pPr>
      <w:r>
        <w:rPr>
          <w:rFonts w:ascii="Times" w:eastAsia="Times New Roman" w:hAnsi="Times" w:cs="Times"/>
        </w:rPr>
        <w:t>95. </w:t>
      </w:r>
      <w:hyperlink w:anchor="95" w:history="1">
        <w:r>
          <w:rPr>
            <w:rStyle w:val="Hyperlink"/>
            <w:rFonts w:ascii="Times" w:eastAsia="Times New Roman" w:hAnsi="Times" w:cs="Times"/>
          </w:rPr>
          <w:t>Traveling by Air with Service Animals</w:t>
        </w:r>
      </w:hyperlink>
    </w:p>
    <w:p w:rsidR="001C0CEB" w:rsidRDefault="001C0CEB">
      <w:pPr>
        <w:rPr>
          <w:rFonts w:ascii="Times" w:eastAsia="Times New Roman" w:hAnsi="Times" w:cs="Times"/>
          <w:sz w:val="20"/>
          <w:szCs w:val="20"/>
        </w:rPr>
      </w:pPr>
    </w:p>
    <w:p w:rsidR="001C0CEB" w:rsidRDefault="001C0CEB">
      <w:pPr>
        <w:rPr>
          <w:rFonts w:ascii="Times" w:eastAsia="Times New Roman" w:hAnsi="Times" w:cs="Times"/>
        </w:rPr>
      </w:pPr>
      <w:r>
        <w:rPr>
          <w:rFonts w:ascii="Times" w:eastAsia="Times New Roman" w:hAnsi="Times" w:cs="Times"/>
          <w:b/>
          <w:bCs/>
        </w:rPr>
        <w:t>Pipeline and Hazardous Materials Safety Administration</w:t>
      </w:r>
    </w:p>
    <w:p w:rsidR="001C0CEB" w:rsidRDefault="001C0CEB">
      <w:pPr>
        <w:divId w:val="2014451322"/>
        <w:rPr>
          <w:rFonts w:ascii="Times" w:eastAsia="Times New Roman" w:hAnsi="Times" w:cs="Times"/>
        </w:rPr>
      </w:pPr>
      <w:r>
        <w:rPr>
          <w:rFonts w:ascii="Times" w:eastAsia="Times New Roman" w:hAnsi="Times" w:cs="Times"/>
        </w:rPr>
        <w:t>96. </w:t>
      </w:r>
      <w:hyperlink w:anchor="96" w:history="1">
        <w:r>
          <w:rPr>
            <w:rStyle w:val="Hyperlink"/>
            <w:rFonts w:ascii="Times" w:eastAsia="Times New Roman" w:hAnsi="Times" w:cs="Times"/>
          </w:rPr>
          <w:t>Pipeline Safety: Safety of Hazardous Liquid Pipelines</w:t>
        </w:r>
      </w:hyperlink>
    </w:p>
    <w:p w:rsidR="001C0CEB" w:rsidRDefault="001C0CEB">
      <w:pPr>
        <w:rPr>
          <w:rFonts w:ascii="Times" w:eastAsia="Times New Roman" w:hAnsi="Times" w:cs="Times"/>
          <w:sz w:val="20"/>
          <w:szCs w:val="20"/>
        </w:rPr>
      </w:pPr>
    </w:p>
    <w:p w:rsidR="001C0CEB" w:rsidRDefault="001C0CEB">
      <w:pPr>
        <w:divId w:val="1183012205"/>
        <w:rPr>
          <w:rFonts w:ascii="Times" w:eastAsia="Times New Roman" w:hAnsi="Times" w:cs="Times"/>
        </w:rPr>
      </w:pPr>
      <w:r>
        <w:rPr>
          <w:rFonts w:ascii="Times" w:eastAsia="Times New Roman" w:hAnsi="Times" w:cs="Times"/>
        </w:rPr>
        <w:t>97. </w:t>
      </w:r>
      <w:hyperlink w:anchor="97" w:history="1">
        <w:r>
          <w:rPr>
            <w:rStyle w:val="Hyperlink"/>
            <w:rFonts w:ascii="Times" w:eastAsia="Times New Roman" w:hAnsi="Times" w:cs="Times"/>
          </w:rPr>
          <w:t>Pipeline Safety: Gas Transmission (RRR)</w:t>
        </w:r>
      </w:hyperlink>
    </w:p>
    <w:p w:rsidR="001C0CEB" w:rsidRDefault="001C0CEB">
      <w:pPr>
        <w:rPr>
          <w:rFonts w:ascii="Times" w:eastAsia="Times New Roman" w:hAnsi="Times" w:cs="Times"/>
          <w:sz w:val="20"/>
          <w:szCs w:val="20"/>
        </w:rPr>
      </w:pPr>
    </w:p>
    <w:p w:rsidR="001C0CEB" w:rsidRDefault="001C0CEB">
      <w:pPr>
        <w:divId w:val="1776288795"/>
        <w:rPr>
          <w:rFonts w:ascii="Times" w:eastAsia="Times New Roman" w:hAnsi="Times" w:cs="Times"/>
        </w:rPr>
      </w:pPr>
      <w:r>
        <w:rPr>
          <w:rFonts w:ascii="Times" w:eastAsia="Times New Roman" w:hAnsi="Times" w:cs="Times"/>
        </w:rPr>
        <w:t>98. </w:t>
      </w:r>
      <w:hyperlink w:anchor="98" w:history="1">
        <w:r>
          <w:rPr>
            <w:rStyle w:val="Hyperlink"/>
            <w:rFonts w:ascii="Times" w:eastAsia="Times New Roman" w:hAnsi="Times" w:cs="Times"/>
          </w:rPr>
          <w:t>Hazardous Materials: Oil Spill Response Plans and Information Sharing for High-Hazard Flammable Trains</w:t>
        </w:r>
      </w:hyperlink>
    </w:p>
    <w:p w:rsidR="001C0CEB" w:rsidRDefault="001C0CEB">
      <w:pPr>
        <w:rPr>
          <w:rFonts w:ascii="Times" w:eastAsia="Times New Roman" w:hAnsi="Times" w:cs="Times"/>
          <w:sz w:val="20"/>
          <w:szCs w:val="20"/>
        </w:rPr>
      </w:pPr>
    </w:p>
    <w:p w:rsidR="001C0CEB" w:rsidRDefault="001C0CEB">
      <w:pPr>
        <w:divId w:val="102967459"/>
        <w:rPr>
          <w:rFonts w:ascii="Times" w:eastAsia="Times New Roman" w:hAnsi="Times" w:cs="Times"/>
        </w:rPr>
      </w:pPr>
      <w:r>
        <w:rPr>
          <w:rFonts w:ascii="Times" w:eastAsia="Times New Roman" w:hAnsi="Times" w:cs="Times"/>
        </w:rPr>
        <w:t>99. </w:t>
      </w:r>
      <w:hyperlink w:anchor="99" w:history="1">
        <w:r>
          <w:rPr>
            <w:rStyle w:val="Hyperlink"/>
            <w:rFonts w:ascii="Times" w:eastAsia="Times New Roman" w:hAnsi="Times" w:cs="Times"/>
          </w:rPr>
          <w:t>Hazardous Materials: Enhanced Safety Provisions for Lithium Batteries Transported by Aircraft</w:t>
        </w:r>
      </w:hyperlink>
    </w:p>
    <w:p w:rsidR="001C0CEB" w:rsidRDefault="001C0CEB">
      <w:pPr>
        <w:rPr>
          <w:rFonts w:ascii="Times" w:eastAsia="Times New Roman" w:hAnsi="Times" w:cs="Times"/>
          <w:sz w:val="20"/>
          <w:szCs w:val="20"/>
        </w:rPr>
      </w:pPr>
    </w:p>
    <w:p w:rsidR="001C0CEB" w:rsidRDefault="001C0CEB">
      <w:pPr>
        <w:divId w:val="298071899"/>
        <w:rPr>
          <w:rFonts w:ascii="Times" w:eastAsia="Times New Roman" w:hAnsi="Times" w:cs="Times"/>
        </w:rPr>
      </w:pPr>
      <w:r>
        <w:rPr>
          <w:rFonts w:ascii="Times" w:eastAsia="Times New Roman" w:hAnsi="Times" w:cs="Times"/>
        </w:rPr>
        <w:t>100. </w:t>
      </w:r>
      <w:hyperlink w:anchor="100" w:history="1">
        <w:r>
          <w:rPr>
            <w:rStyle w:val="Hyperlink"/>
            <w:rFonts w:ascii="Times" w:eastAsia="Times New Roman" w:hAnsi="Times" w:cs="Times"/>
          </w:rPr>
          <w:t>Hazardous Materials: FAST Act Requirements for Real-Time Train Consist Information by Rail</w:t>
        </w:r>
      </w:hyperlink>
    </w:p>
    <w:p w:rsidR="001C0CEB" w:rsidRDefault="001C0CEB">
      <w:pPr>
        <w:rPr>
          <w:rFonts w:ascii="Times" w:eastAsia="Times New Roman" w:hAnsi="Times" w:cs="Times"/>
          <w:sz w:val="20"/>
          <w:szCs w:val="20"/>
        </w:rPr>
      </w:pPr>
    </w:p>
    <w:p w:rsidR="001C0CEB" w:rsidRDefault="001C0CEB">
      <w:pPr>
        <w:divId w:val="1187332422"/>
        <w:rPr>
          <w:rFonts w:ascii="Times" w:eastAsia="Times New Roman" w:hAnsi="Times" w:cs="Times"/>
        </w:rPr>
      </w:pPr>
      <w:r>
        <w:rPr>
          <w:rFonts w:ascii="Times" w:eastAsia="Times New Roman" w:hAnsi="Times" w:cs="Times"/>
        </w:rPr>
        <w:t>101. </w:t>
      </w:r>
      <w:hyperlink w:anchor="101" w:history="1">
        <w:r>
          <w:rPr>
            <w:rStyle w:val="Hyperlink"/>
            <w:rFonts w:ascii="Times" w:eastAsia="Times New Roman" w:hAnsi="Times" w:cs="Times"/>
          </w:rPr>
          <w:t>Pipeline Safety: Underground Storage Facilities for Natural Gas</w:t>
        </w:r>
      </w:hyperlink>
    </w:p>
    <w:p w:rsidR="001C0CEB" w:rsidRDefault="001C0CEB">
      <w:pPr>
        <w:rPr>
          <w:rFonts w:ascii="Times" w:eastAsia="Times New Roman" w:hAnsi="Times" w:cs="Times"/>
          <w:sz w:val="20"/>
          <w:szCs w:val="20"/>
        </w:rPr>
      </w:pPr>
    </w:p>
    <w:p w:rsidR="001C0CEB" w:rsidRDefault="001C0CEB">
      <w:pPr>
        <w:divId w:val="593628898"/>
        <w:rPr>
          <w:rFonts w:ascii="Times" w:eastAsia="Times New Roman" w:hAnsi="Times" w:cs="Times"/>
        </w:rPr>
      </w:pPr>
      <w:r>
        <w:rPr>
          <w:rFonts w:ascii="Times" w:eastAsia="Times New Roman" w:hAnsi="Times" w:cs="Times"/>
        </w:rPr>
        <w:t>102. </w:t>
      </w:r>
      <w:hyperlink w:anchor="102" w:history="1">
        <w:r>
          <w:rPr>
            <w:rStyle w:val="Hyperlink"/>
            <w:rFonts w:ascii="Times" w:eastAsia="Times New Roman" w:hAnsi="Times" w:cs="Times"/>
          </w:rPr>
          <w:t>Hazardous Materials: Vapor Pressure of Unrefined Petroleum Products and Class 3 Materials</w:t>
        </w:r>
      </w:hyperlink>
    </w:p>
    <w:p w:rsidR="001C0CEB" w:rsidRDefault="001C0CEB">
      <w:pPr>
        <w:rPr>
          <w:rFonts w:ascii="Times" w:eastAsia="Times New Roman" w:hAnsi="Times" w:cs="Times"/>
          <w:sz w:val="20"/>
          <w:szCs w:val="20"/>
        </w:rPr>
      </w:pPr>
    </w:p>
    <w:p w:rsidR="001C0CEB" w:rsidRDefault="001C0CEB">
      <w:pPr>
        <w:divId w:val="1953704579"/>
        <w:rPr>
          <w:rFonts w:ascii="Times" w:eastAsia="Times New Roman" w:hAnsi="Times" w:cs="Times"/>
        </w:rPr>
      </w:pPr>
      <w:r>
        <w:rPr>
          <w:rFonts w:ascii="Times" w:eastAsia="Times New Roman" w:hAnsi="Times" w:cs="Times"/>
        </w:rPr>
        <w:t>103. </w:t>
      </w:r>
      <w:hyperlink w:anchor="103" w:history="1">
        <w:r>
          <w:rPr>
            <w:rStyle w:val="Hyperlink"/>
            <w:rFonts w:ascii="Times" w:eastAsia="Times New Roman" w:hAnsi="Times" w:cs="Times"/>
          </w:rPr>
          <w:t>Hazardous Materials: Sampling and Testing Requirements for Unrefined Petroleum Products</w:t>
        </w:r>
      </w:hyperlink>
    </w:p>
    <w:p w:rsidR="001C0CEB" w:rsidRDefault="001C0CEB">
      <w:pPr>
        <w:rPr>
          <w:rFonts w:ascii="Times" w:eastAsia="Times New Roman" w:hAnsi="Times" w:cs="Times"/>
          <w:sz w:val="20"/>
          <w:szCs w:val="20"/>
        </w:rPr>
      </w:pPr>
    </w:p>
    <w:p w:rsidR="001C0CEB" w:rsidRDefault="001C0CEB">
      <w:pPr>
        <w:divId w:val="2041934432"/>
        <w:rPr>
          <w:rFonts w:ascii="Times" w:eastAsia="Times New Roman" w:hAnsi="Times" w:cs="Times"/>
        </w:rPr>
      </w:pPr>
      <w:r>
        <w:rPr>
          <w:rFonts w:ascii="Times" w:eastAsia="Times New Roman" w:hAnsi="Times" w:cs="Times"/>
        </w:rPr>
        <w:t>104. </w:t>
      </w:r>
      <w:hyperlink w:anchor="104" w:history="1">
        <w:r>
          <w:rPr>
            <w:rStyle w:val="Hyperlink"/>
            <w:rFonts w:ascii="Times" w:eastAsia="Times New Roman" w:hAnsi="Times" w:cs="Times"/>
          </w:rPr>
          <w:t>Pipeline Safety: Class Location Requirements</w:t>
        </w:r>
      </w:hyperlink>
    </w:p>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0" w:name="1"/>
            <w:r>
              <w:rPr>
                <w:rFonts w:ascii="Times" w:eastAsia="Times New Roman" w:hAnsi="Times" w:cs="Times"/>
                <w:b/>
                <w:bCs/>
                <w:sz w:val="20"/>
                <w:szCs w:val="20"/>
              </w:rPr>
              <w:t>Federal Aviation Administration</w:t>
            </w:r>
          </w:p>
        </w:tc>
      </w:tr>
      <w:tr w:rsidR="001C0CEB">
        <w:trPr>
          <w:tblCellSpacing w:w="24" w:type="dxa"/>
        </w:trPr>
        <w:tc>
          <w:tcPr>
            <w:tcW w:w="0" w:type="auto"/>
            <w:gridSpan w:val="2"/>
            <w:vAlign w:val="center"/>
            <w:hideMark/>
          </w:tcPr>
          <w:p w:rsidR="001C0CEB" w:rsidRDefault="00422C26">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0"/>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C0CE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Red</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2120-AJ38</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w:t>
            </w:r>
            <w:proofErr w:type="gramStart"/>
            <w:r>
              <w:rPr>
                <w:rFonts w:ascii="Times" w:eastAsia="Times New Roman" w:hAnsi="Times" w:cs="Times"/>
                <w:sz w:val="20"/>
                <w:szCs w:val="20"/>
              </w:rPr>
              <w:t>2010;End</w:t>
            </w:r>
            <w:proofErr w:type="gramEnd"/>
            <w:r>
              <w:rPr>
                <w:rFonts w:ascii="Times" w:eastAsia="Times New Roman" w:hAnsi="Times" w:cs="Times"/>
                <w:sz w:val="20"/>
                <w:szCs w:val="20"/>
              </w:rPr>
              <w:t xml:space="preserve"> of Comment Period 01/05/2011;Extension of Comment Period 12/10/2010; End of Extended of Comment Period 03/07/2011; Extension of Comment Period 03/07/2011; End of Extended of Comment Period 07/05/2011. SNPRM Publication: 07/14/2016; End of SNPRM Comment Period 09/12/2016.</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certain airport certificate holders to develop, implement, maintain, and adhere to a safety management system (SMS) for its aviation related activities. An SMS is a formalized approach to managing safety by developing an organization-wide safety policy, developing formal methods of identifying hazards, analyzing and mitigating risk, developing methods for ensuring continuous safety improvement, and creating organization-wide safety promotion strategies.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Peer Review</w:t>
                  </w:r>
                  <w:r>
                    <w:rPr>
                      <w:rFonts w:ascii="Times" w:eastAsia="Times New Roman" w:hAnsi="Times" w:cs="Times"/>
                      <w:sz w:val="20"/>
                      <w:szCs w:val="20"/>
                    </w:rPr>
                    <w:br/>
                    <w:t>Foreign</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Final </w:t>
                  </w:r>
                  <w:proofErr w:type="gramStart"/>
                  <w:r>
                    <w:rPr>
                      <w:rFonts w:ascii="Times" w:eastAsia="Times New Roman" w:hAnsi="Times" w:cs="Times"/>
                      <w:sz w:val="20"/>
                      <w:szCs w:val="20"/>
                    </w:rPr>
                    <w:t>rule :</w:t>
                  </w:r>
                  <w:proofErr w:type="gramEnd"/>
                  <w:r>
                    <w:rPr>
                      <w:rFonts w:ascii="Times" w:eastAsia="Times New Roman" w:hAnsi="Times" w:cs="Times"/>
                      <w:sz w:val="20"/>
                      <w:szCs w:val="20"/>
                    </w:rPr>
                    <w:t xml:space="preserve"> 11/05/2012</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12/08/2017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04/09/2018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04/23/2018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1" w:name="2"/>
            <w:r>
              <w:rPr>
                <w:rFonts w:ascii="Times" w:eastAsia="Times New Roman" w:hAnsi="Times" w:cs="Times"/>
                <w:sz w:val="20"/>
                <w:szCs w:val="20"/>
              </w:rPr>
              <w:t>Federal Aviation Administration</w:t>
            </w:r>
            <w:bookmarkEnd w:id="1"/>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C0CE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Red</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2120-AJ69</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w:t>
            </w:r>
            <w:proofErr w:type="gramStart"/>
            <w:r>
              <w:rPr>
                <w:rFonts w:ascii="Times" w:eastAsia="Times New Roman" w:hAnsi="Times" w:cs="Times"/>
                <w:sz w:val="20"/>
                <w:szCs w:val="20"/>
              </w:rPr>
              <w:t>2010;End</w:t>
            </w:r>
            <w:proofErr w:type="gramEnd"/>
            <w:r>
              <w:rPr>
                <w:rFonts w:ascii="Times" w:eastAsia="Times New Roman" w:hAnsi="Times" w:cs="Times"/>
                <w:sz w:val="20"/>
                <w:szCs w:val="20"/>
              </w:rPr>
              <w:t xml:space="preserve"> of Comment Period 06/10/2010.</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53"/>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roofErr w:type="gramStart"/>
                  <w:r>
                    <w:rPr>
                      <w:rFonts w:ascii="Times" w:eastAsia="Times New Roman" w:hAnsi="Times" w:cs="Times"/>
                      <w:sz w:val="20"/>
                      <w:szCs w:val="20"/>
                    </w:rPr>
                    <w:t>NPRM :</w:t>
                  </w:r>
                  <w:proofErr w:type="gramEnd"/>
                  <w:r>
                    <w:rPr>
                      <w:rFonts w:ascii="Times" w:eastAsia="Times New Roman" w:hAnsi="Times" w:cs="Times"/>
                      <w:sz w:val="20"/>
                      <w:szCs w:val="20"/>
                    </w:rPr>
                    <w:t xml:space="preserve"> 06/10/2011</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FAA-2010-0289</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2" w:name="3"/>
            <w:r>
              <w:rPr>
                <w:rFonts w:ascii="Times" w:eastAsia="Times New Roman" w:hAnsi="Times" w:cs="Times"/>
                <w:sz w:val="20"/>
                <w:szCs w:val="20"/>
              </w:rPr>
              <w:t>Federal Aviation Administration</w:t>
            </w:r>
            <w:bookmarkEnd w:id="2"/>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C0CE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Red</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2120-AJ71</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Other</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 xml:space="preserve">Previous </w:t>
            </w:r>
            <w:proofErr w:type="gramStart"/>
            <w:r>
              <w:rPr>
                <w:rFonts w:ascii="Times" w:eastAsia="Times New Roman" w:hAnsi="Times" w:cs="Times"/>
                <w:b/>
                <w:bCs/>
                <w:sz w:val="20"/>
                <w:szCs w:val="20"/>
              </w:rPr>
              <w:t>Stage:</w:t>
            </w:r>
            <w:r>
              <w:rPr>
                <w:rFonts w:ascii="Times" w:eastAsia="Times New Roman" w:hAnsi="Times" w:cs="Times"/>
                <w:sz w:val="20"/>
                <w:szCs w:val="20"/>
              </w:rPr>
              <w:t>None</w:t>
            </w:r>
            <w:proofErr w:type="gramEnd"/>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FAA is terminating this rulemaking that would have required certificated airports to complete a wildlife hazard assessment (WHA) and a wildlife hazard management plan (WHMP) to identify and mitigate wildlife hazards. The FAA has determined that the proposed requirements in the rulemaking titled "Airport Safety Management System" (SMS) should accomplish the same goal. An SMS is a formalized approach to managing safety by developing an organization-wide safety policy, developing formal methods of identifying hazards, analyzing and mitigating risk, developing methods for ensuring continuous safety improvement, and creating organization-wide safety promotion strategies. Therefore, under an SMS, a certificated airport would have a tool to determine if a wildlife hazard exists and, if so, what actions are needed to mitigate such hazard.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Other:</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4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Termination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04/05/2017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Other:</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3" w:name="4"/>
            <w:r>
              <w:rPr>
                <w:rFonts w:ascii="Times" w:eastAsia="Times New Roman" w:hAnsi="Times" w:cs="Times"/>
                <w:sz w:val="20"/>
                <w:szCs w:val="20"/>
              </w:rPr>
              <w:t>Federal Aviation Administration</w:t>
            </w:r>
            <w:bookmarkEnd w:id="3"/>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C0CE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 xml:space="preserve">Regulation </w:t>
                  </w:r>
                  <w:proofErr w:type="gramStart"/>
                  <w:r>
                    <w:rPr>
                      <w:rFonts w:ascii="Times" w:eastAsia="Times New Roman" w:hAnsi="Times" w:cs="Times"/>
                      <w:b/>
                      <w:bCs/>
                      <w:sz w:val="20"/>
                      <w:szCs w:val="20"/>
                    </w:rPr>
                    <w:t>Of</w:t>
                  </w:r>
                  <w:proofErr w:type="gramEnd"/>
                  <w:r>
                    <w:rPr>
                      <w:rFonts w:ascii="Times" w:eastAsia="Times New Roman" w:hAnsi="Times" w:cs="Times"/>
                      <w:b/>
                      <w:bCs/>
                      <w:sz w:val="20"/>
                      <w:szCs w:val="20"/>
                    </w:rPr>
                    <w:t xml:space="preserve">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Red</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2120-AJ78</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 xml:space="preserve">Previous </w:t>
            </w:r>
            <w:proofErr w:type="gramStart"/>
            <w:r>
              <w:rPr>
                <w:rFonts w:ascii="Times" w:eastAsia="Times New Roman" w:hAnsi="Times" w:cs="Times"/>
                <w:b/>
                <w:bCs/>
                <w:sz w:val="20"/>
                <w:szCs w:val="20"/>
              </w:rPr>
              <w:t>Stage:</w:t>
            </w:r>
            <w:r>
              <w:rPr>
                <w:rFonts w:ascii="Times" w:eastAsia="Times New Roman" w:hAnsi="Times" w:cs="Times"/>
                <w:sz w:val="20"/>
                <w:szCs w:val="20"/>
              </w:rPr>
              <w:t>None</w:t>
            </w:r>
            <w:proofErr w:type="gramEnd"/>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4" w:name="5"/>
            <w:r>
              <w:rPr>
                <w:rFonts w:ascii="Times" w:eastAsia="Times New Roman" w:hAnsi="Times" w:cs="Times"/>
                <w:sz w:val="20"/>
                <w:szCs w:val="20"/>
              </w:rPr>
              <w:t>Federal Aviation Administration</w:t>
            </w:r>
            <w:bookmarkEnd w:id="4"/>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C0CE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Pilot Professional Development</w:t>
                  </w:r>
                </w:p>
              </w:tc>
              <w:tc>
                <w:tcPr>
                  <w:tcW w:w="360" w:type="dxa"/>
                  <w:tcBorders>
                    <w:top w:val="outset" w:sz="6" w:space="0" w:color="FF0000"/>
                    <w:left w:val="outset" w:sz="6" w:space="0" w:color="FF0000"/>
                    <w:bottom w:val="outset" w:sz="6" w:space="0" w:color="FF0000"/>
                    <w:right w:val="outset" w:sz="6" w:space="0" w:color="FF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Red</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Professional Development</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2120-AJ87</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09/21/</w:t>
            </w:r>
            <w:proofErr w:type="gramStart"/>
            <w:r>
              <w:rPr>
                <w:rFonts w:ascii="Times" w:eastAsia="Times New Roman" w:hAnsi="Times" w:cs="Times"/>
                <w:sz w:val="20"/>
                <w:szCs w:val="20"/>
              </w:rPr>
              <w:t>2016;Publication</w:t>
            </w:r>
            <w:proofErr w:type="gramEnd"/>
            <w:r>
              <w:rPr>
                <w:rFonts w:ascii="Times" w:eastAsia="Times New Roman" w:hAnsi="Times" w:cs="Times"/>
                <w:sz w:val="20"/>
                <w:szCs w:val="20"/>
              </w:rPr>
              <w:t xml:space="preserve"> Date 10/07/2016;End of Comment Period 01/05/2017.</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to address mentoring, leadership and professional development of flight crewmembers in part 121 operations. This rulemaking is required by the Airline Safety and Federal Aviation Administration Act of 2010.</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roofErr w:type="gramStart"/>
                  <w:r>
                    <w:rPr>
                      <w:rFonts w:ascii="Times" w:eastAsia="Times New Roman" w:hAnsi="Times" w:cs="Times"/>
                      <w:sz w:val="20"/>
                      <w:szCs w:val="20"/>
                    </w:rPr>
                    <w:t>NPRM :</w:t>
                  </w:r>
                  <w:proofErr w:type="gramEnd"/>
                  <w:r>
                    <w:rPr>
                      <w:rFonts w:ascii="Times" w:eastAsia="Times New Roman" w:hAnsi="Times" w:cs="Times"/>
                      <w:sz w:val="20"/>
                      <w:szCs w:val="20"/>
                    </w:rPr>
                    <w:t xml:space="preserve"> 04/20/2015</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01/12/2018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06/12/2018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05/03/2018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5" w:name="6"/>
            <w:r>
              <w:rPr>
                <w:rFonts w:ascii="Times" w:eastAsia="Times New Roman" w:hAnsi="Times" w:cs="Times"/>
                <w:sz w:val="20"/>
                <w:szCs w:val="20"/>
              </w:rPr>
              <w:t>Federal Aviation Administration</w:t>
            </w:r>
            <w:bookmarkEnd w:id="5"/>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System Safety Assessment</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System Safety Assessment</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2120-AJ99</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 xml:space="preserve">Previous </w:t>
            </w:r>
            <w:proofErr w:type="gramStart"/>
            <w:r>
              <w:rPr>
                <w:rFonts w:ascii="Times" w:eastAsia="Times New Roman" w:hAnsi="Times" w:cs="Times"/>
                <w:b/>
                <w:bCs/>
                <w:sz w:val="20"/>
                <w:szCs w:val="20"/>
              </w:rPr>
              <w:t>Stage:</w:t>
            </w:r>
            <w:r>
              <w:rPr>
                <w:rFonts w:ascii="Times" w:eastAsia="Times New Roman" w:hAnsi="Times" w:cs="Times"/>
                <w:sz w:val="20"/>
                <w:szCs w:val="20"/>
              </w:rPr>
              <w:t>None</w:t>
            </w:r>
            <w:proofErr w:type="gramEnd"/>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standardize regulations and guidance for conducting airplane-level safety assessments of various critical systems installed on transport category airplanes. Current differences happened over time as system safety rules and policies were developed independently. This rulemaking would adopt Aviation Rulemaking Advisory Committee recommendations and harmonize with the European Aviation Safety Agency CS-25.</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03/03/2011</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12/05/2017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02/02/2018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05/04/2018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10/04/2012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6" w:name="7"/>
            <w:r>
              <w:rPr>
                <w:rFonts w:ascii="Times" w:eastAsia="Times New Roman" w:hAnsi="Times" w:cs="Times"/>
                <w:sz w:val="20"/>
                <w:szCs w:val="20"/>
              </w:rPr>
              <w:t>Federal Aviation Administration</w:t>
            </w:r>
            <w:bookmarkEnd w:id="6"/>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C0CE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Applying the Flight, Duty, and Rest requirements to Ferry Flights that Follow Domestic, Flag, or Supplemental All-Cargo Operations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Green</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2120-AK22</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accepts an additional assignment for flying under part 91 from the air carrier or from any other air carrier conducting operations under part 121 or 135 of such title, to apply the period of the additional assignment toward any limitation applicable to the flightcrew member relating to duty periods or flight times. This rule is necessary as it will make part 121 flight, duty, and rest limits applicable to tail-end ferries that follow an all-cargo flight.</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Initiation </w:t>
                  </w:r>
                  <w:proofErr w:type="gramStart"/>
                  <w:r>
                    <w:rPr>
                      <w:rFonts w:ascii="Times" w:eastAsia="Times New Roman" w:hAnsi="Times" w:cs="Times"/>
                      <w:sz w:val="20"/>
                      <w:szCs w:val="20"/>
                    </w:rPr>
                    <w:t>date :</w:t>
                  </w:r>
                  <w:proofErr w:type="gramEnd"/>
                  <w:r>
                    <w:rPr>
                      <w:rFonts w:ascii="Times" w:eastAsia="Times New Roman" w:hAnsi="Times" w:cs="Times"/>
                      <w:sz w:val="20"/>
                      <w:szCs w:val="20"/>
                    </w:rPr>
                    <w:t xml:space="preserve"> 08/14/2012</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09/05/2013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04/23/2014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11/07/2014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11/17/2015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Mode/3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OST/3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10/16/2017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01/24/2018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02/05/2018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05/07/2018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7" w:name="8"/>
            <w:r>
              <w:rPr>
                <w:rFonts w:ascii="Times" w:eastAsia="Times New Roman" w:hAnsi="Times" w:cs="Times"/>
                <w:sz w:val="20"/>
                <w:szCs w:val="20"/>
              </w:rPr>
              <w:t>Federal Aviation Administration</w:t>
            </w:r>
            <w:bookmarkEnd w:id="7"/>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Transport Airplane Fuel Tank and System Lightning Protection (RRR)</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Fuel Tank &amp; System Lightning (RRR)</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2120-AK24</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12/18/2015; Close of comment period 03/18/2015. NPRM: Publication Approved 12/09/</w:t>
            </w:r>
            <w:proofErr w:type="gramStart"/>
            <w:r>
              <w:rPr>
                <w:rFonts w:ascii="Times" w:eastAsia="Times New Roman" w:hAnsi="Times" w:cs="Times"/>
                <w:sz w:val="20"/>
                <w:szCs w:val="20"/>
              </w:rPr>
              <w:t>2014;Publication</w:t>
            </w:r>
            <w:proofErr w:type="gramEnd"/>
            <w:r>
              <w:rPr>
                <w:rFonts w:ascii="Times" w:eastAsia="Times New Roman" w:hAnsi="Times" w:cs="Times"/>
                <w:sz w:val="20"/>
                <w:szCs w:val="20"/>
              </w:rPr>
              <w:t xml:space="preserve"> Date 12/18/2014;End of Comment Period 03/18/2015.</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certain airworthiness regulations for transport category airplanes regarding lightning protection of fuel tanks and systems by establishing design requirements for both normal conditions and possible failures of fuel tank structure and systems that could lead to fuel tank explosions, adding new maintenance requirements related to lightning protection features, and imposing specific requirements for airworthiness limitations in the instructions for continued airworthiness. It would also create performance-based standards for prevention of catastrophic fuel vapor ignition caused by lightning by regulating the risk due to both ignition sources and fuel tank flammability. This change would allow designers to take advantage of flammability reduction technologies whose effectiveness was not foreseen when earlier revisions to these rules were written. This change would also relieve some of the administrative burdens created by the current regulations.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78"/>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roofErr w:type="gramStart"/>
                  <w:r>
                    <w:rPr>
                      <w:rFonts w:ascii="Times" w:eastAsia="Times New Roman" w:hAnsi="Times" w:cs="Times"/>
                      <w:sz w:val="20"/>
                      <w:szCs w:val="20"/>
                    </w:rPr>
                    <w:t>Final :</w:t>
                  </w:r>
                  <w:proofErr w:type="gramEnd"/>
                  <w:r>
                    <w:rPr>
                      <w:rFonts w:ascii="Times" w:eastAsia="Times New Roman" w:hAnsi="Times" w:cs="Times"/>
                      <w:sz w:val="20"/>
                      <w:szCs w:val="20"/>
                    </w:rPr>
                    <w:t xml:space="preserve"> 07/18/2016</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11/02/2011</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FAA-2014-1027</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03/13/2017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09/14/2017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08/07/2017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03/13/2017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09/14/2017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09/18/2017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03/13/2017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09/14/2017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12/18/2017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03/20/2017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12/29/2017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8" w:name="9"/>
            <w:r>
              <w:rPr>
                <w:rFonts w:ascii="Times" w:eastAsia="Times New Roman" w:hAnsi="Times" w:cs="Times"/>
                <w:sz w:val="20"/>
                <w:szCs w:val="20"/>
              </w:rPr>
              <w:t>Federal Aviation Administration</w:t>
            </w:r>
            <w:bookmarkEnd w:id="8"/>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Applying the Flight, Duty, and Rest Rules of 14 CFR part 135 to Tail-End Ferry Operations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2120-AK26</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 xml:space="preserve">Previous </w:t>
            </w:r>
            <w:proofErr w:type="gramStart"/>
            <w:r>
              <w:rPr>
                <w:rFonts w:ascii="Times" w:eastAsia="Times New Roman" w:hAnsi="Times" w:cs="Times"/>
                <w:b/>
                <w:bCs/>
                <w:sz w:val="20"/>
                <w:szCs w:val="20"/>
              </w:rPr>
              <w:t>Stage:</w:t>
            </w:r>
            <w:r>
              <w:rPr>
                <w:rFonts w:ascii="Times" w:eastAsia="Times New Roman" w:hAnsi="Times" w:cs="Times"/>
                <w:sz w:val="20"/>
                <w:szCs w:val="20"/>
              </w:rPr>
              <w:t>None</w:t>
            </w:r>
            <w:proofErr w:type="gramEnd"/>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01/15/2013</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10/31/2017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12/21/2017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08/03/2018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9" w:name="10"/>
            <w:r>
              <w:rPr>
                <w:rFonts w:ascii="Times" w:eastAsia="Times New Roman" w:hAnsi="Times" w:cs="Times"/>
                <w:sz w:val="20"/>
                <w:szCs w:val="20"/>
              </w:rPr>
              <w:t>Federal Aviation Administration</w:t>
            </w:r>
            <w:bookmarkEnd w:id="9"/>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2120-AK31</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 xml:space="preserve">Previous </w:t>
            </w:r>
            <w:proofErr w:type="gramStart"/>
            <w:r>
              <w:rPr>
                <w:rFonts w:ascii="Times" w:eastAsia="Times New Roman" w:hAnsi="Times" w:cs="Times"/>
                <w:b/>
                <w:bCs/>
                <w:sz w:val="20"/>
                <w:szCs w:val="20"/>
              </w:rPr>
              <w:t>Stage:</w:t>
            </w:r>
            <w:r>
              <w:rPr>
                <w:rFonts w:ascii="Times" w:eastAsia="Times New Roman" w:hAnsi="Times" w:cs="Times"/>
                <w:sz w:val="20"/>
                <w:szCs w:val="20"/>
              </w:rPr>
              <w:t>None</w:t>
            </w:r>
            <w:proofErr w:type="gramEnd"/>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09/14/2017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10" w:name="11"/>
            <w:r>
              <w:rPr>
                <w:rFonts w:ascii="Times" w:eastAsia="Times New Roman" w:hAnsi="Times" w:cs="Times"/>
                <w:sz w:val="20"/>
                <w:szCs w:val="20"/>
              </w:rPr>
              <w:t>Federal Aviation Administration</w:t>
            </w:r>
            <w:bookmarkEnd w:id="10"/>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C0CE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Green</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2120-AK33</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 xml:space="preserve">Previous </w:t>
            </w:r>
            <w:proofErr w:type="gramStart"/>
            <w:r>
              <w:rPr>
                <w:rFonts w:ascii="Times" w:eastAsia="Times New Roman" w:hAnsi="Times" w:cs="Times"/>
                <w:b/>
                <w:bCs/>
                <w:sz w:val="20"/>
                <w:szCs w:val="20"/>
              </w:rPr>
              <w:t>Stage:</w:t>
            </w:r>
            <w:r>
              <w:rPr>
                <w:rFonts w:ascii="Times" w:eastAsia="Times New Roman" w:hAnsi="Times" w:cs="Times"/>
                <w:sz w:val="20"/>
                <w:szCs w:val="20"/>
              </w:rPr>
              <w:t>None</w:t>
            </w:r>
            <w:proofErr w:type="gramEnd"/>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w:t>
            </w:r>
            <w:proofErr w:type="gramStart"/>
            <w:r>
              <w:rPr>
                <w:rFonts w:ascii="Times" w:eastAsia="Times New Roman" w:hAnsi="Times" w:cs="Times"/>
                <w:sz w:val="20"/>
                <w:szCs w:val="20"/>
              </w:rPr>
              <w:t>is able to</w:t>
            </w:r>
            <w:proofErr w:type="gramEnd"/>
            <w:r>
              <w:rPr>
                <w:rFonts w:ascii="Times" w:eastAsia="Times New Roman" w:hAnsi="Times" w:cs="Times"/>
                <w:sz w:val="20"/>
                <w:szCs w:val="20"/>
              </w:rPr>
              <w:t xml:space="preserve">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11" w:name="12"/>
            <w:r>
              <w:rPr>
                <w:rFonts w:ascii="Times" w:eastAsia="Times New Roman" w:hAnsi="Times" w:cs="Times"/>
                <w:sz w:val="20"/>
                <w:szCs w:val="20"/>
              </w:rPr>
              <w:t>Federal Aviation Administration</w:t>
            </w:r>
            <w:bookmarkEnd w:id="11"/>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Aircraft Registration and Airmen Certification Fees</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Registry Fees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2120-AK37</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 xml:space="preserve">Previous </w:t>
            </w:r>
            <w:proofErr w:type="gramStart"/>
            <w:r>
              <w:rPr>
                <w:rFonts w:ascii="Times" w:eastAsia="Times New Roman" w:hAnsi="Times" w:cs="Times"/>
                <w:b/>
                <w:bCs/>
                <w:sz w:val="20"/>
                <w:szCs w:val="20"/>
              </w:rPr>
              <w:t>Stage:</w:t>
            </w:r>
            <w:r>
              <w:rPr>
                <w:rFonts w:ascii="Times" w:eastAsia="Times New Roman" w:hAnsi="Times" w:cs="Times"/>
                <w:sz w:val="20"/>
                <w:szCs w:val="20"/>
              </w:rPr>
              <w:t>None</w:t>
            </w:r>
            <w:proofErr w:type="gramEnd"/>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fees for airman certificates, medical certificates, and provision of legal opinions pertaining to aircraft registration or recordation. This rulemaking also would revise existing fees for aircraft registration, recording of security interests in aircraft or aircraft parts, and replacement of an airman certificate. This rulemaking addresses provisions of the FAA Modernization and Reform Act of 2012. This rulemaking is intended to recover the estimated costs of the various services and activities for which fees would be established or revised.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07/05/2016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07/07/2016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11/20/2014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02/18/2015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01/08/2018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04/06/2018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12" w:name="13"/>
            <w:r>
              <w:rPr>
                <w:rFonts w:ascii="Times" w:eastAsia="Times New Roman" w:hAnsi="Times" w:cs="Times"/>
                <w:sz w:val="20"/>
                <w:szCs w:val="20"/>
              </w:rPr>
              <w:t>Federal Aviation Administration</w:t>
            </w:r>
            <w:bookmarkEnd w:id="12"/>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Permanent Requirement for Helicopters to use the New York North Shore Helicopter Route</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2120-AK39</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 xml:space="preserve">Previous </w:t>
            </w:r>
            <w:proofErr w:type="gramStart"/>
            <w:r>
              <w:rPr>
                <w:rFonts w:ascii="Times" w:eastAsia="Times New Roman" w:hAnsi="Times" w:cs="Times"/>
                <w:b/>
                <w:bCs/>
                <w:sz w:val="20"/>
                <w:szCs w:val="20"/>
              </w:rPr>
              <w:t>Stage:</w:t>
            </w:r>
            <w:r>
              <w:rPr>
                <w:rFonts w:ascii="Times" w:eastAsia="Times New Roman" w:hAnsi="Times" w:cs="Times"/>
                <w:sz w:val="20"/>
                <w:szCs w:val="20"/>
              </w:rPr>
              <w:t>None</w:t>
            </w:r>
            <w:proofErr w:type="gramEnd"/>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2014. This rule will protect and enhance public welfare by making the current rule permanent, thereby continuing to reduce helicopter overflights and attendant noise disturbance over nearby communities.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13" w:name="14"/>
            <w:r>
              <w:rPr>
                <w:rFonts w:ascii="Times" w:eastAsia="Times New Roman" w:hAnsi="Times" w:cs="Times"/>
                <w:sz w:val="20"/>
                <w:szCs w:val="20"/>
              </w:rPr>
              <w:t>Federal Aviation Administration</w:t>
            </w:r>
            <w:bookmarkEnd w:id="13"/>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Helicopter Air Ambulance Pilot Training and Operational Requirements (HAA II)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Air Ambulance II</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2120-AK57</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develop training requirements for crew resource management, flight risk evaluation, and operational control of the pilot in command, as well as to develop standards for the use of flight simulation training devices and line-oriented flight training. Additionally, establish requirements for the use of safety equipment for flight crewmembers and flight nurses. These changes will aide in the increase in aviation safety and increase survivability in the event of an accident. Without these changes, the Helicopter Air Ambulance industry may continue to see the unacceptable high rate of aircraft accidents.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roofErr w:type="gramStart"/>
                  <w:r>
                    <w:rPr>
                      <w:rFonts w:ascii="Times" w:eastAsia="Times New Roman" w:hAnsi="Times" w:cs="Times"/>
                      <w:sz w:val="20"/>
                      <w:szCs w:val="20"/>
                    </w:rPr>
                    <w:t>NPRM :</w:t>
                  </w:r>
                  <w:proofErr w:type="gramEnd"/>
                  <w:r>
                    <w:rPr>
                      <w:rFonts w:ascii="Times" w:eastAsia="Times New Roman" w:hAnsi="Times" w:cs="Times"/>
                      <w:sz w:val="20"/>
                      <w:szCs w:val="20"/>
                    </w:rPr>
                    <w:t xml:space="preserve"> 08/18/2014</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01/15/2014</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14" w:name="15"/>
            <w:r>
              <w:rPr>
                <w:rFonts w:ascii="Times" w:eastAsia="Times New Roman" w:hAnsi="Times" w:cs="Times"/>
                <w:sz w:val="20"/>
                <w:szCs w:val="20"/>
              </w:rPr>
              <w:t>Federal Aviation Administration</w:t>
            </w:r>
            <w:bookmarkEnd w:id="14"/>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Revision of Airworthiness Standards for Normal, Utility, Acrobatic, and Commuter Category Airplanes (RRR)</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23 Reorganization (RRR)</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2120-AK65</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03/07/</w:t>
            </w:r>
            <w:proofErr w:type="gramStart"/>
            <w:r>
              <w:rPr>
                <w:rFonts w:ascii="Times" w:eastAsia="Times New Roman" w:hAnsi="Times" w:cs="Times"/>
                <w:sz w:val="20"/>
                <w:szCs w:val="20"/>
              </w:rPr>
              <w:t>2016;Publication</w:t>
            </w:r>
            <w:proofErr w:type="gramEnd"/>
            <w:r>
              <w:rPr>
                <w:rFonts w:ascii="Times" w:eastAsia="Times New Roman" w:hAnsi="Times" w:cs="Times"/>
                <w:sz w:val="20"/>
                <w:szCs w:val="20"/>
              </w:rPr>
              <w:t xml:space="preserve"> Date 03/14/2016;End of Comment Period 05/13/2016. Final rule Publication: 12/30/2016, Effective 08/30/2017.</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Title 14, Code of Federal Regulations (14 CFR) part 23 as a set of performance based regulations for the design and certification of small transport category aircraft. This rulemaking would: (1) Reorganize part 23 into performance-based requirements by removing the detailed design requirements from part 23. The detailed design provisions that would assist applicants in complying with the new performance-based requirements would be identified in means of compliance (MOC) documents to support this effort; (2) Promote the adoption of the newly created performance-based airworthiness design standard as an internationally accepted standard by the majority of other civil aviation authorities; (3) Re-align the part 23 requirements to promote the development of entry-level airplanes similar to those certified under Certification Specification for Very Light Aircraft (CS-VLA); (4) enhance the FAA's ability to address new technology; (5) Increase the general aviation (GA) level of safety provided by new and modified airplanes; (6) Amend the stall, stall warning, and spin requirements to reduce fatal accidents and increase crashworthiness by allowing new methods for occupant protection; and (7) Address icing conditions that are currently not included in part 23 regulations.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017"/>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NPRM (Pub. L. 113-53</w:t>
                  </w:r>
                  <w:proofErr w:type="gramStart"/>
                  <w:r>
                    <w:rPr>
                      <w:rFonts w:ascii="Times" w:eastAsia="Times New Roman" w:hAnsi="Times" w:cs="Times"/>
                      <w:sz w:val="20"/>
                      <w:szCs w:val="20"/>
                    </w:rPr>
                    <w:t>) :</w:t>
                  </w:r>
                  <w:proofErr w:type="gramEnd"/>
                  <w:r>
                    <w:rPr>
                      <w:rFonts w:ascii="Times" w:eastAsia="Times New Roman" w:hAnsi="Times" w:cs="Times"/>
                      <w:sz w:val="20"/>
                      <w:szCs w:val="20"/>
                    </w:rPr>
                    <w:t xml:space="preserve"> 12/15/2015</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11/27/2013</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09/13/2016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10/11/2016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12/12/2016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12/12/2016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12/09/2016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12/30/2016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15" w:name="16"/>
            <w:r>
              <w:rPr>
                <w:rFonts w:ascii="Times" w:eastAsia="Times New Roman" w:hAnsi="Times" w:cs="Times"/>
                <w:sz w:val="20"/>
                <w:szCs w:val="20"/>
              </w:rPr>
              <w:t>Federal Aviation Administration</w:t>
            </w:r>
            <w:bookmarkEnd w:id="15"/>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Requirements to File Notice of Construction of Meteorological Evaluation Towers and Other Renewable Energy Projects</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77 Notice Requirements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2120-AK77</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 xml:space="preserve">Previous </w:t>
            </w:r>
            <w:proofErr w:type="gramStart"/>
            <w:r>
              <w:rPr>
                <w:rFonts w:ascii="Times" w:eastAsia="Times New Roman" w:hAnsi="Times" w:cs="Times"/>
                <w:b/>
                <w:bCs/>
                <w:sz w:val="20"/>
                <w:szCs w:val="20"/>
              </w:rPr>
              <w:t>Stage:</w:t>
            </w:r>
            <w:r>
              <w:rPr>
                <w:rFonts w:ascii="Times" w:eastAsia="Times New Roman" w:hAnsi="Times" w:cs="Times"/>
                <w:sz w:val="20"/>
                <w:szCs w:val="20"/>
              </w:rPr>
              <w:t>None</w:t>
            </w:r>
            <w:proofErr w:type="gramEnd"/>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specific requirements for proponents who wish to construct meteorological evaluation towers and other renewable energy projects at any height, technologies, to file notice with the FAA of proposal prior to construction.</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919"/>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 xml:space="preserve">EIS </w:t>
                  </w:r>
                  <w:r>
                    <w:rPr>
                      <w:rFonts w:ascii="Times" w:eastAsia="Times New Roman" w:hAnsi="Times" w:cs="Times"/>
                      <w:sz w:val="20"/>
                      <w:szCs w:val="20"/>
                    </w:rPr>
                    <w:br/>
                    <w:t>Privacy</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09/29/2014</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10/12/2016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03/20/2018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05/08/2018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08/09/2018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08/21/2018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10/19/2018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16" w:name="17"/>
            <w:r>
              <w:rPr>
                <w:rFonts w:ascii="Times" w:eastAsia="Times New Roman" w:hAnsi="Times" w:cs="Times"/>
                <w:sz w:val="20"/>
                <w:szCs w:val="20"/>
              </w:rPr>
              <w:t>Federal Aviation Administration</w:t>
            </w:r>
            <w:bookmarkEnd w:id="16"/>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Orbital Debris Mitigation Methods for Launch Vehicle Upper Stages (Orbital Debris)</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Orbital Debris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2120-AK81</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proofErr w:type="gramStart"/>
            <w:r>
              <w:rPr>
                <w:rFonts w:ascii="Times" w:eastAsia="Times New Roman" w:hAnsi="Times" w:cs="Times"/>
                <w:b/>
                <w:bCs/>
                <w:sz w:val="20"/>
                <w:szCs w:val="20"/>
              </w:rPr>
              <w:t>:</w:t>
            </w:r>
            <w:r>
              <w:rPr>
                <w:rFonts w:ascii="Times" w:eastAsia="Times New Roman" w:hAnsi="Times" w:cs="Times"/>
                <w:sz w:val="20"/>
                <w:szCs w:val="20"/>
              </w:rPr>
              <w:t xml:space="preserve"> :</w:t>
            </w:r>
            <w:proofErr w:type="gramEnd"/>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current orbital debris mitigation regulations to more-closely align with the U.S. Government Orbital Debris Mitigation Standard Practices, and would update current launch collision avoidance regulations to match U.S. Strategic Command (USSTRATCOM) practice.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03/12/2013</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06/30/2017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08/11/2016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02/28/2018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17" w:name="18"/>
            <w:r>
              <w:rPr>
                <w:rFonts w:ascii="Times" w:eastAsia="Times New Roman" w:hAnsi="Times" w:cs="Times"/>
                <w:sz w:val="20"/>
                <w:szCs w:val="20"/>
              </w:rPr>
              <w:t>Federal Aviation Administration</w:t>
            </w:r>
            <w:bookmarkEnd w:id="17"/>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Registration and Marking Requirements for Small Unmanned Aircraft</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UAS Registration</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2120-AK82</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12/16/2015; IFR End of Comment Period 01/15/2016 IFR Effective Date: 01/15/2016.</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provide an alternative, streamlined and simple, web-based aircraft registration process for the registration of small unmanned aircraft, including small unmanned aircraft operated as model aircraft, to facilitate compliance with the statutory requirement that all aircraft register prior to operation. It would also provide a simpler method for marking small unmanned aircraft that is more appropriate for these aircraft. This action responds to public comments received regarding the proposed registration process in the Operation and Certification of Small Unmanned Aircraft notice of proposed rulemaking, the request for information regarding unmanned aircraft system registration, and the recommendations from the Unmanned Aircraft System Registration Task Force.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11/24/2015</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09/29/2017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02/05/2018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11/13/2017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05/07/2018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05/21/2018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18" w:name="19"/>
            <w:r>
              <w:rPr>
                <w:rFonts w:ascii="Times" w:eastAsia="Times New Roman" w:hAnsi="Times" w:cs="Times"/>
                <w:sz w:val="20"/>
                <w:szCs w:val="20"/>
              </w:rPr>
              <w:t>Federal Aviation Administration</w:t>
            </w:r>
            <w:bookmarkEnd w:id="18"/>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Operations of Small Unmanned Aircraft Over People</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of Small Unmanned Aircraft over People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2120-AK85</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w:t>
            </w:r>
            <w:proofErr w:type="gramStart"/>
            <w:r>
              <w:rPr>
                <w:rFonts w:ascii="Times" w:eastAsia="Times New Roman" w:hAnsi="Times" w:cs="Times"/>
                <w:sz w:val="20"/>
                <w:szCs w:val="20"/>
              </w:rPr>
              <w:t>Approved ;Publication</w:t>
            </w:r>
            <w:proofErr w:type="gramEnd"/>
            <w:r>
              <w:rPr>
                <w:rFonts w:ascii="Times" w:eastAsia="Times New Roman" w:hAnsi="Times" w:cs="Times"/>
                <w:sz w:val="20"/>
                <w:szCs w:val="20"/>
              </w:rPr>
              <w:t xml:space="preserve"> Date ;End of Comment Period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performance-based standards and means-of-compliance for operation of small unmanned aircraft systems (UAS) over people not directly participating in the operation or not under a covered structure or inside a stationary vehicle that can provide reasonable protection from a falling small unmanned aircraft. This rule would provide relief from certain operational restrictions implemented in the Operation and Certification of Small Unmanned Aircraft Systems final rule (RIN 2120-AJ60).</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03/30/2016</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10/07/2016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10/21/2016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12/20/2016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02/28/2018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05/28/2018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19" w:name="20"/>
            <w:r>
              <w:rPr>
                <w:rFonts w:ascii="Times" w:eastAsia="Times New Roman" w:hAnsi="Times" w:cs="Times"/>
                <w:sz w:val="20"/>
                <w:szCs w:val="20"/>
              </w:rPr>
              <w:t>Federal Aviation Administration</w:t>
            </w:r>
            <w:bookmarkEnd w:id="19"/>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Extension of the prohibition against Certain Flights in the Damascus (OSTT) Flight Information Region (FIR)</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OSTT FIR 2016 extension</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2120-AK93</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Final rule: Publication 12/27/2016; Effective 12/30/2016.</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extend the prohibition of certain flight operations in the Damascus (OSTT) Flight Information Region (FIR) by all U.S. air carriers, U.S. commercial operators, persons exercising the privileges of a U.S. airman certificate, except when such persons are operating a U.S.-registered aircraft for a foreign air carrier, and operators of U.S.-registered civil aircraft, except when such operators are foreign air carriers. The FAA finds that this action continues to be necessary to address a hazard to persons and aircraft engaged in such flight operations.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07/19/2016</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09/07/2016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09/07/2016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11/18/2016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11/28/2016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12/27/2016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20" w:name="21"/>
            <w:r>
              <w:rPr>
                <w:rFonts w:ascii="Times" w:eastAsia="Times New Roman" w:hAnsi="Times" w:cs="Times"/>
                <w:sz w:val="20"/>
                <w:szCs w:val="20"/>
              </w:rPr>
              <w:t>Federal Aviation Administration</w:t>
            </w:r>
            <w:bookmarkEnd w:id="20"/>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Extension of the Prohibition against Certain Flights in the Tripoli (HLLL) Flight Information Region</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SFAR 112 Libya</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2120-AK99</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extends the prohibition of flight operations within the Tripoli (HLLL) Flight Information Region (FIR) by all U.S. air carriers, U.S. commercial operators, persons exercising the privileges of an airman certificate issued by the FAA, except when such persons are operating a U.S.-registered aircraft for a foreign air carrier, and operators of U.S.-registered civil aircraft, except operators of such aircraft that are foreign air </w:t>
            </w:r>
            <w:proofErr w:type="gramStart"/>
            <w:r>
              <w:rPr>
                <w:rFonts w:ascii="Times" w:eastAsia="Times New Roman" w:hAnsi="Times" w:cs="Times"/>
                <w:sz w:val="20"/>
                <w:szCs w:val="20"/>
              </w:rPr>
              <w:t>carriers .</w:t>
            </w:r>
            <w:proofErr w:type="gramEnd"/>
            <w:r>
              <w:rPr>
                <w:rFonts w:ascii="Times" w:eastAsia="Times New Roman" w:hAnsi="Times" w:cs="Times"/>
                <w:sz w:val="20"/>
                <w:szCs w:val="20"/>
              </w:rPr>
              <w:t xml:space="preserve"> The extension of the expiration date is necessary due to continued hazards to persons and aircraft engaged in such flight operations. This Special Federal Aviation Regulation (SFAR) will now remain in effect until March 20, 2019.</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10/20/2016</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12/21/2016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01/10/2017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03/06/2017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02/17/2017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03/17/2017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05/31/2017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03/21/2017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21" w:name="22"/>
            <w:r>
              <w:rPr>
                <w:rFonts w:ascii="Times" w:eastAsia="Times New Roman" w:hAnsi="Times" w:cs="Times"/>
                <w:sz w:val="20"/>
                <w:szCs w:val="20"/>
              </w:rPr>
              <w:t>Federal Aviation Administration</w:t>
            </w:r>
            <w:bookmarkEnd w:id="21"/>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Unmanned Aircraft Systems Expanded Operations</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UAS XOps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2120-AL01</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proofErr w:type="gramStart"/>
            <w:r>
              <w:rPr>
                <w:rFonts w:ascii="Times" w:eastAsia="Times New Roman" w:hAnsi="Times" w:cs="Times"/>
                <w:b/>
                <w:bCs/>
                <w:sz w:val="20"/>
                <w:szCs w:val="20"/>
              </w:rPr>
              <w:t>:</w:t>
            </w:r>
            <w:r>
              <w:rPr>
                <w:rFonts w:ascii="Times" w:eastAsia="Times New Roman" w:hAnsi="Times" w:cs="Times"/>
                <w:sz w:val="20"/>
                <w:szCs w:val="20"/>
              </w:rPr>
              <w:t xml:space="preserve"> :</w:t>
            </w:r>
            <w:proofErr w:type="gramEnd"/>
            <w:r>
              <w:rPr>
                <w:rFonts w:ascii="Times" w:eastAsia="Times New Roman" w:hAnsi="Times" w:cs="Times"/>
                <w:sz w:val="20"/>
                <w:szCs w:val="20"/>
              </w:rPr>
              <w:t xml:space="preserve"> . NPRM: Publication </w:t>
            </w:r>
            <w:proofErr w:type="gramStart"/>
            <w:r>
              <w:rPr>
                <w:rFonts w:ascii="Times" w:eastAsia="Times New Roman" w:hAnsi="Times" w:cs="Times"/>
                <w:sz w:val="20"/>
                <w:szCs w:val="20"/>
              </w:rPr>
              <w:t>Approved ;Publication</w:t>
            </w:r>
            <w:proofErr w:type="gramEnd"/>
            <w:r>
              <w:rPr>
                <w:rFonts w:ascii="Times" w:eastAsia="Times New Roman" w:hAnsi="Times" w:cs="Times"/>
                <w:sz w:val="20"/>
                <w:szCs w:val="20"/>
              </w:rPr>
              <w:t xml:space="preserve"> Date ;End of Comment Period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enable expanded operations of small unmanned aircraft systems (sUAS) in the national airspace system (NAS). </w:t>
            </w:r>
            <w:proofErr w:type="gramStart"/>
            <w:r>
              <w:rPr>
                <w:rFonts w:ascii="Times" w:eastAsia="Times New Roman" w:hAnsi="Times" w:cs="Times"/>
                <w:sz w:val="20"/>
                <w:szCs w:val="20"/>
              </w:rPr>
              <w:t>As a result</w:t>
            </w:r>
            <w:proofErr w:type="gramEnd"/>
            <w:r>
              <w:rPr>
                <w:rFonts w:ascii="Times" w:eastAsia="Times New Roman" w:hAnsi="Times" w:cs="Times"/>
                <w:sz w:val="20"/>
                <w:szCs w:val="20"/>
              </w:rPr>
              <w:t>, it would increase the utility of sUAS for operations under 14 CFR part 107, and would advance technology by encouraging innovation in this rapidly developing segment of the aviation industry.</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41"/>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Privacy</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12/06/2016</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22" w:name="23"/>
            <w:r>
              <w:rPr>
                <w:rFonts w:ascii="Times" w:eastAsia="Times New Roman" w:hAnsi="Times" w:cs="Times"/>
                <w:sz w:val="20"/>
                <w:szCs w:val="20"/>
              </w:rPr>
              <w:t>Federal Aviation Administration</w:t>
            </w:r>
            <w:bookmarkEnd w:id="22"/>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Extension of the Prohibition against Certain Flights in the Baghdad (ORBB) Flight Information Region (FIR)</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ORBB FIR</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2120-AL06</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proofErr w:type="gramStart"/>
            <w:r>
              <w:rPr>
                <w:rFonts w:ascii="Times" w:eastAsia="Times New Roman" w:hAnsi="Times" w:cs="Times"/>
                <w:b/>
                <w:bCs/>
                <w:sz w:val="20"/>
                <w:szCs w:val="20"/>
              </w:rPr>
              <w:t>:</w:t>
            </w:r>
            <w:r>
              <w:rPr>
                <w:rFonts w:ascii="Times" w:eastAsia="Times New Roman" w:hAnsi="Times" w:cs="Times"/>
                <w:sz w:val="20"/>
                <w:szCs w:val="20"/>
              </w:rPr>
              <w:t xml:space="preserve"> :</w:t>
            </w:r>
            <w:proofErr w:type="gramEnd"/>
            <w:r>
              <w:rPr>
                <w:rFonts w:ascii="Times" w:eastAsia="Times New Roman" w:hAnsi="Times" w:cs="Times"/>
                <w:sz w:val="20"/>
                <w:szCs w:val="20"/>
              </w:rPr>
              <w:t xml:space="preserve"> . Final Rule: Publication </w:t>
            </w:r>
            <w:proofErr w:type="gramStart"/>
            <w:r>
              <w:rPr>
                <w:rFonts w:ascii="Times" w:eastAsia="Times New Roman" w:hAnsi="Times" w:cs="Times"/>
                <w:sz w:val="20"/>
                <w:szCs w:val="20"/>
              </w:rPr>
              <w:t>Approved ;Publication</w:t>
            </w:r>
            <w:proofErr w:type="gramEnd"/>
            <w:r>
              <w:rPr>
                <w:rFonts w:ascii="Times" w:eastAsia="Times New Roman" w:hAnsi="Times" w:cs="Times"/>
                <w:sz w:val="20"/>
                <w:szCs w:val="20"/>
              </w:rPr>
              <w:t xml:space="preserve"> Date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extends the prohibition of flight operations in the Baghdad (ORBB) Flight Information Region (FIR) by all United States (U.S.) air carriers, U.S. commercial operators, persons exercising the privileges of a U.S. airman certificate, except when such persons are operating a U.S.-registered aircraft for a foreign air carrier, and operators of U.S.-registered civil aircraft, except when such operators are foreign air carriers. The extension of the expiration date is necessary due to continued hazards to persons and aircraft engaged in such flight operations. This Special Federal Aviation Regulation (SFAR) will now remain in effect until May 11, 2019.</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02/16/2017</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FAA-2003-14766</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03/08/2017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03/16/2017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04/06/2017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06/06/2017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06/08/2017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05/05/2017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07/28/2017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05/10/2017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08/24/2017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23" w:name="24"/>
            <w:r>
              <w:rPr>
                <w:rFonts w:ascii="Times" w:eastAsia="Times New Roman" w:hAnsi="Times" w:cs="Times"/>
                <w:sz w:val="20"/>
                <w:szCs w:val="20"/>
              </w:rPr>
              <w:t>Federal Aviation Administration</w:t>
            </w:r>
            <w:bookmarkEnd w:id="23"/>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Prohibition against Certain Flights in the Damascus (OSTT) Flight Information Region (FIR)</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OSTT FIR</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2120-AL07</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proofErr w:type="gramStart"/>
            <w:r>
              <w:rPr>
                <w:rFonts w:ascii="Times" w:eastAsia="Times New Roman" w:hAnsi="Times" w:cs="Times"/>
                <w:b/>
                <w:bCs/>
                <w:sz w:val="20"/>
                <w:szCs w:val="20"/>
              </w:rPr>
              <w:t>:</w:t>
            </w:r>
            <w:r>
              <w:rPr>
                <w:rFonts w:ascii="Times" w:eastAsia="Times New Roman" w:hAnsi="Times" w:cs="Times"/>
                <w:sz w:val="20"/>
                <w:szCs w:val="20"/>
              </w:rPr>
              <w:t xml:space="preserve"> :</w:t>
            </w:r>
            <w:proofErr w:type="gramEnd"/>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reissue a prohibition of certain flight operations in the Damascus (OSTT) Flight Information Region (FIR) by all U.S. air carriers, U.S. commercial operators, persons exercising the privileges of a U.S. airman certificate, except when such persons are operating a U.S.-registered aircraft for a foreign air carrier, and operators of U.S.-registered civil aircraft, except when such operators are foreign air carriers. The FAA finds that this action is necessary to safeguard against continuing hazards to persons and aircraft engaged in such flight operations.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03/01/2017</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03/08/2017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03/16/2017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04/07/2017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06/13/2017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05/05/2017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07/28/2017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05/10/2017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08/24/2017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24" w:name="25"/>
            <w:r>
              <w:rPr>
                <w:rFonts w:ascii="Times" w:eastAsia="Times New Roman" w:hAnsi="Times" w:cs="Times"/>
                <w:b/>
                <w:bCs/>
                <w:sz w:val="20"/>
                <w:szCs w:val="20"/>
              </w:rPr>
              <w:t>Federal Highway Administration</w:t>
            </w:r>
          </w:p>
        </w:tc>
      </w:tr>
      <w:tr w:rsidR="001C0CEB">
        <w:trPr>
          <w:tblCellSpacing w:w="24" w:type="dxa"/>
        </w:trPr>
        <w:tc>
          <w:tcPr>
            <w:tcW w:w="0" w:type="auto"/>
            <w:gridSpan w:val="2"/>
            <w:vAlign w:val="center"/>
            <w:hideMark/>
          </w:tcPr>
          <w:p w:rsidR="001C0CEB" w:rsidRDefault="00422C26">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4"/>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C0CE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Red</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2125-AF34</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C/P: 8/20/10; SNPA: 1/4/17; End of C/P: 5/4/17.</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related to maintaining minimum levels of retroreflectivity for pavement markings on all roads open to public travel.</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08/04/2014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08/15/2014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10/29/2014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10/29/2014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11/28/2016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11/28/2016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01/04/2017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07/14/2012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04/23/2017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05/04/2017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25" w:name="26"/>
            <w:r>
              <w:rPr>
                <w:rFonts w:ascii="Times" w:eastAsia="Times New Roman" w:hAnsi="Times" w:cs="Times"/>
                <w:sz w:val="20"/>
                <w:szCs w:val="20"/>
              </w:rPr>
              <w:t>Federal Highway Administration</w:t>
            </w:r>
            <w:bookmarkEnd w:id="25"/>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C0CE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Green</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2125-AF51</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Other</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The Agency has decided to terminate this rulemaking. Preliminary cost estimates are not anticipated to justify the rulemaking.</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roofErr w:type="gramStart"/>
                  <w:r>
                    <w:rPr>
                      <w:rFonts w:ascii="Times" w:eastAsia="Times New Roman" w:hAnsi="Times" w:cs="Times"/>
                      <w:sz w:val="20"/>
                      <w:szCs w:val="20"/>
                    </w:rPr>
                    <w:t>FR :</w:t>
                  </w:r>
                  <w:proofErr w:type="gramEnd"/>
                  <w:r>
                    <w:rPr>
                      <w:rFonts w:ascii="Times" w:eastAsia="Times New Roman" w:hAnsi="Times" w:cs="Times"/>
                      <w:sz w:val="20"/>
                      <w:szCs w:val="20"/>
                    </w:rPr>
                    <w:t xml:space="preserve"> 11/30/2012</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Other:</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4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Termination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04/04/2017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Other:</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26" w:name="27"/>
            <w:r>
              <w:rPr>
                <w:rFonts w:ascii="Times" w:eastAsia="Times New Roman" w:hAnsi="Times" w:cs="Times"/>
                <w:sz w:val="20"/>
                <w:szCs w:val="20"/>
              </w:rPr>
              <w:t>Federal Highway Administration</w:t>
            </w:r>
            <w:bookmarkEnd w:id="26"/>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C0CE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National Goals and Performance Management Measures 2 (MAP-21)</w:t>
                  </w:r>
                </w:p>
              </w:tc>
              <w:tc>
                <w:tcPr>
                  <w:tcW w:w="360" w:type="dxa"/>
                  <w:tcBorders>
                    <w:top w:val="outset" w:sz="6" w:space="0" w:color="008000"/>
                    <w:left w:val="outset" w:sz="6" w:space="0" w:color="008000"/>
                    <w:bottom w:val="outset" w:sz="6" w:space="0" w:color="008000"/>
                    <w:right w:val="outset" w:sz="6" w:space="0" w:color="008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Green</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2125-AF53</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1/5/15; End of C/P: 4/6/15; End of Extended C/P: 5/8/15; FR 1/18/17.</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roofErr w:type="gramStart"/>
                  <w:r>
                    <w:rPr>
                      <w:rFonts w:ascii="Times" w:eastAsia="Times New Roman" w:hAnsi="Times" w:cs="Times"/>
                      <w:sz w:val="20"/>
                      <w:szCs w:val="20"/>
                    </w:rPr>
                    <w:t>NPRM :</w:t>
                  </w:r>
                  <w:proofErr w:type="gramEnd"/>
                  <w:r>
                    <w:rPr>
                      <w:rFonts w:ascii="Times" w:eastAsia="Times New Roman" w:hAnsi="Times" w:cs="Times"/>
                      <w:sz w:val="20"/>
                      <w:szCs w:val="20"/>
                    </w:rPr>
                    <w:t xml:space="preserve"> 04/01/2014</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FHWA-2013-0053</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07/07/2016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07/01/2016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08/19/2016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09/07/2016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12/21/2016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01/06/2017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01/18/2017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27" w:name="28"/>
            <w:r>
              <w:rPr>
                <w:rFonts w:ascii="Times" w:eastAsia="Times New Roman" w:hAnsi="Times" w:cs="Times"/>
                <w:sz w:val="20"/>
                <w:szCs w:val="20"/>
              </w:rPr>
              <w:t>Federal Highway Administration</w:t>
            </w:r>
            <w:bookmarkEnd w:id="27"/>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C0CE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National Goals and Performance Management Measures 3 (MAP-21)</w:t>
                  </w:r>
                </w:p>
              </w:tc>
              <w:tc>
                <w:tcPr>
                  <w:tcW w:w="360" w:type="dxa"/>
                  <w:tcBorders>
                    <w:top w:val="outset" w:sz="6" w:space="0" w:color="008000"/>
                    <w:left w:val="outset" w:sz="6" w:space="0" w:color="008000"/>
                    <w:bottom w:val="outset" w:sz="6" w:space="0" w:color="008000"/>
                    <w:right w:val="outset" w:sz="6" w:space="0" w:color="008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Green</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2125-AF54</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04/04/</w:t>
            </w:r>
            <w:proofErr w:type="gramStart"/>
            <w:r>
              <w:rPr>
                <w:rFonts w:ascii="Times" w:eastAsia="Times New Roman" w:hAnsi="Times" w:cs="Times"/>
                <w:sz w:val="20"/>
                <w:szCs w:val="20"/>
              </w:rPr>
              <w:t>2016;Publication</w:t>
            </w:r>
            <w:proofErr w:type="gramEnd"/>
            <w:r>
              <w:rPr>
                <w:rFonts w:ascii="Times" w:eastAsia="Times New Roman" w:hAnsi="Times" w:cs="Times"/>
                <w:sz w:val="20"/>
                <w:szCs w:val="20"/>
              </w:rPr>
              <w:t xml:space="preserve"> Date 04/22/2016;End of C/P 08/20/2016; FR 1/18/17.</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roofErr w:type="gramStart"/>
                  <w:r>
                    <w:rPr>
                      <w:rFonts w:ascii="Times" w:eastAsia="Times New Roman" w:hAnsi="Times" w:cs="Times"/>
                      <w:sz w:val="20"/>
                      <w:szCs w:val="20"/>
                    </w:rPr>
                    <w:t>NPRM :</w:t>
                  </w:r>
                  <w:proofErr w:type="gramEnd"/>
                  <w:r>
                    <w:rPr>
                      <w:rFonts w:ascii="Times" w:eastAsia="Times New Roman" w:hAnsi="Times" w:cs="Times"/>
                      <w:sz w:val="20"/>
                      <w:szCs w:val="20"/>
                    </w:rPr>
                    <w:t xml:space="preserve"> 04/01/2014</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10/18/2016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10/18/2016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11/18/2016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01/09/2017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12/20/2016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01/18/2017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28" w:name="29"/>
            <w:r>
              <w:rPr>
                <w:rFonts w:ascii="Times" w:eastAsia="Times New Roman" w:hAnsi="Times" w:cs="Times"/>
                <w:sz w:val="20"/>
                <w:szCs w:val="20"/>
              </w:rPr>
              <w:t>Federal Highway Administration</w:t>
            </w:r>
            <w:bookmarkEnd w:id="28"/>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C0CE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Green</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2125-AF55</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 xml:space="preserve">Previous </w:t>
            </w:r>
            <w:proofErr w:type="gramStart"/>
            <w:r>
              <w:rPr>
                <w:rFonts w:ascii="Times" w:eastAsia="Times New Roman" w:hAnsi="Times" w:cs="Times"/>
                <w:b/>
                <w:bCs/>
                <w:sz w:val="20"/>
                <w:szCs w:val="20"/>
              </w:rPr>
              <w:t>Stage:</w:t>
            </w:r>
            <w:r>
              <w:rPr>
                <w:rFonts w:ascii="Times" w:eastAsia="Times New Roman" w:hAnsi="Times" w:cs="Times"/>
                <w:sz w:val="20"/>
                <w:szCs w:val="20"/>
              </w:rPr>
              <w:t>None</w:t>
            </w:r>
            <w:proofErr w:type="gramEnd"/>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Final </w:t>
                  </w:r>
                  <w:proofErr w:type="gramStart"/>
                  <w:r>
                    <w:rPr>
                      <w:rFonts w:ascii="Times" w:eastAsia="Times New Roman" w:hAnsi="Times" w:cs="Times"/>
                      <w:sz w:val="20"/>
                      <w:szCs w:val="20"/>
                    </w:rPr>
                    <w:t>Rule :</w:t>
                  </w:r>
                  <w:proofErr w:type="gramEnd"/>
                  <w:r>
                    <w:rPr>
                      <w:rFonts w:ascii="Times" w:eastAsia="Times New Roman" w:hAnsi="Times" w:cs="Times"/>
                      <w:sz w:val="20"/>
                      <w:szCs w:val="20"/>
                    </w:rPr>
                    <w:t xml:space="preserve"> 10/01/2015</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29" w:name="30"/>
            <w:r>
              <w:rPr>
                <w:rFonts w:ascii="Times" w:eastAsia="Times New Roman" w:hAnsi="Times" w:cs="Times"/>
                <w:sz w:val="20"/>
                <w:szCs w:val="20"/>
              </w:rPr>
              <w:t>Federal Highway Administration</w:t>
            </w:r>
            <w:bookmarkEnd w:id="29"/>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2125-AF63</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Other</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8/4/14; End of C/P: 10/3/14 Final Rule: Publication </w:t>
            </w:r>
            <w:proofErr w:type="gramStart"/>
            <w:r>
              <w:rPr>
                <w:rFonts w:ascii="Times" w:eastAsia="Times New Roman" w:hAnsi="Times" w:cs="Times"/>
                <w:sz w:val="20"/>
                <w:szCs w:val="20"/>
              </w:rPr>
              <w:t>Approved ;Publication</w:t>
            </w:r>
            <w:proofErr w:type="gramEnd"/>
            <w:r>
              <w:rPr>
                <w:rFonts w:ascii="Times" w:eastAsia="Times New Roman" w:hAnsi="Times" w:cs="Times"/>
                <w:sz w:val="20"/>
                <w:szCs w:val="20"/>
              </w:rPr>
              <w:t xml:space="preserve"> Date ;Effective Date . </w:t>
            </w:r>
            <w:bookmarkStart w:id="30" w:name="_GoBack"/>
            <w:r>
              <w:rPr>
                <w:rFonts w:ascii="Times" w:eastAsia="Times New Roman" w:hAnsi="Times" w:cs="Times"/>
                <w:sz w:val="20"/>
                <w:szCs w:val="20"/>
              </w:rPr>
              <w:t>Withdraw</w:t>
            </w:r>
            <w:bookmarkEnd w:id="30"/>
            <w:r>
              <w:rPr>
                <w:rFonts w:ascii="Times" w:eastAsia="Times New Roman" w:hAnsi="Times" w:cs="Times"/>
                <w:sz w:val="20"/>
                <w:szCs w:val="20"/>
              </w:rPr>
              <w:t xml:space="preserve">al: Publication </w:t>
            </w:r>
            <w:proofErr w:type="gramStart"/>
            <w:r>
              <w:rPr>
                <w:rFonts w:ascii="Times" w:eastAsia="Times New Roman" w:hAnsi="Times" w:cs="Times"/>
                <w:sz w:val="20"/>
                <w:szCs w:val="20"/>
              </w:rPr>
              <w:t>Date .</w:t>
            </w:r>
            <w:proofErr w:type="gramEnd"/>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 The FHWA intends to withdraw this rulemaking because it has been implementing this program since MAP-21 using the weighted population value of 1.2 without issue, and because the proposed rule stage did not indicate that any other alternative was necessary or preferable.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FHWA-2013-0018</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Other:</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04"/>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Notice of Withdrawal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Other:</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31" w:name="31"/>
            <w:r>
              <w:rPr>
                <w:rFonts w:ascii="Times" w:eastAsia="Times New Roman" w:hAnsi="Times" w:cs="Times"/>
                <w:sz w:val="20"/>
                <w:szCs w:val="20"/>
              </w:rPr>
              <w:t>Federal Highway Administration</w:t>
            </w:r>
            <w:bookmarkEnd w:id="31"/>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Buy America (RRR)</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(RRR)</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2125-AF65</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 xml:space="preserve">Previous </w:t>
            </w:r>
            <w:proofErr w:type="gramStart"/>
            <w:r>
              <w:rPr>
                <w:rFonts w:ascii="Times" w:eastAsia="Times New Roman" w:hAnsi="Times" w:cs="Times"/>
                <w:b/>
                <w:bCs/>
                <w:sz w:val="20"/>
                <w:szCs w:val="20"/>
              </w:rPr>
              <w:t>Stage:</w:t>
            </w:r>
            <w:r>
              <w:rPr>
                <w:rFonts w:ascii="Times" w:eastAsia="Times New Roman" w:hAnsi="Times" w:cs="Times"/>
                <w:sz w:val="20"/>
                <w:szCs w:val="20"/>
              </w:rPr>
              <w:t>None</w:t>
            </w:r>
            <w:proofErr w:type="gramEnd"/>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635.410 to remove outdated references, add updated statutory references and coverage, reflect the current waiver request procedures, adjust the minimal use threshold amount for inflation, and address the application of these requirements to manufactured products, non-highway infrastructure, and acquisitions. The Agency has decided to terminate this rulemaking </w:t>
            </w:r>
            <w:proofErr w:type="gramStart"/>
            <w:r>
              <w:rPr>
                <w:rFonts w:ascii="Times" w:eastAsia="Times New Roman" w:hAnsi="Times" w:cs="Times"/>
                <w:sz w:val="20"/>
                <w:szCs w:val="20"/>
              </w:rPr>
              <w:t>at this time</w:t>
            </w:r>
            <w:proofErr w:type="gramEnd"/>
            <w:r>
              <w:rPr>
                <w:rFonts w:ascii="Times" w:eastAsia="Times New Roman" w:hAnsi="Times" w:cs="Times"/>
                <w:sz w:val="20"/>
                <w:szCs w:val="20"/>
              </w:rPr>
              <w:t xml:space="preserve">. After further review, the FHWA has not identified a sufficient justification for moving forward with the rule </w:t>
            </w:r>
            <w:proofErr w:type="gramStart"/>
            <w:r>
              <w:rPr>
                <w:rFonts w:ascii="Times" w:eastAsia="Times New Roman" w:hAnsi="Times" w:cs="Times"/>
                <w:sz w:val="20"/>
                <w:szCs w:val="20"/>
              </w:rPr>
              <w:t>at this time</w:t>
            </w:r>
            <w:proofErr w:type="gramEnd"/>
            <w:r>
              <w:rPr>
                <w:rFonts w:ascii="Times" w:eastAsia="Times New Roman" w:hAnsi="Times" w:cs="Times"/>
                <w:sz w:val="20"/>
                <w:szCs w:val="20"/>
              </w:rPr>
              <w:t>.</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01/24/2014</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32" w:name="32"/>
            <w:r>
              <w:rPr>
                <w:rFonts w:ascii="Times" w:eastAsia="Times New Roman" w:hAnsi="Times" w:cs="Times"/>
                <w:sz w:val="20"/>
                <w:szCs w:val="20"/>
              </w:rPr>
              <w:t>Federal Highway Administration</w:t>
            </w:r>
            <w:bookmarkEnd w:id="32"/>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Metropolitan Planning Organization (MPO) Coordination</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MPO Coordination</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2125-AF68</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06/27/</w:t>
            </w:r>
            <w:proofErr w:type="gramStart"/>
            <w:r>
              <w:rPr>
                <w:rFonts w:ascii="Times" w:eastAsia="Times New Roman" w:hAnsi="Times" w:cs="Times"/>
                <w:sz w:val="20"/>
                <w:szCs w:val="20"/>
              </w:rPr>
              <w:t>2016;End</w:t>
            </w:r>
            <w:proofErr w:type="gramEnd"/>
            <w:r>
              <w:rPr>
                <w:rFonts w:ascii="Times" w:eastAsia="Times New Roman" w:hAnsi="Times" w:cs="Times"/>
                <w:sz w:val="20"/>
                <w:szCs w:val="20"/>
              </w:rPr>
              <w:t xml:space="preserve"> of CP 08/26/2016; FR 12/20/16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transportation planning regulations by removing the recently enacted provisions requiring that boundaries of metropolitan planning areas (MPA) include an urbanized area in its entirety and include the contiguous area expected to become urbanized within a 20-year forecast period for the metropolitan transportation plan. This rulemaking would also remove requirements for metropolitan planning organizations (MPO) to merge, create unified transportation planning products, or petition the Secretary for an exemption when there is more than one MPO in an MPA. This change would result in cost savings and reduce burdens for regulatory compliance.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09/24/2015</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11/03/2016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11/07/2016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11/11/2016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12/12/2016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12/13/2016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12/20/2016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33" w:name="33"/>
            <w:r>
              <w:rPr>
                <w:rFonts w:ascii="Times" w:eastAsia="Times New Roman" w:hAnsi="Times" w:cs="Times"/>
                <w:sz w:val="20"/>
                <w:szCs w:val="20"/>
              </w:rPr>
              <w:t>Federal Highway Administration</w:t>
            </w:r>
            <w:bookmarkEnd w:id="33"/>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Tribal Transportation Self-Governance Program</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Tribal Self-Governance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2125-AF70</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 xml:space="preserve">Previous </w:t>
            </w:r>
            <w:proofErr w:type="gramStart"/>
            <w:r>
              <w:rPr>
                <w:rFonts w:ascii="Times" w:eastAsia="Times New Roman" w:hAnsi="Times" w:cs="Times"/>
                <w:b/>
                <w:bCs/>
                <w:sz w:val="20"/>
                <w:szCs w:val="20"/>
              </w:rPr>
              <w:t>Stage:</w:t>
            </w:r>
            <w:r>
              <w:rPr>
                <w:rFonts w:ascii="Times" w:eastAsia="Times New Roman" w:hAnsi="Times" w:cs="Times"/>
                <w:sz w:val="20"/>
                <w:szCs w:val="20"/>
              </w:rPr>
              <w:t>None</w:t>
            </w:r>
            <w:proofErr w:type="gramEnd"/>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to implement section 1121 of the FAST Act to establish a Tribal Transportation Self-Governance Program.</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936"/>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Tribal </w:t>
                  </w:r>
                  <w:r>
                    <w:rPr>
                      <w:rFonts w:ascii="Times" w:eastAsia="Times New Roman" w:hAnsi="Times" w:cs="Times"/>
                      <w:sz w:val="20"/>
                      <w:szCs w:val="20"/>
                    </w:rPr>
                    <w:br/>
                    <w:t xml:space="preserve">Negotiated Rulemaking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04"/>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Section 1121 of the FAST Act requires "proposed regulations . . . shall be published by the Secretary not later than 21 months after such date of enactment." : 09/04/2017</w:t>
                  </w:r>
                  <w:r>
                    <w:rPr>
                      <w:rFonts w:ascii="Times" w:eastAsia="Times New Roman" w:hAnsi="Times" w:cs="Times"/>
                      <w:sz w:val="20"/>
                      <w:szCs w:val="20"/>
                    </w:rPr>
                    <w:br/>
                    <w:t>Section 1121 of the FAST Act provides that "the authority to promulgate regulations . . . shall expire 30 months after such date of enactment." : 06/04/2018</w:t>
                  </w:r>
                  <w:r>
                    <w:rPr>
                      <w:rFonts w:ascii="Times" w:eastAsia="Times New Roman" w:hAnsi="Times" w:cs="Times"/>
                      <w:sz w:val="20"/>
                      <w:szCs w:val="20"/>
                    </w:rPr>
                    <w:br/>
                    <w:t>Section 1121 of the FAST Act allows a 180 day extension of the NPRM deadline if the negotiated rulemaking committee concludes that it cannot meet the deadline and the Secretary so notifies the appropriate committees of Congress. : 03/03/2018</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02/19/2016</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34" w:name="34"/>
            <w:r>
              <w:rPr>
                <w:rFonts w:ascii="Times" w:eastAsia="Times New Roman" w:hAnsi="Times" w:cs="Times"/>
                <w:sz w:val="20"/>
                <w:szCs w:val="20"/>
              </w:rPr>
              <w:t>Federal Highway Administration</w:t>
            </w:r>
            <w:bookmarkEnd w:id="34"/>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Covered Heavy-Duty Tow and Recovery Vehicles</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Heavy-Duty Tows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2125-AF74</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 xml:space="preserve">Previous </w:t>
            </w:r>
            <w:proofErr w:type="gramStart"/>
            <w:r>
              <w:rPr>
                <w:rFonts w:ascii="Times" w:eastAsia="Times New Roman" w:hAnsi="Times" w:cs="Times"/>
                <w:b/>
                <w:bCs/>
                <w:sz w:val="20"/>
                <w:szCs w:val="20"/>
              </w:rPr>
              <w:t>Stage:</w:t>
            </w:r>
            <w:r>
              <w:rPr>
                <w:rFonts w:ascii="Times" w:eastAsia="Times New Roman" w:hAnsi="Times" w:cs="Times"/>
                <w:sz w:val="20"/>
                <w:szCs w:val="20"/>
              </w:rPr>
              <w:t>None</w:t>
            </w:r>
            <w:proofErr w:type="gramEnd"/>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ensure that vehicles and vehicle configurations with gross weights over a quantified limit would be limited from unsafe use of bridges and tunnels with inadequate structural capacity, while still providing reasonable access to the Interstate Highway System, to ensure the safety of the traveling public. It would update FHWA's Truck Size and Weight, Route Designations - Length, Width and Weight Limitations in response to Section 1410 of the FAST Act, which added </w:t>
            </w:r>
            <w:proofErr w:type="gramStart"/>
            <w:r>
              <w:rPr>
                <w:rFonts w:ascii="Times" w:eastAsia="Times New Roman" w:hAnsi="Times" w:cs="Times"/>
                <w:sz w:val="20"/>
                <w:szCs w:val="20"/>
              </w:rPr>
              <w:t>a number of</w:t>
            </w:r>
            <w:proofErr w:type="gramEnd"/>
            <w:r>
              <w:rPr>
                <w:rFonts w:ascii="Times" w:eastAsia="Times New Roman" w:hAnsi="Times" w:cs="Times"/>
                <w:sz w:val="20"/>
                <w:szCs w:val="20"/>
              </w:rPr>
              <w:t xml:space="preserve"> new vehicle exemptions for Interstate weight limits to 23 U.S.C. 127, including an exemption for the operation of Covered Heavy-Duty Tow and Recovery Vehicles.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08/09/2016</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35" w:name="35"/>
            <w:r>
              <w:rPr>
                <w:rFonts w:ascii="Times" w:eastAsia="Times New Roman" w:hAnsi="Times" w:cs="Times"/>
                <w:sz w:val="20"/>
                <w:szCs w:val="20"/>
              </w:rPr>
              <w:t>Federal Highway Administration</w:t>
            </w:r>
            <w:bookmarkEnd w:id="35"/>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Metropolitan Planning Organization Coordination and Planning Area Reform</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MPO Coordination Revision</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2125-AF75</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transportation planning regulations by removing the provisions requiring that boundaries of metropolitan planning areas (MPA) include an urbanized area in its entirety and include the contiguous area expected to become urbanized within a 20-year forecast period for the metropolitan transportation plan. This rulemaking would also remove requirements for metropolitan planning organizations (MPO) to merge, create unified transportation planning products, or petition the Secretary for an exemption when there is more than one MPO in an MPA. These provisions were repealed by statute on May 12, 2017 (P.L. 115-33, 131 Stat. 845. This rulemaking would remove the language from the CFR. This repeal would result in cost savings and reduce burdens for regulatory compliance.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03/10/2017</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FHWA-2017-003</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07/13/2017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07/13/2017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08/11/2017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08/16/2017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36" w:name="36"/>
            <w:r>
              <w:rPr>
                <w:rFonts w:ascii="Times" w:eastAsia="Times New Roman" w:hAnsi="Times" w:cs="Times"/>
                <w:sz w:val="20"/>
                <w:szCs w:val="20"/>
              </w:rPr>
              <w:t>Federal Highway Administration</w:t>
            </w:r>
            <w:bookmarkEnd w:id="36"/>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National Performance Management Measures; Assessing Performance of the National Highway System, Freight Movement on the Interstate System, and Congestion Mitigation and Air Quality Improvement Program</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GHG Measure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2125-AF76</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proofErr w:type="gramStart"/>
            <w:r>
              <w:rPr>
                <w:rFonts w:ascii="Times" w:eastAsia="Times New Roman" w:hAnsi="Times" w:cs="Times"/>
                <w:b/>
                <w:bCs/>
                <w:sz w:val="20"/>
                <w:szCs w:val="20"/>
              </w:rPr>
              <w:t>:</w:t>
            </w:r>
            <w:r>
              <w:rPr>
                <w:rFonts w:ascii="Times" w:eastAsia="Times New Roman" w:hAnsi="Times" w:cs="Times"/>
                <w:sz w:val="20"/>
                <w:szCs w:val="20"/>
              </w:rPr>
              <w:t xml:space="preserve"> :</w:t>
            </w:r>
            <w:proofErr w:type="gramEnd"/>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seek additional comment on one of the measures established in the Transportation Performance Management regulations to assess the performance of the NHS under the NHPP is Percent Change in Tailpipe CO 2 Emissions on the NHS from the Calendar Year 2017 (also referred to as the GHG measure). This measure is calculated using data on fuel use and VMT. This rulemaking provides additional opportunity for comment. Additional information will aid FHWA in determining whether the measure should be retained, revised, or repealed.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05/12/2017</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FHWA-2017-</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07/13/2017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07/14/2017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09/02/2017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12/06/2017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03/06/2018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03/07/2018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37" w:name="37"/>
            <w:r>
              <w:rPr>
                <w:rFonts w:ascii="Times" w:eastAsia="Times New Roman" w:hAnsi="Times" w:cs="Times"/>
                <w:b/>
                <w:bCs/>
                <w:sz w:val="20"/>
                <w:szCs w:val="20"/>
              </w:rPr>
              <w:t>Federal Motor Carrier Safety Administration</w:t>
            </w:r>
          </w:p>
        </w:tc>
      </w:tr>
      <w:tr w:rsidR="001C0CEB">
        <w:trPr>
          <w:tblCellSpacing w:w="24" w:type="dxa"/>
        </w:trPr>
        <w:tc>
          <w:tcPr>
            <w:tcW w:w="0" w:type="auto"/>
            <w:gridSpan w:val="2"/>
            <w:vAlign w:val="center"/>
            <w:hideMark/>
          </w:tcPr>
          <w:p w:rsidR="001C0CEB" w:rsidRDefault="00422C26">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7"/>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C0CE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Red</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Mexico-Domiciled Motor Carriers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2126-AA34</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w:t>
            </w:r>
            <w:proofErr w:type="gramStart"/>
            <w:r>
              <w:rPr>
                <w:rFonts w:ascii="Times" w:eastAsia="Times New Roman" w:hAnsi="Times" w:cs="Times"/>
                <w:sz w:val="20"/>
                <w:szCs w:val="20"/>
              </w:rPr>
              <w:t>submitted an application</w:t>
            </w:r>
            <w:proofErr w:type="gramEnd"/>
            <w:r>
              <w:rPr>
                <w:rFonts w:ascii="Times" w:eastAsia="Times New Roman" w:hAnsi="Times" w:cs="Times"/>
                <w:sz w:val="20"/>
                <w:szCs w:val="20"/>
              </w:rPr>
              <w:t xml:space="preserve">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w:t>
            </w:r>
            <w:proofErr w:type="gramStart"/>
            <w:r>
              <w:rPr>
                <w:rFonts w:ascii="Times" w:eastAsia="Times New Roman" w:hAnsi="Times" w:cs="Times"/>
                <w:sz w:val="20"/>
                <w:szCs w:val="20"/>
              </w:rPr>
              <w:t>long haul</w:t>
            </w:r>
            <w:proofErr w:type="gramEnd"/>
            <w:r>
              <w:rPr>
                <w:rFonts w:ascii="Times" w:eastAsia="Times New Roman" w:hAnsi="Times" w:cs="Times"/>
                <w:sz w:val="20"/>
                <w:szCs w:val="20"/>
              </w:rPr>
              <w:t xml:space="preserve"> trucking provisions of NAFTA is completed.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38" w:name="38"/>
            <w:r>
              <w:rPr>
                <w:rFonts w:ascii="Times" w:eastAsia="Times New Roman" w:hAnsi="Times" w:cs="Times"/>
                <w:sz w:val="20"/>
                <w:szCs w:val="20"/>
              </w:rPr>
              <w:t>Federal Motor Carrier Safety Administration</w:t>
            </w:r>
            <w:bookmarkEnd w:id="38"/>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C0CE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Red</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2126-AA35</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w:t>
            </w:r>
            <w:proofErr w:type="gramStart"/>
            <w:r>
              <w:rPr>
                <w:rFonts w:ascii="Times" w:eastAsia="Times New Roman" w:hAnsi="Times" w:cs="Times"/>
                <w:sz w:val="20"/>
                <w:szCs w:val="20"/>
              </w:rPr>
              <w:t>long haul</w:t>
            </w:r>
            <w:proofErr w:type="gramEnd"/>
            <w:r>
              <w:rPr>
                <w:rFonts w:ascii="Times" w:eastAsia="Times New Roman" w:hAnsi="Times" w:cs="Times"/>
                <w:sz w:val="20"/>
                <w:szCs w:val="20"/>
              </w:rPr>
              <w:t xml:space="preserve"> trucking provisions of NAFTA is completed.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39" w:name="39"/>
            <w:r>
              <w:rPr>
                <w:rFonts w:ascii="Times" w:eastAsia="Times New Roman" w:hAnsi="Times" w:cs="Times"/>
                <w:sz w:val="20"/>
                <w:szCs w:val="20"/>
              </w:rPr>
              <w:t>Federal Motor Carrier Safety Administration</w:t>
            </w:r>
            <w:bookmarkEnd w:id="39"/>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C0CE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Red</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2126-AA64</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 Undetermined: Publication </w:t>
            </w:r>
            <w:proofErr w:type="gramStart"/>
            <w:r>
              <w:rPr>
                <w:rFonts w:ascii="Times" w:eastAsia="Times New Roman" w:hAnsi="Times" w:cs="Times"/>
                <w:sz w:val="20"/>
                <w:szCs w:val="20"/>
              </w:rPr>
              <w:t>Approved ;Publication</w:t>
            </w:r>
            <w:proofErr w:type="gramEnd"/>
            <w:r>
              <w:rPr>
                <w:rFonts w:ascii="Times" w:eastAsia="Times New Roman" w:hAnsi="Times" w:cs="Times"/>
                <w:sz w:val="20"/>
                <w:szCs w:val="20"/>
              </w:rPr>
              <w:t xml:space="preserve"> Date ;End of Comment Period . Undetermined: Publication </w:t>
            </w:r>
            <w:proofErr w:type="gramStart"/>
            <w:r>
              <w:rPr>
                <w:rFonts w:ascii="Times" w:eastAsia="Times New Roman" w:hAnsi="Times" w:cs="Times"/>
                <w:sz w:val="20"/>
                <w:szCs w:val="20"/>
              </w:rPr>
              <w:t>Approved ;Publication</w:t>
            </w:r>
            <w:proofErr w:type="gramEnd"/>
            <w:r>
              <w:rPr>
                <w:rFonts w:ascii="Times" w:eastAsia="Times New Roman" w:hAnsi="Times" w:cs="Times"/>
                <w:sz w:val="20"/>
                <w:szCs w:val="20"/>
              </w:rPr>
              <w:t xml:space="preserve"> Date ;End of Comment Period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roofErr w:type="gramStart"/>
                  <w:r>
                    <w:rPr>
                      <w:rFonts w:ascii="Times" w:eastAsia="Times New Roman" w:hAnsi="Times" w:cs="Times"/>
                      <w:sz w:val="20"/>
                      <w:szCs w:val="20"/>
                    </w:rPr>
                    <w:t>NPRM :</w:t>
                  </w:r>
                  <w:proofErr w:type="gramEnd"/>
                  <w:r>
                    <w:rPr>
                      <w:rFonts w:ascii="Times" w:eastAsia="Times New Roman" w:hAnsi="Times" w:cs="Times"/>
                      <w:sz w:val="20"/>
                      <w:szCs w:val="20"/>
                    </w:rPr>
                    <w:t xml:space="preserve"> 12/09/2000</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03/23/2018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40" w:name="40"/>
            <w:r>
              <w:rPr>
                <w:rFonts w:ascii="Times" w:eastAsia="Times New Roman" w:hAnsi="Times" w:cs="Times"/>
                <w:sz w:val="20"/>
                <w:szCs w:val="20"/>
              </w:rPr>
              <w:t>Federal Motor Carrier Safety Administration</w:t>
            </w:r>
            <w:bookmarkEnd w:id="40"/>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C0CE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Red</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2126-AB01</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Report in </w:t>
                  </w:r>
                  <w:proofErr w:type="gramStart"/>
                  <w:r>
                    <w:rPr>
                      <w:rFonts w:ascii="Times" w:eastAsia="Times New Roman" w:hAnsi="Times" w:cs="Times"/>
                      <w:sz w:val="20"/>
                      <w:szCs w:val="20"/>
                    </w:rPr>
                    <w:t>place :</w:t>
                  </w:r>
                  <w:proofErr w:type="gramEnd"/>
                  <w:r>
                    <w:rPr>
                      <w:rFonts w:ascii="Times" w:eastAsia="Times New Roman" w:hAnsi="Times" w:cs="Times"/>
                      <w:sz w:val="20"/>
                      <w:szCs w:val="20"/>
                    </w:rPr>
                    <w:t xml:space="preserve"> 08/10/2006</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41" w:name="41"/>
            <w:r>
              <w:rPr>
                <w:rFonts w:ascii="Times" w:eastAsia="Times New Roman" w:hAnsi="Times" w:cs="Times"/>
                <w:sz w:val="20"/>
                <w:szCs w:val="20"/>
              </w:rPr>
              <w:t>Federal Motor Carrier Safety Administration</w:t>
            </w:r>
            <w:bookmarkEnd w:id="41"/>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C0CE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Carrier Safety Fitness Determination</w:t>
                  </w:r>
                </w:p>
              </w:tc>
              <w:tc>
                <w:tcPr>
                  <w:tcW w:w="360" w:type="dxa"/>
                  <w:tcBorders>
                    <w:top w:val="outset" w:sz="6" w:space="0" w:color="FF0000"/>
                    <w:left w:val="outset" w:sz="6" w:space="0" w:color="FF0000"/>
                    <w:bottom w:val="outset" w:sz="6" w:space="0" w:color="FF0000"/>
                    <w:right w:val="outset" w:sz="6" w:space="0" w:color="FF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Red</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2126-AB11</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Withdrawal</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1/21/16, C/P ended 5/23/16, Reply C/P ended 6/23/</w:t>
            </w:r>
            <w:proofErr w:type="gramStart"/>
            <w:r>
              <w:rPr>
                <w:rFonts w:ascii="Times" w:eastAsia="Times New Roman" w:hAnsi="Times" w:cs="Times"/>
                <w:sz w:val="20"/>
                <w:szCs w:val="20"/>
              </w:rPr>
              <w:t>16 :</w:t>
            </w:r>
            <w:proofErr w:type="gramEnd"/>
            <w:r>
              <w:rPr>
                <w:rFonts w:ascii="Times" w:eastAsia="Times New Roman" w:hAnsi="Times" w:cs="Times"/>
                <w:sz w:val="20"/>
                <w:szCs w:val="20"/>
              </w:rPr>
              <w:t xml:space="preserve"> Publication Approved ;Publication Date ;End of Comment Period . SNPRM: Publication </w:t>
            </w:r>
            <w:proofErr w:type="gramStart"/>
            <w:r>
              <w:rPr>
                <w:rFonts w:ascii="Times" w:eastAsia="Times New Roman" w:hAnsi="Times" w:cs="Times"/>
                <w:sz w:val="20"/>
                <w:szCs w:val="20"/>
              </w:rPr>
              <w:t>Date ;End</w:t>
            </w:r>
            <w:proofErr w:type="gramEnd"/>
            <w:r>
              <w:rPr>
                <w:rFonts w:ascii="Times" w:eastAsia="Times New Roman" w:hAnsi="Times" w:cs="Times"/>
                <w:sz w:val="20"/>
                <w:szCs w:val="20"/>
              </w:rPr>
              <w:t xml:space="preserve"> of Comment Period , NPRM Withdrawn 3/23/17.</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withdraws its notice of proposed rulemaking (NPRM), which proposed a revised methodology for issuance of a safety fitness determination (SFD) for motor carriers. The new methodology would have determined when a motor carrier is not fit to operate commercial motor vehicles in or affecting interstate commerce based on the carrier's on-road safety data; an investigation; or a combination of on-road safety data and investigation information. However, after reviewing the record in this matter, FMCSA withdraws the NPRM. The Agency must receive the Correlation Study from the National Academies of Science, as required by the Fixing America's Surface Transportation Act, assess whether and, if so, what corrective actions are advisable, and complete additional analysis before determining whether further rulemaking action is necessary to revise the SFD process.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FMCSA-2015-0001</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Withdrawal: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04"/>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Notice of Withdrawal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05/01/2017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03/23/2017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03/23/2017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Withdrawal:</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42" w:name="42"/>
            <w:r>
              <w:rPr>
                <w:rFonts w:ascii="Times" w:eastAsia="Times New Roman" w:hAnsi="Times" w:cs="Times"/>
                <w:sz w:val="20"/>
                <w:szCs w:val="20"/>
              </w:rPr>
              <w:t>Federal Motor Carrier Safety Administration</w:t>
            </w:r>
            <w:bookmarkEnd w:id="42"/>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C0CE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Red</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2126-AB17</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43" w:name="43"/>
            <w:r>
              <w:rPr>
                <w:rFonts w:ascii="Times" w:eastAsia="Times New Roman" w:hAnsi="Times" w:cs="Times"/>
                <w:sz w:val="20"/>
                <w:szCs w:val="20"/>
              </w:rPr>
              <w:t>Federal Motor Carrier Safety Administration</w:t>
            </w:r>
            <w:bookmarkEnd w:id="43"/>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C0CE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Green</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2126-AB56</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implement several provisions of the Moving Ahead for Progress in the 21st Century Act (MAP-21) that relate to the FMCSA's Unified Registration System (URS) as well as update and codify the Agency's procedures for granting, suspending, and revoking registration. These procedures would apply to all entities required to register under the Agency's commercial or safety jurisdiction. Many of the proposed provisions codify existing Agency practices, while others improve on existing processes and procedures. FMCSA proposes this rule to achieve greater transparency, uniformity, efficiency, and predictability with respect to granting, suspending, or revoking registration.</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05/08/2017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06/09/2017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09/08/2017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09/20/2017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11/22/2017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staffing</w:t>
                  </w:r>
                  <w:r>
                    <w:rPr>
                      <w:rFonts w:ascii="Times" w:eastAsia="Times New Roman" w:hAnsi="Times" w:cs="Times"/>
                      <w:sz w:val="20"/>
                      <w:szCs w:val="20"/>
                    </w:rPr>
                    <w:br/>
                    <w:t>Unanticipated issues requiring further analysis</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44" w:name="44"/>
            <w:r>
              <w:rPr>
                <w:rFonts w:ascii="Times" w:eastAsia="Times New Roman" w:hAnsi="Times" w:cs="Times"/>
                <w:sz w:val="20"/>
                <w:szCs w:val="20"/>
              </w:rPr>
              <w:t>Federal Motor Carrier Safety Administration</w:t>
            </w:r>
            <w:bookmarkEnd w:id="44"/>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2126-AB63</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9/7/16, C/P Ends 11/7/16</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rulemaking with NHTSA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12/25/2013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08/26/2016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09/07/2016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11/07/2016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45" w:name="45"/>
            <w:r>
              <w:rPr>
                <w:rFonts w:ascii="Times" w:eastAsia="Times New Roman" w:hAnsi="Times" w:cs="Times"/>
                <w:sz w:val="20"/>
                <w:szCs w:val="20"/>
              </w:rPr>
              <w:t>Federal Motor Carrier Safety Administration</w:t>
            </w:r>
            <w:bookmarkEnd w:id="45"/>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Entry-Level Driver Training</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ELDT</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2126-AB66</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3/7/16, C/P ended 4/6/16 Final Rule: 12/12/8/16, Effective Date Originally 2/6/17, currently 5/22/17</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establishes new minimum training standards for certain individuals applying for their commercial driver's license (CDL) for the first time; an upgrade of their CDL (e.g., a Class B CDL holder seeking a Class A CDL); or a hazardous materials (H), passenger (P), or school bus (S) endorsement for the first time. These individuals are subject to the entry-level driver training (ELDT) requirements and must complete a prescribed program of instruction provided by an entity that is listed on FMCSA's Training Provider Registry (TPR). FMCSA will submit training certification information to State driver licensing agencies (SDLAs), who may only administer CDL skills tests to applicants for the Class A and B CDL, and/or the P or S endorsements, or knowledge test for the H endorsement, after verifying the information is present in the driver's record. This final rule responds to a Congressional mandate imposed under the Moving Ahead for Progress in the 21st Century Act (MAP-21). The rule is based on consensus recommendations from the Agency's Entry-Level Driver Training Advisory Committee (ELDTAC), a negotiated rulemaking committee that held a series of meetings between February and May 2015.</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Negotiated Rulemaking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10/24/2013</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08/29/2016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08/25/2016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08/29/2016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10/31/2016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11/15/2016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11/23/2016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12/08/2016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46" w:name="46"/>
            <w:r>
              <w:rPr>
                <w:rFonts w:ascii="Times" w:eastAsia="Times New Roman" w:hAnsi="Times" w:cs="Times"/>
                <w:sz w:val="20"/>
                <w:szCs w:val="20"/>
              </w:rPr>
              <w:t>Federal Motor Carrier Safety Administration</w:t>
            </w:r>
            <w:bookmarkEnd w:id="46"/>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Financial Responsibility for Motor Carriers, Freight Forwarders, and Brokers</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Minimum Levels of Financial Responsibility</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2126-AB74</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Withdrawal</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11/28/</w:t>
            </w:r>
            <w:proofErr w:type="gramStart"/>
            <w:r>
              <w:rPr>
                <w:rFonts w:ascii="Times" w:eastAsia="Times New Roman" w:hAnsi="Times" w:cs="Times"/>
                <w:sz w:val="20"/>
                <w:szCs w:val="20"/>
              </w:rPr>
              <w:t>2014;End</w:t>
            </w:r>
            <w:proofErr w:type="gramEnd"/>
            <w:r>
              <w:rPr>
                <w:rFonts w:ascii="Times" w:eastAsia="Times New Roman" w:hAnsi="Times" w:cs="Times"/>
                <w:sz w:val="20"/>
                <w:szCs w:val="20"/>
              </w:rPr>
              <w:t xml:space="preserve"> of Comment Period 02/26/2015. Withdrawal: Published 6/5/17</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withdraws its November 28, 2014, ANPRM concerning financial responsibility for motor carriers, freight forwarders, and brokers. Under 49 U.S.C. 31138 and 31139, FMCSA is authorized to establish minimum levels of financial responsibility at or above the minimum levels set by Congress. FMCSA's regulations (49 CFR Part 387 Subparts A and B) currently require for-hire property and passenger motor carriers and all motor carriers transporting hazardous materials to maintain financial responsibility at the statutory minimums set forth in 49 U.S.C. 31138 and 31139. Part 387, Subpart C, requires for-hire motor carriers subject to the Agency's jurisdiction under 49 U.S.C. 13501 to file evidence of financial responsibility with FMCSA. FMCSA sought public comment on whether to exercise its discretion to increase the minimum levels of financial responsibility, and, if so, to what levels. Upon review of all public comments to the ANPRM, FMCSA has determined there is not enough information available to support moving forward with a rulemaking action and so the rulemaking will be withdrawn.</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04/14/2014</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Withdrawal: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05/31/2017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06/05/2017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Withdrawal:</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47" w:name="47"/>
            <w:r>
              <w:rPr>
                <w:rFonts w:ascii="Times" w:eastAsia="Times New Roman" w:hAnsi="Times" w:cs="Times"/>
                <w:sz w:val="20"/>
                <w:szCs w:val="20"/>
              </w:rPr>
              <w:t>Federal Motor Carrier Safety Administration</w:t>
            </w:r>
            <w:bookmarkEnd w:id="47"/>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State Inspection Programs for Passenger Carrier Vehicles</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Carrier Inspections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2126-AB84</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Withdrawal</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4/27/16, C/P ended 6/27/16 ANPRM Withdrawal: Published 5/1/17</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withdraws its April 27, 2016, ANPRM concerning the establishment of requirements for States to implement annual inspection programs for CMVs designed or used to transport passengers. FMCSA sought information from all interested parties that would enable the Agency to assess the risks associated with improperly maintained or inspected passenger-carrying CMVs and sought public comments concerning the effectiveness of current FMCSA annual inspection standards, costs and benefits of states to implement a mandatory program, and incentives that could be used for states to adopt such a program. Upon review of all public comments to the ANPRM, and in consideration of comments provided by individuals attending three public listening sessions held in 2015, FMCSA has determined there is not enough information available to support moving forward with a rulemaking action and so the rulemaking will be withdrawn.</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04/29/2015</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Withdrawal: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04/14/2017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05/01/2017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Withdrawal:</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48" w:name="48"/>
            <w:r>
              <w:rPr>
                <w:rFonts w:ascii="Times" w:eastAsia="Times New Roman" w:hAnsi="Times" w:cs="Times"/>
                <w:sz w:val="20"/>
                <w:szCs w:val="20"/>
              </w:rPr>
              <w:t>Federal Motor Carrier Safety Administration</w:t>
            </w:r>
            <w:bookmarkEnd w:id="48"/>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Evaluation of Safety-Sensitive Personnel for Moderate-to-Severe Obstructive Sleep Apnea</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Evaluation of Safety Sensitive Personnel for OSA</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2126-AB88</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Withdrawal</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3/10/16, End of Extended Comment Period 07/08/2016, </w:t>
            </w:r>
            <w:r w:rsidR="00E2460B">
              <w:rPr>
                <w:rFonts w:ascii="Times" w:eastAsia="Times New Roman" w:hAnsi="Times" w:cs="Times"/>
                <w:sz w:val="20"/>
                <w:szCs w:val="20"/>
              </w:rPr>
              <w:t>Withdrawal</w:t>
            </w:r>
            <w:r>
              <w:rPr>
                <w:rFonts w:ascii="Times" w:eastAsia="Times New Roman" w:hAnsi="Times" w:cs="Times"/>
                <w:sz w:val="20"/>
                <w:szCs w:val="20"/>
              </w:rPr>
              <w:t xml:space="preserve"> Published 8/8/17</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withdraws its March 10, 2016, ANPRM concerning evaluation of safety sensitive personnel for moderate-to-severe obstructive sleep apnea. FMCSA and Federal Railroad Administration (FRA) sought data and information concerning the prevalence of moderate-to-severe obstructive sleep apnea (OSA) among individuals occupying safety sensitive positions in highway and rail transportation, and on its potential consequences for the safety of rail and highway transportation. The Agencies also requested information on potential costs and benefits from regulatory actions that address the safety risks associated with motor carrier and rail transportation workers in safety sensitive positions who have OSA. Upon review of all public comments to the ANPRM, FMCSA has determined there is not enough information available to support moving forward with a rulemaking action and so the rulemaking will be withdrawn.</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10/01/2015</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Withdrawal: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05/31/2017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08/08/2017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Withdrawal:</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49" w:name="49"/>
            <w:r>
              <w:rPr>
                <w:rFonts w:ascii="Times" w:eastAsia="Times New Roman" w:hAnsi="Times" w:cs="Times"/>
                <w:sz w:val="20"/>
                <w:szCs w:val="20"/>
              </w:rPr>
              <w:t>Federal Motor Carrier Safety Administration</w:t>
            </w:r>
            <w:bookmarkEnd w:id="49"/>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Amendments to Motor Carrier Safety Assistance Program</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350 Rewrite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2126-AC02</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sidR="002E57BD">
              <w:rPr>
                <w:rFonts w:ascii="Times" w:eastAsia="Times New Roman" w:hAnsi="Times" w:cs="Times"/>
                <w:sz w:val="20"/>
                <w:szCs w:val="20"/>
              </w:rPr>
              <w:t xml:space="preserve"> </w:t>
            </w:r>
            <w:r>
              <w:rPr>
                <w:rFonts w:ascii="Times" w:eastAsia="Times New Roman" w:hAnsi="Times" w:cs="Times"/>
                <w:sz w:val="20"/>
                <w:szCs w:val="20"/>
              </w:rPr>
              <w:t xml:space="preserve">Publication </w:t>
            </w:r>
            <w:proofErr w:type="gramStart"/>
            <w:r>
              <w:rPr>
                <w:rFonts w:ascii="Times" w:eastAsia="Times New Roman" w:hAnsi="Times" w:cs="Times"/>
                <w:sz w:val="20"/>
                <w:szCs w:val="20"/>
              </w:rPr>
              <w:t>Date .</w:t>
            </w:r>
            <w:proofErr w:type="gramEnd"/>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Section 350 to reflect the changes resulting from the Fixing America's Surface Transportation (FAST) Act and to make other needed revisions to Section 350 to align the Motor Carrier Safety Assistance Program (MCSAP) more accurately with the Compliance, Safety, Accountability (CSA) program. The proposed changes would include: (1) a new formula for the distribution of the MCSAP grants, in consideration of the recommendations of the FAST Act MCSAP Formula Working Group; (2) a framework and process by which State MCSAP lead agencies can develop/submit a multi-year commercial vehicle safety plan (CVSP) and (3) changes needed in Section 350 to reflect the investigations and interventions conducted by the MCSAP partners under the CSA program. This rule would apply to all MCSAP lead agencies and their subgrantees.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919"/>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Federalism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11/16/2016</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12/25/2017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02/20/2018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04/05/2018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06/08/2018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06/05/2018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50" w:name="50"/>
            <w:r>
              <w:rPr>
                <w:rFonts w:ascii="Times" w:eastAsia="Times New Roman" w:hAnsi="Times" w:cs="Times"/>
                <w:b/>
                <w:bCs/>
                <w:sz w:val="20"/>
                <w:szCs w:val="20"/>
              </w:rPr>
              <w:t>Federal Railroad Administration</w:t>
            </w:r>
          </w:p>
        </w:tc>
      </w:tr>
      <w:tr w:rsidR="001C0CEB">
        <w:trPr>
          <w:tblCellSpacing w:w="24" w:type="dxa"/>
        </w:trPr>
        <w:tc>
          <w:tcPr>
            <w:tcW w:w="0" w:type="auto"/>
            <w:gridSpan w:val="2"/>
            <w:vAlign w:val="center"/>
            <w:hideMark/>
          </w:tcPr>
          <w:p w:rsidR="001C0CEB" w:rsidRDefault="00422C26">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50"/>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C0CE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Red</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2130-AC11</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 NPRM: Publication Date 02/27/14; End of Comment Period 04/27/15.</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requires each Class I freight railroad and each freight railroad with inadequate safety performance to develop and implement a Risk Reduction Program (RRP) to improve the safety of its operations. RRP is a comprehensive, system-oriented approach to safety that determines a railroad operation's level of risk by identifying and analyzing applicable hazards, and involves developing plans to mitigate, if not eliminate, that risk. Each railroad has flexibility to tailor an RRP to its specific railroad operations. Each railroad must implement its RRP under a written RRP plan that FRA has reviewed and approved and conduct an annual internal assessment of its RRP. FRA will audit railroad's RRP processes and procedures. Section 103 of the Rail Safety Improvement Act of 2008 (RSIA) mandates this rulemaking.</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Final </w:t>
                  </w:r>
                  <w:proofErr w:type="gramStart"/>
                  <w:r>
                    <w:rPr>
                      <w:rFonts w:ascii="Times" w:eastAsia="Times New Roman" w:hAnsi="Times" w:cs="Times"/>
                      <w:sz w:val="20"/>
                      <w:szCs w:val="20"/>
                    </w:rPr>
                    <w:t>Rule :</w:t>
                  </w:r>
                  <w:proofErr w:type="gramEnd"/>
                  <w:r>
                    <w:rPr>
                      <w:rFonts w:ascii="Times" w:eastAsia="Times New Roman" w:hAnsi="Times" w:cs="Times"/>
                      <w:sz w:val="20"/>
                      <w:szCs w:val="20"/>
                    </w:rPr>
                    <w:t xml:space="preserve"> 10/16/2012</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11/18/2016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01/19/2017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02/05/2018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02/15/2018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51" w:name="51"/>
            <w:r>
              <w:rPr>
                <w:rFonts w:ascii="Times" w:eastAsia="Times New Roman" w:hAnsi="Times" w:cs="Times"/>
                <w:sz w:val="20"/>
                <w:szCs w:val="20"/>
              </w:rPr>
              <w:t>Federal Railroad Administration</w:t>
            </w:r>
            <w:bookmarkEnd w:id="51"/>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C0CE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Red</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2130-AC14</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Section 413 of the Rail Safety Improvement Act of 2008 (RSIA) requires the Secretary to prescribe regulations requiring railroads to provide specified emergency escape breathing apparatus for all crew members in locomotive cabs on freight trains carrying poison-inhalation-hazard hazardous material and provide training in its use. FRA cannot identify an economical means of compliance. Therefore, FRA instead issued a guidance document that railroads will use to develop effective emergency escape breathing apparatus (EEBA) programs to protect railroad employees involved in transporting hazardous materials posing an inhalation hazard. In this guidance document, FRA highlighted factors to consider when selecting appropriate EEBA devices and explained various programmatic components to evaluate when developing an EEBA program.</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Final </w:t>
                  </w:r>
                  <w:proofErr w:type="gramStart"/>
                  <w:r>
                    <w:rPr>
                      <w:rFonts w:ascii="Times" w:eastAsia="Times New Roman" w:hAnsi="Times" w:cs="Times"/>
                      <w:sz w:val="20"/>
                      <w:szCs w:val="20"/>
                    </w:rPr>
                    <w:t>Rule :</w:t>
                  </w:r>
                  <w:proofErr w:type="gramEnd"/>
                  <w:r>
                    <w:rPr>
                      <w:rFonts w:ascii="Times" w:eastAsia="Times New Roman" w:hAnsi="Times" w:cs="Times"/>
                      <w:sz w:val="20"/>
                      <w:szCs w:val="20"/>
                    </w:rPr>
                    <w:t xml:space="preserve"> 04/16/2010</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08/10/2018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09/14/2018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7"/>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r>
                    <w:rPr>
                      <w:rFonts w:ascii="Times" w:eastAsia="Times New Roman" w:hAnsi="Times" w:cs="Times"/>
                      <w:sz w:val="20"/>
                      <w:szCs w:val="20"/>
                    </w:rPr>
                    <w:br/>
                    <w:t>Other, higher priorities</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52" w:name="52"/>
            <w:r>
              <w:rPr>
                <w:rFonts w:ascii="Times" w:eastAsia="Times New Roman" w:hAnsi="Times" w:cs="Times"/>
                <w:sz w:val="20"/>
                <w:szCs w:val="20"/>
              </w:rPr>
              <w:t>Federal Railroad Administration</w:t>
            </w:r>
            <w:bookmarkEnd w:id="52"/>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C0CE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Red</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2130-AC17</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Sections 301 and 502 of the Passenger Rail Investment and Improvement Act of 2008 (PRIIA) require the Secretary to issue a rule prescribing procedures and schedules to award grants to eligible applicants to assist in financing the capital costs of facilities, infrastructure, and equipment necessary to provide or improve intercity passenger rail transportation. This rulemaking began </w:t>
            </w:r>
            <w:proofErr w:type="gramStart"/>
            <w:r>
              <w:rPr>
                <w:rFonts w:ascii="Times" w:eastAsia="Times New Roman" w:hAnsi="Times" w:cs="Times"/>
                <w:sz w:val="20"/>
                <w:szCs w:val="20"/>
              </w:rPr>
              <w:t>in connection with</w:t>
            </w:r>
            <w:proofErr w:type="gramEnd"/>
            <w:r>
              <w:rPr>
                <w:rFonts w:ascii="Times" w:eastAsia="Times New Roman" w:hAnsi="Times" w:cs="Times"/>
                <w:sz w:val="20"/>
                <w:szCs w:val="20"/>
              </w:rPr>
              <w:t xml:space="preserve"> FRA's High-Speed Intercity Passenger Rail (HSIPR) Program, which was funded by the American Recovery and Reinvestment Act of 2009 (ARRA) and FY10 Appropriations Act. Given the quick turnaround to obligate the ARRA grants and the FY10 appropriations immediately after the ARRA appropriation, FRA issued interim guidance to cover the procedures/schedules for those two </w:t>
            </w:r>
            <w:proofErr w:type="gramStart"/>
            <w:r>
              <w:rPr>
                <w:rFonts w:ascii="Times" w:eastAsia="Times New Roman" w:hAnsi="Times" w:cs="Times"/>
                <w:sz w:val="20"/>
                <w:szCs w:val="20"/>
              </w:rPr>
              <w:t>particular appropriations</w:t>
            </w:r>
            <w:proofErr w:type="gramEnd"/>
            <w:r>
              <w:rPr>
                <w:rFonts w:ascii="Times" w:eastAsia="Times New Roman" w:hAnsi="Times" w:cs="Times"/>
                <w:sz w:val="20"/>
                <w:szCs w:val="20"/>
              </w:rPr>
              <w:t>. FRA has not received an appropriation for the program since FY10. The Fixing America's Surface Transportation Act (FAST Act) did not provide a new funding authorization for this program and instead authorized three new competitive grant programs (with no rulemaking attached to the new programs). If FRA receives appropriations in the coming years, it will likely be for the new FAST Act programs, not HSIPR, so there is no need for a rulemaking. Therefore, this rulemaking is being terminated and will not appear in the Fall Regulatory Agenda or in the next monthly report on DOT significant rulemakings.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3"/>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Final Rule - High Speed </w:t>
                  </w:r>
                  <w:proofErr w:type="gramStart"/>
                  <w:r>
                    <w:rPr>
                      <w:rFonts w:ascii="Times" w:eastAsia="Times New Roman" w:hAnsi="Times" w:cs="Times"/>
                      <w:sz w:val="20"/>
                      <w:szCs w:val="20"/>
                    </w:rPr>
                    <w:t>Development :</w:t>
                  </w:r>
                  <w:proofErr w:type="gramEnd"/>
                  <w:r>
                    <w:rPr>
                      <w:rFonts w:ascii="Times" w:eastAsia="Times New Roman" w:hAnsi="Times" w:cs="Times"/>
                      <w:sz w:val="20"/>
                      <w:szCs w:val="20"/>
                    </w:rPr>
                    <w:t xml:space="preserve"> 10/16/2009</w:t>
                  </w:r>
                  <w:r>
                    <w:rPr>
                      <w:rFonts w:ascii="Times" w:eastAsia="Times New Roman" w:hAnsi="Times" w:cs="Times"/>
                      <w:sz w:val="20"/>
                      <w:szCs w:val="20"/>
                    </w:rPr>
                    <w:br/>
                    <w:t>Final Rule - Capital Investment Grants : 10/16/2010</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53" w:name="53"/>
            <w:r>
              <w:rPr>
                <w:rFonts w:ascii="Times" w:eastAsia="Times New Roman" w:hAnsi="Times" w:cs="Times"/>
                <w:sz w:val="20"/>
                <w:szCs w:val="20"/>
              </w:rPr>
              <w:t>Federal Railroad Administration</w:t>
            </w:r>
            <w:bookmarkEnd w:id="53"/>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C0CE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Red</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2130-AC23</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 xml:space="preserve">Previous </w:t>
            </w:r>
            <w:proofErr w:type="gramStart"/>
            <w:r>
              <w:rPr>
                <w:rFonts w:ascii="Times" w:eastAsia="Times New Roman" w:hAnsi="Times" w:cs="Times"/>
                <w:b/>
                <w:bCs/>
                <w:sz w:val="20"/>
                <w:szCs w:val="20"/>
              </w:rPr>
              <w:t>Stage:</w:t>
            </w:r>
            <w:r>
              <w:rPr>
                <w:rFonts w:ascii="Times" w:eastAsia="Times New Roman" w:hAnsi="Times" w:cs="Times"/>
                <w:sz w:val="20"/>
                <w:szCs w:val="20"/>
              </w:rPr>
              <w:t>None</w:t>
            </w:r>
            <w:proofErr w:type="gramEnd"/>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and FY 2010 Interim Guidance. Spending authorized under PRIIA is subject to the Buy America provision of 49 U.S.C. § 24405(a). This rulemaking would provide standards to govern FRA´s application of the Buy America provision to all PRIIA-authorized spending as part of the HSIPR program.</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54" w:name="54"/>
            <w:r>
              <w:rPr>
                <w:rFonts w:ascii="Times" w:eastAsia="Times New Roman" w:hAnsi="Times" w:cs="Times"/>
                <w:sz w:val="20"/>
                <w:szCs w:val="20"/>
              </w:rPr>
              <w:t>Federal Railroad Administration</w:t>
            </w:r>
            <w:bookmarkEnd w:id="54"/>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Passenger Equipment Safety Standards Amendments (RRR)</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Safety Standards Amendments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2130-AC46</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12/01/</w:t>
            </w:r>
            <w:proofErr w:type="gramStart"/>
            <w:r>
              <w:rPr>
                <w:rFonts w:ascii="Times" w:eastAsia="Times New Roman" w:hAnsi="Times" w:cs="Times"/>
                <w:sz w:val="20"/>
                <w:szCs w:val="20"/>
              </w:rPr>
              <w:t>2016;Publication</w:t>
            </w:r>
            <w:proofErr w:type="gramEnd"/>
            <w:r>
              <w:rPr>
                <w:rFonts w:ascii="Times" w:eastAsia="Times New Roman" w:hAnsi="Times" w:cs="Times"/>
                <w:sz w:val="20"/>
                <w:szCs w:val="20"/>
              </w:rPr>
              <w:t xml:space="preserve"> Date 12/06/2016;End of Comment Period 02/06/2017;End of Extended Comment Period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existing safety standards for passenger rail equipment. Specifically, the rulemaking would add a new tier of passenger equipment safety standards (Tier III) to facilitate the safe implementation of nation-wide, interoperable high-speed passenger rail service at speeds up to 220 mph. The Tier III standards require operations at speeds above 125 mph to be in an exclusive right-of-way without grade crossings. This final rule also establishes crashworthiness and occupant protection performance requirements as an alternative to those currently specified for Tier I passenger trainsets. Additionally, the final rule increases from 150 mph to 160 mph the maximum speed for passenger equipment that complies with FRA's Tier II standards. The rule is expected to ease regulatory burdens, allow advanced technology, and increase safety benefits.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10/07/2017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10/23/2017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02/19/2018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10/31/2017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02/28/2018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55" w:name="55"/>
            <w:r>
              <w:rPr>
                <w:rFonts w:ascii="Times" w:eastAsia="Times New Roman" w:hAnsi="Times" w:cs="Times"/>
                <w:sz w:val="20"/>
                <w:szCs w:val="20"/>
              </w:rPr>
              <w:t>Federal Railroad Administration</w:t>
            </w:r>
            <w:bookmarkEnd w:id="55"/>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Train Crew Staffing and Location</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 Crew Staffing and Location</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2130-AC48</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03/15/2016; End of Comment Period 05/16/2016. Final Rule: Publication </w:t>
            </w:r>
            <w:proofErr w:type="gramStart"/>
            <w:r>
              <w:rPr>
                <w:rFonts w:ascii="Times" w:eastAsia="Times New Roman" w:hAnsi="Times" w:cs="Times"/>
                <w:sz w:val="20"/>
                <w:szCs w:val="20"/>
              </w:rPr>
              <w:t>Approved ;Publication</w:t>
            </w:r>
            <w:proofErr w:type="gramEnd"/>
            <w:r>
              <w:rPr>
                <w:rFonts w:ascii="Times" w:eastAsia="Times New Roman" w:hAnsi="Times" w:cs="Times"/>
                <w:sz w:val="20"/>
                <w:szCs w:val="20"/>
              </w:rPr>
              <w:t xml:space="preserve"> Date ;Effective Date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establish requirements to appropriately address known safety risks posed by train operations that use fewer than two crewmembers. FRA is considering options based on public comments on the proposed rule and other information.</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03/27/2014</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FRA-2014-0033</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83"/>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11/22/2016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01/26/2017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01/05/2018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02/20/2018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05/21/2018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09/08/2017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05/31/2018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56" w:name="56"/>
            <w:r>
              <w:rPr>
                <w:rFonts w:ascii="Times" w:eastAsia="Times New Roman" w:hAnsi="Times" w:cs="Times"/>
                <w:sz w:val="20"/>
                <w:szCs w:val="20"/>
              </w:rPr>
              <w:t>Federal Railroad Administration</w:t>
            </w:r>
            <w:bookmarkEnd w:id="56"/>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Locomotive Recording Devices</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Locomotive Recording Devices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2130-AC51</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 xml:space="preserve">Previous </w:t>
            </w:r>
            <w:proofErr w:type="gramStart"/>
            <w:r>
              <w:rPr>
                <w:rFonts w:ascii="Times" w:eastAsia="Times New Roman" w:hAnsi="Times" w:cs="Times"/>
                <w:b/>
                <w:bCs/>
                <w:sz w:val="20"/>
                <w:szCs w:val="20"/>
              </w:rPr>
              <w:t>Stage:</w:t>
            </w:r>
            <w:r>
              <w:rPr>
                <w:rFonts w:ascii="Times" w:eastAsia="Times New Roman" w:hAnsi="Times" w:cs="Times"/>
                <w:sz w:val="20"/>
                <w:szCs w:val="20"/>
              </w:rPr>
              <w:t>None</w:t>
            </w:r>
            <w:proofErr w:type="gramEnd"/>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FAST Act requires the Secretary to promulgate regulations requiring each railroad carrier that provides regularly scheduled intercity rail passenger or commuter rail passenger transportation to the public to install inward- and outward-facing image recording devices in all controlling locomotives of passenger trains. This rulemaking would require the installation of inward- and outward-facing locomotive video cameras on controlling locomotives of trains traveling over 30 mph. The recordings would be used to help determine the cause of railroad accidents to prevent similar accidents. They would also be used to ensure railroad employee compliance with applicable Federal railroad safety regulations and railroad rules, particularly regulations prohibiting the use of personal electronic devices. This rulemaking attempts to fulfill NTSB recommendations urging FRA to adopt regulations requiring locomotive-mounted audio and video recording devices. FRA is requesting comments regarding whether audio recording devices should be required.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95"/>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FAST </w:t>
                  </w:r>
                  <w:proofErr w:type="gramStart"/>
                  <w:r>
                    <w:rPr>
                      <w:rFonts w:ascii="Times" w:eastAsia="Times New Roman" w:hAnsi="Times" w:cs="Times"/>
                      <w:sz w:val="20"/>
                      <w:szCs w:val="20"/>
                    </w:rPr>
                    <w:t>Act :</w:t>
                  </w:r>
                  <w:proofErr w:type="gramEnd"/>
                  <w:r>
                    <w:rPr>
                      <w:rFonts w:ascii="Times" w:eastAsia="Times New Roman" w:hAnsi="Times" w:cs="Times"/>
                      <w:sz w:val="20"/>
                      <w:szCs w:val="20"/>
                    </w:rPr>
                    <w:t xml:space="preserve"> 12/04/2017</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06/18/2015</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09/14/2015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05/16/2016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04/28/2016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01/20/2017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10/13/2015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01/11/2016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02/06/2018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02/16/2018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04/16/2018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57" w:name="57"/>
            <w:r>
              <w:rPr>
                <w:rFonts w:ascii="Times" w:eastAsia="Times New Roman" w:hAnsi="Times" w:cs="Times"/>
                <w:sz w:val="20"/>
                <w:szCs w:val="20"/>
              </w:rPr>
              <w:t>Federal Railroad Administration</w:t>
            </w:r>
            <w:bookmarkEnd w:id="57"/>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Evaluation of Safety-Sensitive Personnel for Moderate-to-Severe Obstructive Sleep Apnea</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Evaluation of Safety Sensitive Personnel for OSA</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2130-AC52</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Withdrawal</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proofErr w:type="gramStart"/>
            <w:r>
              <w:rPr>
                <w:rFonts w:ascii="Times" w:eastAsia="Times New Roman" w:hAnsi="Times" w:cs="Times"/>
                <w:b/>
                <w:bCs/>
                <w:sz w:val="20"/>
                <w:szCs w:val="20"/>
              </w:rPr>
              <w:t>:</w:t>
            </w:r>
            <w:r>
              <w:rPr>
                <w:rFonts w:ascii="Times" w:eastAsia="Times New Roman" w:hAnsi="Times" w:cs="Times"/>
                <w:sz w:val="20"/>
                <w:szCs w:val="20"/>
              </w:rPr>
              <w:t xml:space="preserve"> :</w:t>
            </w:r>
            <w:proofErr w:type="gramEnd"/>
            <w:r>
              <w:rPr>
                <w:rFonts w:ascii="Times" w:eastAsia="Times New Roman" w:hAnsi="Times" w:cs="Times"/>
                <w:sz w:val="20"/>
                <w:szCs w:val="20"/>
              </w:rPr>
              <w:t xml:space="preserve"> . : Publication Approved ;Publication Date ;End of Comment Period . : Publication Approved ;Publication Date ;End of Comment Period . Undetermined: Publication </w:t>
            </w:r>
            <w:proofErr w:type="gramStart"/>
            <w:r>
              <w:rPr>
                <w:rFonts w:ascii="Times" w:eastAsia="Times New Roman" w:hAnsi="Times" w:cs="Times"/>
                <w:sz w:val="20"/>
                <w:szCs w:val="20"/>
              </w:rPr>
              <w:t>Approved ;Publication</w:t>
            </w:r>
            <w:proofErr w:type="gramEnd"/>
            <w:r>
              <w:rPr>
                <w:rFonts w:ascii="Times" w:eastAsia="Times New Roman" w:hAnsi="Times" w:cs="Times"/>
                <w:sz w:val="20"/>
                <w:szCs w:val="20"/>
              </w:rPr>
              <w:t xml:space="preserve"> Date ;End of Comment Period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FRA withdraws its March 10, 2016, ANPRM concerning evaluation of safety sensitive personnel for moderate-to-severe obstructive sleep apnea. FRA and the Federal Motor Carrier Safety Administration (FMCSA) sought data and information concerning the prevalence of moderate-to-severe obstructive sleep apnea (OSA) among individuals occupying safety sensitive positions in highway and rail transportation, and on its potential consequences for the safety of rail and highway transportation. The Agencies also requested information on potential costs and benefits from regulatory actions that address the safety risks associated with motor carrier and rail transportation workers in safety sensitive positions who have OSA. Upon review of all public comments to the ANPRM, FRA has determined there is not enough information available to support moving forward with a rulemaking action and so the rulemaking has withdrawn. This rulemaking will not appear on next month's DOT report on significant rulemakings.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10/08/2015</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Withdrawal: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08/08/2017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Withdrawal:</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58" w:name="58"/>
            <w:r>
              <w:rPr>
                <w:rFonts w:ascii="Times" w:eastAsia="Times New Roman" w:hAnsi="Times" w:cs="Times"/>
                <w:sz w:val="20"/>
                <w:szCs w:val="20"/>
              </w:rPr>
              <w:t>Federal Railroad Administration</w:t>
            </w:r>
            <w:bookmarkEnd w:id="58"/>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Track Safety Standards; Improving Rail Integrity</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Track Safety Standards; Improving Rail Integrity</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2130-AC53</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 xml:space="preserve">Previous </w:t>
            </w:r>
            <w:proofErr w:type="gramStart"/>
            <w:r>
              <w:rPr>
                <w:rFonts w:ascii="Times" w:eastAsia="Times New Roman" w:hAnsi="Times" w:cs="Times"/>
                <w:b/>
                <w:bCs/>
                <w:sz w:val="20"/>
                <w:szCs w:val="20"/>
              </w:rPr>
              <w:t>Stage:</w:t>
            </w:r>
            <w:r>
              <w:rPr>
                <w:rFonts w:ascii="Times" w:eastAsia="Times New Roman" w:hAnsi="Times" w:cs="Times"/>
                <w:sz w:val="20"/>
                <w:szCs w:val="20"/>
              </w:rPr>
              <w:t>None</w:t>
            </w:r>
            <w:proofErr w:type="gramEnd"/>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Proper recognition and understanding of dangerous track conditions and defects is critical to avoiding train derailments. FRA is proposing this rulemaking to help ensure railroads identify and take proper remedial action to address dangerous track conditions before accidents occur. This rulemaking would amend or add regulations addressing rail defect continuous testing, rail head wear, inspection records, continuous welded rail, rail inspection car operator qualifications, and rail inspection frequencies.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05/26/2014</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03/05/2018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04/19/2018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07/18/2018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05/27/2016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09/28/2018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59" w:name="59"/>
            <w:r>
              <w:rPr>
                <w:rFonts w:ascii="Times" w:eastAsia="Times New Roman" w:hAnsi="Times" w:cs="Times"/>
                <w:b/>
                <w:bCs/>
                <w:sz w:val="20"/>
                <w:szCs w:val="20"/>
              </w:rPr>
              <w:t>Federal Transit Administration</w:t>
            </w:r>
          </w:p>
        </w:tc>
      </w:tr>
      <w:tr w:rsidR="001C0CEB">
        <w:trPr>
          <w:tblCellSpacing w:w="24" w:type="dxa"/>
        </w:trPr>
        <w:tc>
          <w:tcPr>
            <w:tcW w:w="0" w:type="auto"/>
            <w:gridSpan w:val="2"/>
            <w:vAlign w:val="center"/>
            <w:hideMark/>
          </w:tcPr>
          <w:p w:rsidR="001C0CEB" w:rsidRDefault="00422C26">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59"/>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C0CE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Core Capacity Projects (Fast Act)</w:t>
                  </w:r>
                </w:p>
              </w:tc>
              <w:tc>
                <w:tcPr>
                  <w:tcW w:w="360" w:type="dxa"/>
                  <w:tcBorders>
                    <w:top w:val="outset" w:sz="6" w:space="0" w:color="008000"/>
                    <w:left w:val="outset" w:sz="6" w:space="0" w:color="008000"/>
                    <w:bottom w:val="outset" w:sz="6" w:space="0" w:color="008000"/>
                    <w:right w:val="outset" w:sz="6" w:space="0" w:color="008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Green</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2132-AB17</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Other</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Final Capital Investment Grant Program Interim Policy Guidance document currently serves as a guide for the Capital Investment Grant program. The guidance is arranged in chapters that outline the requirements associated with each project type (New Starts, Small Starts, and Core Capacity) as well as eligibility, steps in the process, evaluation criteria, and project rating. Because this policy guidance governs the Capital Investment Grant program process, we are terminating this rulemaking to update the Major Capital Investment Projects regulation.</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Other:</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4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Termination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04/04/2017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Other:</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60" w:name="60"/>
            <w:r>
              <w:rPr>
                <w:rFonts w:ascii="Times" w:eastAsia="Times New Roman" w:hAnsi="Times" w:cs="Times"/>
                <w:sz w:val="20"/>
                <w:szCs w:val="20"/>
              </w:rPr>
              <w:t>Federal Transit Administration</w:t>
            </w:r>
            <w:bookmarkEnd w:id="60"/>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1C0CEB">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National and Public Transportation Safety Plans (MAP-21) and 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Green</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2132-AB20</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Withdrawal</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a joint ANPRM for certain requirements of the Public Transportation Safety Program and the National Transit Asset Management System. Safety: This rule, mandated by MAP-21, will create and implement a National Public Transportation Safety Plan that will include: (1) safety performance criteria for all modes of public transportation; (2) the definition of State of Good Repair established under separate rulemaking; (3) minimum safety performance standards for public transportation vehicles used in revenue operations that do not apply to vehicles regulated by another Federal agency; and (4) a public transportation safety certification training program. This rule will also establish requirements for each 5307 and 5311 </w:t>
            </w:r>
            <w:proofErr w:type="gramStart"/>
            <w:r>
              <w:rPr>
                <w:rFonts w:ascii="Times" w:eastAsia="Times New Roman" w:hAnsi="Times" w:cs="Times"/>
                <w:sz w:val="20"/>
                <w:szCs w:val="20"/>
              </w:rPr>
              <w:t>recipient</w:t>
            </w:r>
            <w:proofErr w:type="gramEnd"/>
            <w:r>
              <w:rPr>
                <w:rFonts w:ascii="Times" w:eastAsia="Times New Roman" w:hAnsi="Times" w:cs="Times"/>
                <w:sz w:val="20"/>
                <w:szCs w:val="20"/>
              </w:rPr>
              <w:t xml:space="preserve"> in developing and implementing individual agency safety plans. This rule has been broken into three separate rulemakings under different RINs for the Agency Safety Plans, the training certification program, and Transit Asset Management, and, as such, this RIN will be withdrawn.</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Withdrawal: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04"/>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Notice of Withdrawal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06/01/2017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04/17/2017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Withdrawal:</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61" w:name="61"/>
            <w:r>
              <w:rPr>
                <w:rFonts w:ascii="Times" w:eastAsia="Times New Roman" w:hAnsi="Times" w:cs="Times"/>
                <w:sz w:val="20"/>
                <w:szCs w:val="20"/>
              </w:rPr>
              <w:t>Federal Transit Administration</w:t>
            </w:r>
            <w:bookmarkEnd w:id="61"/>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Public Transportation Agency Safety Plans</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Public Transportation Agency Safety Plans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2132-AB23</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02/05/2016; End of C/P: 04/05/2016</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requirements for States or recipients to develop and implement individual agency safety plans. The requirements of this rulemaking will be based on the principles and concepts of Safety Management Systems (SMS). SMS is the formal, top-down, organization-wide approach to managing safety risks and assuring the effectiveness of a transit agency´s safety risk controls. SMS includes systematic procedures, practices, and policies for managing hazards and risks.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09/15/2014</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16"/>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10/06/2016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10/24/2016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01/06/2017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01/23/2017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62" w:name="62"/>
            <w:r>
              <w:rPr>
                <w:rFonts w:ascii="Times" w:eastAsia="Times New Roman" w:hAnsi="Times" w:cs="Times"/>
                <w:sz w:val="20"/>
                <w:szCs w:val="20"/>
              </w:rPr>
              <w:t>Federal Transit Administration</w:t>
            </w:r>
            <w:bookmarkEnd w:id="62"/>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Metropolitan Planning Organization (MPO) Coordination</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MPO Coordination</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2132-AB28</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06/27/2016; End of C/P: 08/26/2016 NPRM: Publication Approved 06/17/</w:t>
            </w:r>
            <w:proofErr w:type="gramStart"/>
            <w:r>
              <w:rPr>
                <w:rFonts w:ascii="Times" w:eastAsia="Times New Roman" w:hAnsi="Times" w:cs="Times"/>
                <w:sz w:val="20"/>
                <w:szCs w:val="20"/>
              </w:rPr>
              <w:t>2016;Publication</w:t>
            </w:r>
            <w:proofErr w:type="gramEnd"/>
            <w:r>
              <w:rPr>
                <w:rFonts w:ascii="Times" w:eastAsia="Times New Roman" w:hAnsi="Times" w:cs="Times"/>
                <w:sz w:val="20"/>
                <w:szCs w:val="20"/>
              </w:rPr>
              <w:t xml:space="preserve"> Date 06/27/2016;End of Comment Period 08/26/2016;Analyzing Comments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provide methods for improving MPO coordination in the transportation planning process, recognizing the critical role that transportation plays in ensuring the economic well-being of a region and the role that MPOs play in identifying efficient improvements that serve the region's mobility needs. The changes under consideration in the rulemaking are intended to enable MPOs to speak with a stronger, more unified voice, to increase efficiencies and reduce project delivery times, and to improve the extent to which transportation investments reflect the needs and priorities of a metropolitan region.</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09/24/2015</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11/07/2016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11/11/2016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12/13/2016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12/20/2016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63" w:name="63"/>
            <w:r>
              <w:rPr>
                <w:rFonts w:ascii="Times" w:eastAsia="Times New Roman" w:hAnsi="Times" w:cs="Times"/>
                <w:sz w:val="20"/>
                <w:szCs w:val="20"/>
              </w:rPr>
              <w:t>Federal Transit Administration</w:t>
            </w:r>
            <w:bookmarkEnd w:id="63"/>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Protecting Transit Operators from the Risk of Assaults</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Operator Assault</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2132-AB30</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Pursuant to section 3022 of the Fixing America's Surface Transportation Act (Pub. L. 114-94; December 4, 2015) (FAST Act), FTA proposes to require recipients of Federal transit funding to assess the risk of assault to transit operators and then determine what, if any, mitigation should be implemented to ensure the safety of its transit operators. In accordance with the FAST Act, FTA will consider the different safety needs of drivers of different modes, differences in operating environments, the use of technology to mitigate driver assault risks, existing experience, and the impact of the rule on future rolling stock procurements and vehicles currently in revenue service.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12/04/2015</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02/21/2017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08/28/2017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06/21/2017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12/29/2017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02/28/2018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64" w:name="64"/>
            <w:r>
              <w:rPr>
                <w:rFonts w:ascii="Times" w:eastAsia="Times New Roman" w:hAnsi="Times" w:cs="Times"/>
                <w:sz w:val="20"/>
                <w:szCs w:val="20"/>
              </w:rPr>
              <w:t>Federal Transit Administration</w:t>
            </w:r>
            <w:bookmarkEnd w:id="64"/>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Metropolitan Planning Organization Coordination and Planning Area Reform</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MPO Coordination Revision</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2132-AB33</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roofErr w:type="gramStart"/>
            <w:r>
              <w:rPr>
                <w:rFonts w:ascii="Times" w:eastAsia="Times New Roman" w:hAnsi="Times" w:cs="Times"/>
                <w:sz w:val="20"/>
                <w:szCs w:val="20"/>
              </w:rPr>
              <w:t>. :</w:t>
            </w:r>
            <w:proofErr w:type="gramEnd"/>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transportation planning regulations by removing the recently enacted provisions requiring that boundaries of metropolitan planning areas (MPA) include an urbanized area in its entirety and include the contiguous area expected to become urbanized within a 20-year forecast period for the metropolitan transportation plan. This rulemaking would also remove requirements for metropolitan planning organizations (MPO) to merge, create unified transportation planning products, or petition the Secretary for an exemption when there is more than one MPO in an MPA. This change would result in cost savings and reduce burdens for regulatory compliance.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03/10/2017</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03/17/2017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03/16/2017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03/17/2017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04/04/2017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06/19/2017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09/29/2017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65" w:name="65"/>
            <w:r>
              <w:rPr>
                <w:rFonts w:ascii="Times" w:eastAsia="Times New Roman" w:hAnsi="Times" w:cs="Times"/>
                <w:b/>
                <w:bCs/>
                <w:sz w:val="20"/>
                <w:szCs w:val="20"/>
              </w:rPr>
              <w:t>National Highway Traffic Safety Administration</w:t>
            </w:r>
          </w:p>
        </w:tc>
      </w:tr>
      <w:tr w:rsidR="001C0CEB">
        <w:trPr>
          <w:tblCellSpacing w:w="24" w:type="dxa"/>
        </w:trPr>
        <w:tc>
          <w:tcPr>
            <w:tcW w:w="0" w:type="auto"/>
            <w:gridSpan w:val="2"/>
            <w:vAlign w:val="center"/>
            <w:hideMark/>
          </w:tcPr>
          <w:p w:rsidR="001C0CEB" w:rsidRDefault="00422C26">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65"/>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C0CE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Red</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Tire Fuel Efficiency Part 2</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2127-AK76</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25BC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25BC1">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25BC1">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25BC1">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3"/>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66" w:name="66"/>
            <w:r>
              <w:rPr>
                <w:rFonts w:ascii="Times" w:eastAsia="Times New Roman" w:hAnsi="Times" w:cs="Times"/>
                <w:sz w:val="20"/>
                <w:szCs w:val="20"/>
              </w:rPr>
              <w:t>National Highway Traffic Safety Administration</w:t>
            </w:r>
            <w:bookmarkEnd w:id="66"/>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C0CE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Mandatory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Red</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2127-AK86</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12/13/12; End of C/P: 02/11/13</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mandate the installation of Event Data Recorders (EDRs) in light vehicles. Part 563 presently requires vehicle manufacturers who are voluntarily installing EDRs to </w:t>
            </w:r>
            <w:proofErr w:type="gramStart"/>
            <w:r>
              <w:rPr>
                <w:rFonts w:ascii="Times" w:eastAsia="Times New Roman" w:hAnsi="Times" w:cs="Times"/>
                <w:sz w:val="20"/>
                <w:szCs w:val="20"/>
              </w:rPr>
              <w:t>be in compliance with</w:t>
            </w:r>
            <w:proofErr w:type="gramEnd"/>
            <w:r>
              <w:rPr>
                <w:rFonts w:ascii="Times" w:eastAsia="Times New Roman" w:hAnsi="Times" w:cs="Times"/>
                <w:sz w:val="20"/>
                <w:szCs w:val="20"/>
              </w:rPr>
              <w:t xml:space="preserve"> the regulation by September 1, 2012.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2010 baseline of 91.6 percent EDR installation to 100 percent installation, assuming the sale of 15.5 million light vehicles per year.</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25BC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25BC1">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25BC1">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25BC1">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67" w:name="67"/>
            <w:r>
              <w:rPr>
                <w:rFonts w:ascii="Times" w:eastAsia="Times New Roman" w:hAnsi="Times" w:cs="Times"/>
                <w:sz w:val="20"/>
                <w:szCs w:val="20"/>
              </w:rPr>
              <w:t>National Highway Traffic Safety Administration</w:t>
            </w:r>
            <w:bookmarkEnd w:id="67"/>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C0CE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FF0000"/>
                    <w:left w:val="outset" w:sz="6" w:space="0" w:color="FF0000"/>
                    <w:bottom w:val="outset" w:sz="6" w:space="0" w:color="FF0000"/>
                    <w:right w:val="outset" w:sz="6" w:space="0" w:color="FF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Red</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2127-AK92</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08/29/</w:t>
            </w:r>
            <w:proofErr w:type="gramStart"/>
            <w:r>
              <w:rPr>
                <w:rFonts w:ascii="Times" w:eastAsia="Times New Roman" w:hAnsi="Times" w:cs="Times"/>
                <w:sz w:val="20"/>
                <w:szCs w:val="20"/>
              </w:rPr>
              <w:t>2016;Publication</w:t>
            </w:r>
            <w:proofErr w:type="gramEnd"/>
            <w:r>
              <w:rPr>
                <w:rFonts w:ascii="Times" w:eastAsia="Times New Roman" w:hAnsi="Times" w:cs="Times"/>
                <w:sz w:val="20"/>
                <w:szCs w:val="20"/>
              </w:rPr>
              <w:t xml:space="preserve"> Date 09/07/2016;End of Comment Period 11/07/2016.</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68" w:name="68"/>
            <w:r>
              <w:rPr>
                <w:rFonts w:ascii="Times" w:eastAsia="Times New Roman" w:hAnsi="Times" w:cs="Times"/>
                <w:sz w:val="20"/>
                <w:szCs w:val="20"/>
              </w:rPr>
              <w:t>National Highway Traffic Safety Administration</w:t>
            </w:r>
            <w:bookmarkEnd w:id="68"/>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C0CE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Sound for Hybrid and Electric Vehicles</w:t>
                  </w:r>
                </w:p>
              </w:tc>
              <w:tc>
                <w:tcPr>
                  <w:tcW w:w="360" w:type="dxa"/>
                  <w:tcBorders>
                    <w:top w:val="outset" w:sz="6" w:space="0" w:color="FF0000"/>
                    <w:left w:val="outset" w:sz="6" w:space="0" w:color="FF0000"/>
                    <w:bottom w:val="outset" w:sz="6" w:space="0" w:color="FF0000"/>
                    <w:right w:val="outset" w:sz="6" w:space="0" w:color="FF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Red</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2127-AK93</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 xml:space="preserve">Previous </w:t>
            </w:r>
            <w:proofErr w:type="gramStart"/>
            <w:r>
              <w:rPr>
                <w:rFonts w:ascii="Times" w:eastAsia="Times New Roman" w:hAnsi="Times" w:cs="Times"/>
                <w:b/>
                <w:bCs/>
                <w:sz w:val="20"/>
                <w:szCs w:val="20"/>
              </w:rPr>
              <w:t>Stage:</w:t>
            </w:r>
            <w:r>
              <w:rPr>
                <w:rFonts w:ascii="Times" w:eastAsia="Times New Roman" w:hAnsi="Times" w:cs="Times"/>
                <w:sz w:val="20"/>
                <w:szCs w:val="20"/>
              </w:rPr>
              <w:t>None</w:t>
            </w:r>
            <w:proofErr w:type="gramEnd"/>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 The PRIA contains an estimate of 2800 fewer injured pedestrians and pedalcyclists (35 equivalent lives saved) at a total estimated cost of $23.5M at the 3% discount rate and $22.9M at the 7% discount rate should the requirements of the NPRM be made final.</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5"/>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Initiate </w:t>
                  </w:r>
                  <w:proofErr w:type="gramStart"/>
                  <w:r>
                    <w:rPr>
                      <w:rFonts w:ascii="Times" w:eastAsia="Times New Roman" w:hAnsi="Times" w:cs="Times"/>
                      <w:sz w:val="20"/>
                      <w:szCs w:val="20"/>
                    </w:rPr>
                    <w:t>rulemaking :</w:t>
                  </w:r>
                  <w:proofErr w:type="gramEnd"/>
                  <w:r>
                    <w:rPr>
                      <w:rFonts w:ascii="Times" w:eastAsia="Times New Roman" w:hAnsi="Times" w:cs="Times"/>
                      <w:sz w:val="20"/>
                      <w:szCs w:val="20"/>
                    </w:rPr>
                    <w:t xml:space="preserve"> 07/05/2012</w:t>
                  </w:r>
                  <w:r>
                    <w:rPr>
                      <w:rFonts w:ascii="Times" w:eastAsia="Times New Roman" w:hAnsi="Times" w:cs="Times"/>
                      <w:sz w:val="20"/>
                      <w:szCs w:val="20"/>
                    </w:rPr>
                    <w:br/>
                    <w:t>Final Rule : 01/03/2014</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4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06/22/2015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07/08/2015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10/28/2016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Final Rule Delay of Effective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02/06/2017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02/06/2017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Final Rule; Further Delay of Effective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05/22/2017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Further Delayed Effective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09/05/2017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69" w:name="69"/>
            <w:r>
              <w:rPr>
                <w:rFonts w:ascii="Times" w:eastAsia="Times New Roman" w:hAnsi="Times" w:cs="Times"/>
                <w:sz w:val="20"/>
                <w:szCs w:val="20"/>
              </w:rPr>
              <w:t>National Highway Traffic Safety Administration</w:t>
            </w:r>
            <w:bookmarkEnd w:id="69"/>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C0CE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Establish Side Impact Performance Requirements for Child Restraint Systems (MAP-21)</w:t>
                  </w:r>
                </w:p>
              </w:tc>
              <w:tc>
                <w:tcPr>
                  <w:tcW w:w="360" w:type="dxa"/>
                  <w:tcBorders>
                    <w:top w:val="outset" w:sz="6" w:space="0" w:color="FF0000"/>
                    <w:left w:val="outset" w:sz="6" w:space="0" w:color="FF0000"/>
                    <w:bottom w:val="outset" w:sz="6" w:space="0" w:color="FF0000"/>
                    <w:right w:val="outset" w:sz="6" w:space="0" w:color="FF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Red</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2127-AK95</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01/28/14; End of C/P: 04/28/14; Reopen C/P: 06/04/14; End of Reopened C/P: 10/02/14</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Final </w:t>
                  </w:r>
                  <w:proofErr w:type="gramStart"/>
                  <w:r>
                    <w:rPr>
                      <w:rFonts w:ascii="Times" w:eastAsia="Times New Roman" w:hAnsi="Times" w:cs="Times"/>
                      <w:sz w:val="20"/>
                      <w:szCs w:val="20"/>
                    </w:rPr>
                    <w:t>Rule :</w:t>
                  </w:r>
                  <w:proofErr w:type="gramEnd"/>
                  <w:r>
                    <w:rPr>
                      <w:rFonts w:ascii="Times" w:eastAsia="Times New Roman" w:hAnsi="Times" w:cs="Times"/>
                      <w:sz w:val="20"/>
                      <w:szCs w:val="20"/>
                    </w:rPr>
                    <w:t xml:space="preserve"> 10/01/2014</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25BC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25BC1">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25BC1">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25BC1">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70" w:name="70"/>
            <w:r>
              <w:rPr>
                <w:rFonts w:ascii="Times" w:eastAsia="Times New Roman" w:hAnsi="Times" w:cs="Times"/>
                <w:sz w:val="20"/>
                <w:szCs w:val="20"/>
              </w:rPr>
              <w:t>National Highway Traffic Safety Administration</w:t>
            </w:r>
            <w:bookmarkEnd w:id="70"/>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C0CE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Motorcoach Rollover Structural Integrity (MAP-21)</w:t>
                  </w:r>
                </w:p>
              </w:tc>
              <w:tc>
                <w:tcPr>
                  <w:tcW w:w="360" w:type="dxa"/>
                  <w:tcBorders>
                    <w:top w:val="outset" w:sz="6" w:space="0" w:color="FF0000"/>
                    <w:left w:val="outset" w:sz="6" w:space="0" w:color="FF0000"/>
                    <w:bottom w:val="outset" w:sz="6" w:space="0" w:color="FF0000"/>
                    <w:right w:val="outset" w:sz="6" w:space="0" w:color="FF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Red</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Motorcoach Rollover Structural Integrity</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2127-AK96</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08/06/14; End of C/P: 10/06/14</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Publish Final </w:t>
                  </w:r>
                  <w:proofErr w:type="gramStart"/>
                  <w:r>
                    <w:rPr>
                      <w:rFonts w:ascii="Times" w:eastAsia="Times New Roman" w:hAnsi="Times" w:cs="Times"/>
                      <w:sz w:val="20"/>
                      <w:szCs w:val="20"/>
                    </w:rPr>
                    <w:t>Rule :</w:t>
                  </w:r>
                  <w:proofErr w:type="gramEnd"/>
                  <w:r>
                    <w:rPr>
                      <w:rFonts w:ascii="Times" w:eastAsia="Times New Roman" w:hAnsi="Times" w:cs="Times"/>
                      <w:sz w:val="20"/>
                      <w:szCs w:val="20"/>
                    </w:rPr>
                    <w:t xml:space="preserve"> 10/01/2014</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NHTSA–2014–0085</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25BC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25BC1">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25BC1">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25BC1">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225BC1" w:rsidRDefault="00225BC1"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71" w:name="71"/>
            <w:r>
              <w:rPr>
                <w:rFonts w:ascii="Times" w:eastAsia="Times New Roman" w:hAnsi="Times" w:cs="Times"/>
                <w:sz w:val="20"/>
                <w:szCs w:val="20"/>
              </w:rPr>
              <w:t>National Highway Traffic Safety Administration</w:t>
            </w:r>
            <w:bookmarkEnd w:id="71"/>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C0CE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Red</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2127-AL01</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Undetermined: Publication </w:t>
            </w:r>
            <w:proofErr w:type="gramStart"/>
            <w:r>
              <w:rPr>
                <w:rFonts w:ascii="Times" w:eastAsia="Times New Roman" w:hAnsi="Times" w:cs="Times"/>
                <w:sz w:val="20"/>
                <w:szCs w:val="20"/>
              </w:rPr>
              <w:t>Approved ;Publication</w:t>
            </w:r>
            <w:proofErr w:type="gramEnd"/>
            <w:r>
              <w:rPr>
                <w:rFonts w:ascii="Times" w:eastAsia="Times New Roman" w:hAnsi="Times" w:cs="Times"/>
                <w:sz w:val="20"/>
                <w:szCs w:val="20"/>
              </w:rPr>
              <w:t xml:space="preserve"> Date ;End of Comment Period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w:t>
            </w:r>
            <w:proofErr w:type="gramStart"/>
            <w:r>
              <w:rPr>
                <w:rFonts w:ascii="Times" w:eastAsia="Times New Roman" w:hAnsi="Times" w:cs="Times"/>
                <w:sz w:val="20"/>
                <w:szCs w:val="20"/>
              </w:rPr>
              <w:t>aforementioned criteria</w:t>
            </w:r>
            <w:proofErr w:type="gramEnd"/>
            <w:r>
              <w:rPr>
                <w:rFonts w:ascii="Times" w:eastAsia="Times New Roman" w:hAnsi="Times" w:cs="Times"/>
                <w:sz w:val="20"/>
                <w:szCs w:val="20"/>
              </w:rPr>
              <w:t>. This rulemaking would be responsive to requirements of MAP-21 legislation.</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72" w:name="72"/>
            <w:r>
              <w:rPr>
                <w:rFonts w:ascii="Times" w:eastAsia="Times New Roman" w:hAnsi="Times" w:cs="Times"/>
                <w:sz w:val="20"/>
                <w:szCs w:val="20"/>
              </w:rPr>
              <w:t>National Highway Traffic Safety Administration</w:t>
            </w:r>
            <w:bookmarkEnd w:id="72"/>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Part 572 Q3s 3-year-old Side Impact Dummy (MAP-21)</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572 Q3s Side Impact Dummy</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2127-AL04</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11/21/13; End of C/P: 01/24/14</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incorporate a new anthropomorphic test device in Title 49, Part 572 of the CFR. The new device is a crash test dummy that represents a 3-year-old-child. The dummy, known as the Q3s, was developed to evaluate injuries to children in side impact crashes. If adopted into Part 572, NHTSA would be able to propose the new dummy´s use in future side impact upgrades of Federal Motor Vehicle Safety Standard No. 213, "Child restraint systems." This rulemaking would be responsive to requirements of the Moving Ahead for Progress in the 21st Century (MAP-21) Act.</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Publish Final </w:t>
                  </w:r>
                  <w:proofErr w:type="gramStart"/>
                  <w:r>
                    <w:rPr>
                      <w:rFonts w:ascii="Times" w:eastAsia="Times New Roman" w:hAnsi="Times" w:cs="Times"/>
                      <w:sz w:val="20"/>
                      <w:szCs w:val="20"/>
                    </w:rPr>
                    <w:t>Rule :</w:t>
                  </w:r>
                  <w:proofErr w:type="gramEnd"/>
                  <w:r>
                    <w:rPr>
                      <w:rFonts w:ascii="Times" w:eastAsia="Times New Roman" w:hAnsi="Times" w:cs="Times"/>
                      <w:sz w:val="20"/>
                      <w:szCs w:val="20"/>
                    </w:rPr>
                    <w:t xml:space="preserve"> 10/01/2014</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06/08/2011</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3B93" w:rsidTr="00803B93">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3B93" w:rsidTr="00803B93">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3B93" w:rsidTr="00803B93">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3B93" w:rsidTr="00803B93">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73" w:name="73"/>
            <w:r>
              <w:rPr>
                <w:rFonts w:ascii="Times" w:eastAsia="Times New Roman" w:hAnsi="Times" w:cs="Times"/>
                <w:sz w:val="20"/>
                <w:szCs w:val="20"/>
              </w:rPr>
              <w:t>National Highway Traffic Safety Administration</w:t>
            </w:r>
            <w:bookmarkEnd w:id="73"/>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Consumer Information on Fuel Economy, Emissions, and Alternative Fuel Usage</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Alternative Fuel Consumer Information</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2127-AL12</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 xml:space="preserve">Previous </w:t>
            </w:r>
            <w:proofErr w:type="gramStart"/>
            <w:r>
              <w:rPr>
                <w:rFonts w:ascii="Times" w:eastAsia="Times New Roman" w:hAnsi="Times" w:cs="Times"/>
                <w:b/>
                <w:bCs/>
                <w:sz w:val="20"/>
                <w:szCs w:val="20"/>
              </w:rPr>
              <w:t>Stage:</w:t>
            </w:r>
            <w:r>
              <w:rPr>
                <w:rFonts w:ascii="Times" w:eastAsia="Times New Roman" w:hAnsi="Times" w:cs="Times"/>
                <w:sz w:val="20"/>
                <w:szCs w:val="20"/>
              </w:rPr>
              <w:t>None</w:t>
            </w:r>
            <w:proofErr w:type="gramEnd"/>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as required by the Energy Independence and Security Act of 2007 (EISA) and promulgated under 49 USC § 32908 (g), develop and implement a consumer information campaign to: (1) improve understanding of automobile performance related to fuel economy, greenhouse gas emissions, and other pollutant emissions; (2) inform consumers of the benefits of using alternative fuels and the location of alternative fueling stations; (3) and increase awareness of automotive thermal management technologies. This rulemaking is the third, and final, phase of consumer information initiatives required by EISA. The first phase promulgated new Fuel Economy and Environment labels for new automobiles, and was finalized in May 2011 (2127-AK73). The second phase (2127-AK75), currently being developed, addresses EISA requirements to: affix a permanent and prominent display that identifies new automobiles that are capable of operating on alternative fuels; attach a label to the fuel tank filler compartment of alternative fuel vehicles; and include in the owner´s manual for vehicles capable of operating on alternative fuels information describing the benefits of using alternative fuels, including their renewable nature and environmental benefits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989"/>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EISA statutory </w:t>
                  </w:r>
                  <w:proofErr w:type="gramStart"/>
                  <w:r>
                    <w:rPr>
                      <w:rFonts w:ascii="Times" w:eastAsia="Times New Roman" w:hAnsi="Times" w:cs="Times"/>
                      <w:sz w:val="20"/>
                      <w:szCs w:val="20"/>
                    </w:rPr>
                    <w:t>deadline :</w:t>
                  </w:r>
                  <w:proofErr w:type="gramEnd"/>
                  <w:r>
                    <w:rPr>
                      <w:rFonts w:ascii="Times" w:eastAsia="Times New Roman" w:hAnsi="Times" w:cs="Times"/>
                      <w:sz w:val="20"/>
                      <w:szCs w:val="20"/>
                    </w:rPr>
                    <w:t xml:space="preserve"> 06/16/2011</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3B9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3B93">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3B93">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3B93">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74" w:name="74"/>
            <w:r>
              <w:rPr>
                <w:rFonts w:ascii="Times" w:eastAsia="Times New Roman" w:hAnsi="Times" w:cs="Times"/>
                <w:sz w:val="20"/>
                <w:szCs w:val="20"/>
              </w:rPr>
              <w:t>National Highway Traffic Safety Administration</w:t>
            </w:r>
            <w:bookmarkEnd w:id="74"/>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6" w:rightFromText="36"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4" w:type="dxa"/>
                <w:left w:w="24" w:type="dxa"/>
                <w:bottom w:w="24" w:type="dxa"/>
                <w:right w:w="24" w:type="dxa"/>
              </w:tblCellMar>
              <w:tblLook w:val="04A0" w:firstRow="1" w:lastRow="0" w:firstColumn="1" w:lastColumn="0" w:noHBand="0" w:noVBand="1"/>
            </w:tblPr>
            <w:tblGrid>
              <w:gridCol w:w="7973"/>
              <w:gridCol w:w="667"/>
            </w:tblGrid>
            <w:tr w:rsidR="001C0CEB">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Amend Definition of 3-Wheeled Vehicles</w:t>
                  </w:r>
                </w:p>
              </w:tc>
              <w:tc>
                <w:tcPr>
                  <w:tcW w:w="360" w:type="dxa"/>
                  <w:tcBorders>
                    <w:top w:val="outset" w:sz="6" w:space="0" w:color="FFFF00"/>
                    <w:left w:val="outset" w:sz="6" w:space="0" w:color="FFFF00"/>
                    <w:bottom w:val="outset" w:sz="6" w:space="0" w:color="FFFF00"/>
                    <w:right w:val="outset" w:sz="6" w:space="0" w:color="FFFF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Yellow</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 Definition of 3-Wheeled Vehicles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2127-AL15</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w:t>
            </w:r>
            <w:proofErr w:type="gramStart"/>
            <w:r>
              <w:rPr>
                <w:rFonts w:ascii="Times" w:eastAsia="Times New Roman" w:hAnsi="Times" w:cs="Times"/>
                <w:sz w:val="20"/>
                <w:szCs w:val="20"/>
              </w:rPr>
              <w:t>Date ;End</w:t>
            </w:r>
            <w:proofErr w:type="gramEnd"/>
            <w:r>
              <w:rPr>
                <w:rFonts w:ascii="Times" w:eastAsia="Times New Roman" w:hAnsi="Times" w:cs="Times"/>
                <w:sz w:val="20"/>
                <w:szCs w:val="20"/>
              </w:rPr>
              <w:t xml:space="preserve"> of Comment Period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regulatory definition of motorcycle to exclude three-wheeled vehicles that are configured like passenger cars. Under the existing regulatory definition of motorcycle in Part 571.3, three-wheeled motor vehicles are classified as motorcycles. This is appropriate for motorcycles with sidecars, trikes, and other three-wheeled vehicles that are based on a motorcycle-like configuration. However, other three-wheeled vehicles have passenger-car characteristics such as fully enclosed cabins, hinged doors with roll-up windows, steering wheels, and side-by-side seating. Because these car-like vehicles ride on three wheels instead of four, they are not required to meet federal safety standards for passenger cars (although they are subject to motorcycle safety standards.) Various car-like three-wheeled vehicle models have been imported into the U.S. and have been available for sale to the public. NHTSA believes consumers who purchase these vehicles are likely to assume that these vehicles have the same safety features and crash protection as passenger cars certified to federal safety standards.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02/10/2012</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803B9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3B93">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3B93">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803B93">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803B93" w:rsidRDefault="00803B93"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75" w:name="75"/>
            <w:r>
              <w:rPr>
                <w:rFonts w:ascii="Times" w:eastAsia="Times New Roman" w:hAnsi="Times" w:cs="Times"/>
                <w:sz w:val="20"/>
                <w:szCs w:val="20"/>
              </w:rPr>
              <w:t>National Highway Traffic Safety Administration</w:t>
            </w:r>
            <w:bookmarkEnd w:id="75"/>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Upgrade of LATCH Usability Requirements (MAP-21) (RRR)</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Upgrade of LATCH Usability Requirements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2127-AL20</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01/23/15; End of C/P: 03/24/15</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FMVSS No. 225, "Child restraint anchorage systems," to improve the ease of use of lower anchorages and tethers in all rear seating positions in accordance with the Moving Ahead for Progress in the 21st Century Act (MAP-21), P.L. 112-141, address comments on LATCH usability received in response to the public, and standardize features of LATCH for enabling simple and standardized consumer messaging to facilitate increased LATCH use and correct child seat installation. This upgrade of FMVSS No. 225 is in accordance with Section 6 of Executive Order 13563 (76 FR 3821, January 21, 2011) that urges agencies to conduct periodic retrospective evaluation of regulations and modify, streamline, expand, or repeal them in accordance with what has been learned from the evaluation.</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Initiate </w:t>
                  </w:r>
                  <w:proofErr w:type="gramStart"/>
                  <w:r>
                    <w:rPr>
                      <w:rFonts w:ascii="Times" w:eastAsia="Times New Roman" w:hAnsi="Times" w:cs="Times"/>
                      <w:sz w:val="20"/>
                      <w:szCs w:val="20"/>
                    </w:rPr>
                    <w:t>NPRM :</w:t>
                  </w:r>
                  <w:proofErr w:type="gramEnd"/>
                  <w:r>
                    <w:rPr>
                      <w:rFonts w:ascii="Times" w:eastAsia="Times New Roman" w:hAnsi="Times" w:cs="Times"/>
                      <w:sz w:val="20"/>
                      <w:szCs w:val="20"/>
                    </w:rPr>
                    <w:t xml:space="preserve"> 10/01/2013</w:t>
                  </w:r>
                  <w:r>
                    <w:rPr>
                      <w:rFonts w:ascii="Times" w:eastAsia="Times New Roman" w:hAnsi="Times" w:cs="Times"/>
                      <w:sz w:val="20"/>
                      <w:szCs w:val="20"/>
                    </w:rPr>
                    <w:br/>
                    <w:t>Publish Final Rule : 10/01/2015</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02/27/2012</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p w:rsidR="001C0CEB" w:rsidRDefault="001C0CEB">
            <w:pPr>
              <w:rPr>
                <w:rFonts w:ascii="Times" w:eastAsia="Times New Roman" w:hAnsi="Times" w:cs="Times"/>
                <w:sz w:val="20"/>
                <w:szCs w:val="20"/>
              </w:rPr>
            </w:pPr>
            <w:r>
              <w:rPr>
                <w:rFonts w:ascii="Times" w:eastAsia="Times New Roman" w:hAnsi="Times" w:cs="Times"/>
                <w:b/>
                <w:bCs/>
                <w:sz w:val="20"/>
                <w:szCs w:val="20"/>
              </w:rPr>
              <w:t>Dates for Undetermined:</w:t>
            </w:r>
          </w:p>
        </w:tc>
      </w:tr>
      <w:tr w:rsidR="001C0CEB">
        <w:trPr>
          <w:tblCellSpacing w:w="24" w:type="dxa"/>
        </w:trPr>
        <w:tc>
          <w:tcPr>
            <w:tcW w:w="0" w:type="auto"/>
            <w:gridSpan w:val="2"/>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7F6995" w:rsidT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F6995" w:rsidT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F6995" w:rsidRDefault="007F6995" w:rsidP="007F69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rPr>
                      <w:rFonts w:ascii="Times" w:eastAsia="Times New Roman" w:hAnsi="Times" w:cs="Times"/>
                      <w:sz w:val="20"/>
                      <w:szCs w:val="20"/>
                    </w:rPr>
                  </w:pPr>
                </w:p>
              </w:tc>
            </w:tr>
            <w:tr w:rsidR="007F6995" w:rsidT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F6995" w:rsidRDefault="007F6995" w:rsidP="007F69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rPr>
                      <w:rFonts w:ascii="Times" w:eastAsia="Times New Roman" w:hAnsi="Times" w:cs="Times"/>
                      <w:sz w:val="20"/>
                      <w:szCs w:val="20"/>
                    </w:rPr>
                  </w:pPr>
                </w:p>
              </w:tc>
            </w:tr>
            <w:tr w:rsidR="007F6995" w:rsidT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F6995" w:rsidRDefault="007F6995" w:rsidP="007F69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rPr>
                      <w:rFonts w:ascii="Times" w:eastAsia="Times New Roman" w:hAnsi="Times" w:cs="Times"/>
                      <w:sz w:val="20"/>
                      <w:szCs w:val="20"/>
                    </w:rPr>
                  </w:pPr>
                </w:p>
              </w:tc>
            </w:tr>
            <w:tr w:rsidR="007F6995" w:rsidT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F6995" w:rsidRDefault="007F6995" w:rsidP="007F69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7F6995" w:rsidRDefault="007F6995" w:rsidP="007F6995">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Explanation for any delay:</w:t>
            </w:r>
            <w:r>
              <w:rPr>
                <w:rFonts w:ascii="Times" w:eastAsia="Times New Roman" w:hAnsi="Times" w:cs="Times"/>
                <w:sz w:val="20"/>
                <w:szCs w:val="20"/>
              </w:rPr>
              <w:t xml:space="preserve"> N/A</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76" w:name="76"/>
            <w:r>
              <w:rPr>
                <w:rFonts w:ascii="Times" w:eastAsia="Times New Roman" w:hAnsi="Times" w:cs="Times"/>
                <w:sz w:val="20"/>
                <w:szCs w:val="20"/>
              </w:rPr>
              <w:t>National Highway Traffic Safety Administration</w:t>
            </w:r>
            <w:bookmarkEnd w:id="76"/>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Upgrade FMVSS No. 213 for Improved Child Occupant Protection</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FMVSS No. 213 Upgrade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2127-AL34</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 xml:space="preserve">Previous </w:t>
            </w:r>
            <w:proofErr w:type="gramStart"/>
            <w:r>
              <w:rPr>
                <w:rFonts w:ascii="Times" w:eastAsia="Times New Roman" w:hAnsi="Times" w:cs="Times"/>
                <w:b/>
                <w:bCs/>
                <w:sz w:val="20"/>
                <w:szCs w:val="20"/>
              </w:rPr>
              <w:t>Stage:</w:t>
            </w:r>
            <w:r>
              <w:rPr>
                <w:rFonts w:ascii="Times" w:eastAsia="Times New Roman" w:hAnsi="Times" w:cs="Times"/>
                <w:sz w:val="20"/>
                <w:szCs w:val="20"/>
              </w:rPr>
              <w:t>None</w:t>
            </w:r>
            <w:proofErr w:type="gramEnd"/>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section 31501(b) of MAP-21, this rulemaking would upgrade FMVSS No. 213 seat assembly and test parameters. NHTSA is considering updates to the standard seat geometry, seat cushion stiffness, and seat belt assembly that better replicate real world conditions. In addition, revision to the frontal crash sled pulse is </w:t>
            </w:r>
            <w:proofErr w:type="gramStart"/>
            <w:r>
              <w:rPr>
                <w:rFonts w:ascii="Times" w:eastAsia="Times New Roman" w:hAnsi="Times" w:cs="Times"/>
                <w:sz w:val="20"/>
                <w:szCs w:val="20"/>
              </w:rPr>
              <w:t>being considered to be</w:t>
            </w:r>
            <w:proofErr w:type="gramEnd"/>
            <w:r>
              <w:rPr>
                <w:rFonts w:ascii="Times" w:eastAsia="Times New Roman" w:hAnsi="Times" w:cs="Times"/>
                <w:sz w:val="20"/>
                <w:szCs w:val="20"/>
              </w:rPr>
              <w:t xml:space="preserve"> more representative of crash pulses of the current vehicle fleet. Prior to MAP-21, the agency had expressed its intention of examining potential upgrades to the frontal sled test in FMVSS No. 213 in its 2009-2011 Priority Plan (76 FR 17808, Docket No. NHTSA-2009-0108).</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662"/>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Initiate </w:t>
                  </w:r>
                  <w:proofErr w:type="gramStart"/>
                  <w:r>
                    <w:rPr>
                      <w:rFonts w:ascii="Times" w:eastAsia="Times New Roman" w:hAnsi="Times" w:cs="Times"/>
                      <w:sz w:val="20"/>
                      <w:szCs w:val="20"/>
                    </w:rPr>
                    <w:t>Rulemaking :</w:t>
                  </w:r>
                  <w:proofErr w:type="gramEnd"/>
                  <w:r>
                    <w:rPr>
                      <w:rFonts w:ascii="Times" w:eastAsia="Times New Roman" w:hAnsi="Times" w:cs="Times"/>
                      <w:sz w:val="20"/>
                      <w:szCs w:val="20"/>
                    </w:rPr>
                    <w:t xml:space="preserve"> 10/01/2014</w:t>
                  </w:r>
                  <w:r>
                    <w:rPr>
                      <w:rFonts w:ascii="Times" w:eastAsia="Times New Roman" w:hAnsi="Times" w:cs="Times"/>
                      <w:sz w:val="20"/>
                      <w:szCs w:val="20"/>
                    </w:rPr>
                    <w:br/>
                    <w:t>Final Rule : 10/01/2016</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01/17/2013</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p w:rsidR="00260A38" w:rsidRDefault="00260A38">
            <w:pPr>
              <w:rPr>
                <w:rFonts w:ascii="Times" w:eastAsia="Times New Roman" w:hAnsi="Times" w:cs="Times"/>
                <w:sz w:val="20"/>
                <w:szCs w:val="20"/>
              </w:rPr>
            </w:pPr>
            <w:r>
              <w:rPr>
                <w:rFonts w:ascii="Times" w:eastAsia="Times New Roman" w:hAnsi="Times" w:cs="Times"/>
                <w:b/>
                <w:bCs/>
                <w:sz w:val="20"/>
                <w:szCs w:val="20"/>
              </w:rPr>
              <w:t>Dates for Undetermined:</w:t>
            </w:r>
          </w:p>
        </w:tc>
      </w:tr>
      <w:tr w:rsidR="001C0CEB">
        <w:trPr>
          <w:tblCellSpacing w:w="24" w:type="dxa"/>
        </w:trPr>
        <w:tc>
          <w:tcPr>
            <w:tcW w:w="0" w:type="auto"/>
            <w:gridSpan w:val="2"/>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7F6995" w:rsidT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F6995" w:rsidT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F6995" w:rsidRDefault="007F6995" w:rsidP="007F69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rPr>
                      <w:rFonts w:ascii="Times" w:eastAsia="Times New Roman" w:hAnsi="Times" w:cs="Times"/>
                      <w:sz w:val="20"/>
                      <w:szCs w:val="20"/>
                    </w:rPr>
                  </w:pPr>
                </w:p>
              </w:tc>
            </w:tr>
            <w:tr w:rsidR="007F6995" w:rsidT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F6995" w:rsidRDefault="007F6995" w:rsidP="007F69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rPr>
                      <w:rFonts w:ascii="Times" w:eastAsia="Times New Roman" w:hAnsi="Times" w:cs="Times"/>
                      <w:sz w:val="20"/>
                      <w:szCs w:val="20"/>
                    </w:rPr>
                  </w:pPr>
                </w:p>
              </w:tc>
            </w:tr>
            <w:tr w:rsidR="007F6995" w:rsidT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F6995" w:rsidRDefault="007F6995" w:rsidP="007F69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rPr>
                      <w:rFonts w:ascii="Times" w:eastAsia="Times New Roman" w:hAnsi="Times" w:cs="Times"/>
                      <w:sz w:val="20"/>
                      <w:szCs w:val="20"/>
                    </w:rPr>
                  </w:pPr>
                </w:p>
              </w:tc>
            </w:tr>
            <w:tr w:rsidR="007F6995" w:rsidT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F6995" w:rsidRDefault="007F6995" w:rsidP="007F69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7F6995" w:rsidRDefault="007F6995" w:rsidP="007F6995">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Explanation for any delay:</w:t>
            </w:r>
            <w:r>
              <w:rPr>
                <w:rFonts w:ascii="Times" w:eastAsia="Times New Roman" w:hAnsi="Times" w:cs="Times"/>
                <w:sz w:val="20"/>
                <w:szCs w:val="20"/>
              </w:rPr>
              <w:t xml:space="preserve"> N/A</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77" w:name="77"/>
            <w:r>
              <w:rPr>
                <w:rFonts w:ascii="Times" w:eastAsia="Times New Roman" w:hAnsi="Times" w:cs="Times"/>
                <w:sz w:val="20"/>
                <w:szCs w:val="20"/>
              </w:rPr>
              <w:t>National Highway Traffic Safety Administration</w:t>
            </w:r>
            <w:bookmarkEnd w:id="77"/>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Rear Seat Belt Reminder System</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Seat Belt Reminder System</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2127-AL37</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 xml:space="preserve">Previous </w:t>
            </w:r>
            <w:proofErr w:type="gramStart"/>
            <w:r>
              <w:rPr>
                <w:rFonts w:ascii="Times" w:eastAsia="Times New Roman" w:hAnsi="Times" w:cs="Times"/>
                <w:b/>
                <w:bCs/>
                <w:sz w:val="20"/>
                <w:szCs w:val="20"/>
              </w:rPr>
              <w:t>Stage:</w:t>
            </w:r>
            <w:r>
              <w:rPr>
                <w:rFonts w:ascii="Times" w:eastAsia="Times New Roman" w:hAnsi="Times" w:cs="Times"/>
                <w:sz w:val="20"/>
                <w:szCs w:val="20"/>
              </w:rPr>
              <w:t>None</w:t>
            </w:r>
            <w:proofErr w:type="gramEnd"/>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Safety Standard No. 208, "Occupant crash protection," to require automobile manufacturers to install a seat belt reminder system for the front passenger and rear designated seating positions in passenger vehicles. The seat belt reminder system is intended to increase seat belt usage and thereby improve the crash protection of vehicle occupants who would otherwise have been unbelted. This rulemaking would respond in part to a petition for rulemaking submitted by Public Citizen and Advocates for Highway and Auto Safety, as well as to requirements in MAP-21.</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roofErr w:type="gramStart"/>
                  <w:r>
                    <w:rPr>
                      <w:rFonts w:ascii="Times" w:eastAsia="Times New Roman" w:hAnsi="Times" w:cs="Times"/>
                      <w:sz w:val="20"/>
                      <w:szCs w:val="20"/>
                    </w:rPr>
                    <w:t>Initiate :</w:t>
                  </w:r>
                  <w:proofErr w:type="gramEnd"/>
                  <w:r>
                    <w:rPr>
                      <w:rFonts w:ascii="Times" w:eastAsia="Times New Roman" w:hAnsi="Times" w:cs="Times"/>
                      <w:sz w:val="20"/>
                      <w:szCs w:val="20"/>
                    </w:rPr>
                    <w:t xml:space="preserve"> 10/01/2014</w:t>
                  </w:r>
                  <w:r>
                    <w:rPr>
                      <w:rFonts w:ascii="Times" w:eastAsia="Times New Roman" w:hAnsi="Times" w:cs="Times"/>
                      <w:sz w:val="20"/>
                      <w:szCs w:val="20"/>
                    </w:rPr>
                    <w:br/>
                    <w:t>Final Rule : 10/01/2015</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p w:rsidR="00260A38" w:rsidRDefault="00260A38">
            <w:pPr>
              <w:rPr>
                <w:rFonts w:ascii="Times" w:eastAsia="Times New Roman" w:hAnsi="Times" w:cs="Times"/>
                <w:sz w:val="20"/>
                <w:szCs w:val="20"/>
              </w:rPr>
            </w:pPr>
            <w:r>
              <w:rPr>
                <w:rFonts w:ascii="Times" w:eastAsia="Times New Roman" w:hAnsi="Times" w:cs="Times"/>
                <w:b/>
                <w:bCs/>
                <w:sz w:val="20"/>
                <w:szCs w:val="20"/>
              </w:rPr>
              <w:t>Dates for Undetermined:</w:t>
            </w:r>
          </w:p>
        </w:tc>
      </w:tr>
      <w:tr w:rsidR="001C0CEB">
        <w:trPr>
          <w:tblCellSpacing w:w="24" w:type="dxa"/>
        </w:trPr>
        <w:tc>
          <w:tcPr>
            <w:tcW w:w="0" w:type="auto"/>
            <w:gridSpan w:val="2"/>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7F6995" w:rsidT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jc w:val="center"/>
                    <w:rPr>
                      <w:rFonts w:ascii="Times" w:eastAsia="Times New Roman" w:hAnsi="Times" w:cs="Times"/>
                      <w:b/>
                      <w:bCs/>
                      <w:sz w:val="20"/>
                      <w:szCs w:val="20"/>
                    </w:rPr>
                  </w:pPr>
                  <w:bookmarkStart w:id="78" w:name="_Hlk490833615"/>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F6995" w:rsidT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F6995" w:rsidRDefault="007F6995" w:rsidP="007F69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rPr>
                      <w:rFonts w:ascii="Times" w:eastAsia="Times New Roman" w:hAnsi="Times" w:cs="Times"/>
                      <w:sz w:val="20"/>
                      <w:szCs w:val="20"/>
                    </w:rPr>
                  </w:pPr>
                </w:p>
              </w:tc>
            </w:tr>
            <w:tr w:rsidR="007F6995" w:rsidT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F6995" w:rsidRDefault="007F6995" w:rsidP="007F69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rPr>
                      <w:rFonts w:ascii="Times" w:eastAsia="Times New Roman" w:hAnsi="Times" w:cs="Times"/>
                      <w:sz w:val="20"/>
                      <w:szCs w:val="20"/>
                    </w:rPr>
                  </w:pPr>
                </w:p>
              </w:tc>
            </w:tr>
            <w:tr w:rsidR="007F6995" w:rsidT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F6995" w:rsidRDefault="007F6995" w:rsidP="007F69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rPr>
                      <w:rFonts w:ascii="Times" w:eastAsia="Times New Roman" w:hAnsi="Times" w:cs="Times"/>
                      <w:sz w:val="20"/>
                      <w:szCs w:val="20"/>
                    </w:rPr>
                  </w:pPr>
                </w:p>
              </w:tc>
            </w:tr>
            <w:tr w:rsidR="007F6995" w:rsidTr="007F69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F6995" w:rsidRDefault="007F6995" w:rsidP="007F6995">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7F6995">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7F6995" w:rsidRDefault="007F6995" w:rsidP="007F6995">
                  <w:pPr>
                    <w:framePr w:hSpace="36" w:wrap="around" w:vAnchor="text" w:hAnchor="text"/>
                    <w:rPr>
                      <w:rFonts w:ascii="Times" w:eastAsia="Times New Roman" w:hAnsi="Times" w:cs="Times"/>
                      <w:sz w:val="20"/>
                      <w:szCs w:val="20"/>
                    </w:rPr>
                  </w:pPr>
                </w:p>
              </w:tc>
            </w:tr>
            <w:bookmarkEnd w:id="78"/>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Explanation for any delay:</w:t>
            </w:r>
            <w:r>
              <w:rPr>
                <w:rFonts w:ascii="Times" w:eastAsia="Times New Roman" w:hAnsi="Times" w:cs="Times"/>
                <w:sz w:val="20"/>
                <w:szCs w:val="20"/>
              </w:rPr>
              <w:t xml:space="preserve"> N/A</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79" w:name="78"/>
            <w:r>
              <w:rPr>
                <w:rFonts w:ascii="Times" w:eastAsia="Times New Roman" w:hAnsi="Times" w:cs="Times"/>
                <w:sz w:val="20"/>
                <w:szCs w:val="20"/>
              </w:rPr>
              <w:t>National Highway Traffic Safety Administration</w:t>
            </w:r>
            <w:bookmarkEnd w:id="79"/>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Fuel Efficiency Standards for Medium- and Heavy-Duty Vehicles and Work Trucks: Phase 2</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MDHD Cafe Phase 2</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2127-AL52</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07/10/</w:t>
            </w:r>
            <w:proofErr w:type="gramStart"/>
            <w:r>
              <w:rPr>
                <w:rFonts w:ascii="Times" w:eastAsia="Times New Roman" w:hAnsi="Times" w:cs="Times"/>
                <w:sz w:val="20"/>
                <w:szCs w:val="20"/>
              </w:rPr>
              <w:t>2015;Publication</w:t>
            </w:r>
            <w:proofErr w:type="gramEnd"/>
            <w:r>
              <w:rPr>
                <w:rFonts w:ascii="Times" w:eastAsia="Times New Roman" w:hAnsi="Times" w:cs="Times"/>
                <w:sz w:val="20"/>
                <w:szCs w:val="20"/>
              </w:rPr>
              <w:t xml:space="preserve"> Date 07/13/2015;End of Comment Period 10/01/2015.</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fuel efficiency standards for medium- and heavy-duty on-highway vehicles and work trucks for model years beyond 2018. This rulemaking would respond to requirements of the Energy Independence and Security Act of 2007 (EISA), Title 1, Subtitle A, Sections 102 and 108, as they amend 49 USC § 32902, which was signed into law December 19, 2007. The statute requires that NHTSA establish a medium- and heavy-duty on-highway vehicle and work truck fuel efficiency improvement program that achieves the maximum feasible improvement, including standards that are appropriate, cost-effective, and technologically feasible. The law requires that the new standards provide at least 4 full model years of regulatory lead-time and 3 full model years of regulatory stability (i.e., the standards must remain in effect for 3 years before they may be amended). This action would follow the first ever Greenhouse Gas Emissions Standards and Fuel Efficiency Standards for Medium- and Heavy-Duty Engines and Vehicles ("Phase 1") (76 FR 57106, September 15, 2011). In June, 2013, the President's Climate Action Plan called for the Department of Transportation to develop fuel efficiency standards and the Environmental Protection Agency to develop greenhouse gas emission standards in joint rulemaking within the President's second term. In February 2014, the President directed DOT and EPA to complete the second phase of Greenhouse Gas Emissions Standards and Fuel Efficiency Standards for Medium- and Heavy-Duty Engines and Vehicles during his second term.</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04/01/2014</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08/16/2016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10/25/2016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80" w:name="79"/>
            <w:r>
              <w:rPr>
                <w:rFonts w:ascii="Times" w:eastAsia="Times New Roman" w:hAnsi="Times" w:cs="Times"/>
                <w:sz w:val="20"/>
                <w:szCs w:val="20"/>
              </w:rPr>
              <w:t>National Highway Traffic Safety Administration</w:t>
            </w:r>
            <w:bookmarkEnd w:id="80"/>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Federal Motor Vehicle Safety Standard (FMVSS) 150 - Vehicle to Vehicle (V2V) Communication</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Vehicle to Vehicle (V2V) Communication</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2127-AL55</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NPRM: Publication Approved 12/28/</w:t>
            </w:r>
            <w:proofErr w:type="gramStart"/>
            <w:r>
              <w:rPr>
                <w:rFonts w:ascii="Times" w:eastAsia="Times New Roman" w:hAnsi="Times" w:cs="Times"/>
                <w:sz w:val="20"/>
                <w:szCs w:val="20"/>
              </w:rPr>
              <w:t>2016;Publication</w:t>
            </w:r>
            <w:proofErr w:type="gramEnd"/>
            <w:r>
              <w:rPr>
                <w:rFonts w:ascii="Times" w:eastAsia="Times New Roman" w:hAnsi="Times" w:cs="Times"/>
                <w:sz w:val="20"/>
                <w:szCs w:val="20"/>
              </w:rPr>
              <w:t xml:space="preserve"> Date 01/12/2017;End of Comment Period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V2V communications uses on-board dedicated short-range radio communication (DSRC) devices to broadcast messages about a vehicle's speed, heading, brake status, and other information to other vehicles and receive the same information from the messages, with extended range and ´line-of-sight´ capabilities. V2V's enhanced detection distance and ability to ´see´ around corners or "through" other vehicles helps V2V-equipped vehicles uniquely perceive some threats and warn their drivers accordingly. V2V technology can also be fused with vehicle-resident technologies to potentially provide greater benefits than either approach alone. V2V can augment vehicle-resident systems by acting as a complete system, extending the ability of the overall safety system to address other crash scenarios not covered by V2V communications, such as lane and road departure. Additionally, V2V communication is currently perceived to become a foundational aspect of vehicle automation.</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Privacy</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07/09/2014</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7F6995" w:rsidT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F6995" w:rsidRDefault="007F6995"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7F6995" w:rsidRDefault="007F6995"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F6995" w:rsidRDefault="007F6995"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7F6995" w:rsidRDefault="007F6995"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F6995" w:rsidT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F6995" w:rsidRDefault="007F6995"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422C26">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422C26">
                  <w:pPr>
                    <w:framePr w:hSpace="36" w:wrap="around" w:vAnchor="text" w:hAnchor="text"/>
                    <w:rPr>
                      <w:rFonts w:ascii="Times" w:eastAsia="Times New Roman" w:hAnsi="Times" w:cs="Times"/>
                      <w:sz w:val="20"/>
                      <w:szCs w:val="20"/>
                    </w:rPr>
                  </w:pPr>
                </w:p>
              </w:tc>
            </w:tr>
            <w:tr w:rsidR="007F6995" w:rsidT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F6995" w:rsidRDefault="007F6995"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422C26">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422C26">
                  <w:pPr>
                    <w:framePr w:hSpace="36" w:wrap="around" w:vAnchor="text" w:hAnchor="text"/>
                    <w:rPr>
                      <w:rFonts w:ascii="Times" w:eastAsia="Times New Roman" w:hAnsi="Times" w:cs="Times"/>
                      <w:sz w:val="20"/>
                      <w:szCs w:val="20"/>
                    </w:rPr>
                  </w:pPr>
                </w:p>
              </w:tc>
            </w:tr>
            <w:tr w:rsidR="007F6995" w:rsidTr="007F69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F6995" w:rsidRDefault="007F6995"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7F6995" w:rsidRDefault="007F6995" w:rsidP="00422C26">
                  <w:pPr>
                    <w:framePr w:hSpace="36" w:wrap="around" w:vAnchor="text" w:hAnchor="text"/>
                    <w:rPr>
                      <w:rFonts w:ascii="Times" w:eastAsia="Times New Roman" w:hAnsi="Times" w:cs="Times"/>
                      <w:sz w:val="20"/>
                      <w:szCs w:val="20"/>
                    </w:rPr>
                  </w:pPr>
                </w:p>
              </w:tc>
              <w:tc>
                <w:tcPr>
                  <w:tcW w:w="1500" w:type="dxa"/>
                  <w:tcBorders>
                    <w:top w:val="outset" w:sz="6" w:space="0" w:color="auto"/>
                    <w:left w:val="outset" w:sz="6" w:space="0" w:color="auto"/>
                    <w:bottom w:val="outset" w:sz="6" w:space="0" w:color="auto"/>
                    <w:right w:val="outset" w:sz="6" w:space="0" w:color="auto"/>
                  </w:tcBorders>
                </w:tcPr>
                <w:p w:rsidR="007F6995" w:rsidRDefault="007F6995" w:rsidP="00422C26">
                  <w:pPr>
                    <w:framePr w:hSpace="36" w:wrap="around" w:vAnchor="text" w:hAnchor="text"/>
                    <w:rPr>
                      <w:rFonts w:ascii="Times" w:eastAsia="Times New Roman" w:hAnsi="Times" w:cs="Times"/>
                      <w:sz w:val="20"/>
                      <w:szCs w:val="20"/>
                    </w:rPr>
                  </w:pPr>
                </w:p>
              </w:tc>
            </w:tr>
            <w:tr w:rsidR="007F6995" w:rsidT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F6995" w:rsidRDefault="007F6995"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422C26">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81" w:name="80"/>
            <w:r>
              <w:rPr>
                <w:rFonts w:ascii="Times" w:eastAsia="Times New Roman" w:hAnsi="Times" w:cs="Times"/>
                <w:sz w:val="20"/>
                <w:szCs w:val="20"/>
              </w:rPr>
              <w:t>National Highway Traffic Safety Administration</w:t>
            </w:r>
            <w:bookmarkEnd w:id="81"/>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Retroreflective Tape for Single Unit Trucks</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Retroreflective Tape for Single Unit Trucks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2127-AL57</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07/23/15; End of C/P: 09/21/15; ANPRM C/P Extended: 10/06/15; End of Extended C/P: 11/05/15</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requirements for rear impact guards and other safety strategies on single unit trucks to mitigate underride crashes into the rear of single unit trucks. This rulemaking would respond, in part, to a petition for rulemaking from the Insurance Institute for Highway Safety and another from Mrs. Karth and the Truck Safety Coalition regarding improved rear impact guards for single unit trucks, as outlined in the July 10, 2014 grant of the petition.</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09/03/2014</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bookmarkStart w:id="82" w:name="_Hlk490833421"/>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bookmarkEnd w:id="82"/>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83" w:name="81"/>
            <w:r>
              <w:rPr>
                <w:rFonts w:ascii="Times" w:eastAsia="Times New Roman" w:hAnsi="Times" w:cs="Times"/>
                <w:sz w:val="20"/>
                <w:szCs w:val="20"/>
              </w:rPr>
              <w:t>National Highway Traffic Safety Administration</w:t>
            </w:r>
            <w:bookmarkEnd w:id="83"/>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Requirements for Importing Motor Vehicles and Motor Vehicle Equipment</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Importing Motor Vehicles and Equipment</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2127-AL61</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w:t>
            </w:r>
            <w:proofErr w:type="gramStart"/>
            <w:r>
              <w:rPr>
                <w:rFonts w:ascii="Times" w:eastAsia="Times New Roman" w:hAnsi="Times" w:cs="Times"/>
                <w:sz w:val="20"/>
                <w:szCs w:val="20"/>
              </w:rPr>
              <w:t>Approved ;Publication</w:t>
            </w:r>
            <w:proofErr w:type="gramEnd"/>
            <w:r>
              <w:rPr>
                <w:rFonts w:ascii="Times" w:eastAsia="Times New Roman" w:hAnsi="Times" w:cs="Times"/>
                <w:sz w:val="20"/>
                <w:szCs w:val="20"/>
              </w:rPr>
              <w:t xml:space="preserve"> Date ;End of Comment Period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regulations that pertain to the importation of motor vehicles and motor vehicle equipment subject to the Federal motor vehicle safety, bumper, and theft prevention standards. The amendments would implement a recently enacted statute, codified at 49 U.S.C. 30164 (c) to (f), that authorizes NHTSA to issue regulations conditioning the importation of a motor vehicle or motor vehicle equipment upon the manufacturer (including the importer) providing such information that is necessary to identify and track the product by name and the manufacturer's address, and each retailer or distributor to which the manufacturer directly supplied motor vehicles or motor vehicle equipment. To further implement the statute, the regulations would condition the importation of a motor vehicle or motor vehicle equipment upon the manufacturer's compliance with: (a) certain statutory provisions; (b) a request from NHTSA for reports and records the manufacturer is required to maintain with respect to the vehicle or equipment; (c) a request from NHTSA for inspection of premises or of the vehicle or equipment; (d) an order or voluntary agreement to remedy a safety-related defect or a noncompliance with a Federal motor vehicle safety standard (FMVSS) in the vehicle or equipment; and (e) regulations implementing these requirements. The amendments would provide an opportunity for the manufacturer to present information to NHTSA before the agency decides that importation of the manufacturer's products should be restricted, as well as procedures for the manufacturer to petition for the reinstatement of its ability to import motor vehicle or motor vehicle equipment.</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06/11/2015</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84" w:name="82"/>
            <w:r>
              <w:rPr>
                <w:rFonts w:ascii="Times" w:eastAsia="Times New Roman" w:hAnsi="Times" w:cs="Times"/>
                <w:sz w:val="20"/>
                <w:szCs w:val="20"/>
              </w:rPr>
              <w:t>National Highway Traffic Safety Administration</w:t>
            </w:r>
            <w:bookmarkEnd w:id="84"/>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49 CFR Part 577 Defect and Noncompliance Notification</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577 Defect and Noncompliance Notifications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2127-AL66</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01/25/16; End of C/P: 03/10/16; NPRM: 09/01/16; End of C/P: 10/31/16</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Under the agency's regulation, 49 CFR Part 577, NHTSA requires manufacturers of motor vehicles and motor vehicle equipment to inform owners, dealers, and distributors about defects related to motor vehicle safety or a noncompliance with the federal motor vehicle safety standards. In the </w:t>
            </w:r>
            <w:proofErr w:type="gramStart"/>
            <w:r>
              <w:rPr>
                <w:rFonts w:ascii="Times" w:eastAsia="Times New Roman" w:hAnsi="Times" w:cs="Times"/>
                <w:sz w:val="20"/>
                <w:szCs w:val="20"/>
              </w:rPr>
              <w:t>Moving</w:t>
            </w:r>
            <w:proofErr w:type="gramEnd"/>
            <w:r>
              <w:rPr>
                <w:rFonts w:ascii="Times" w:eastAsia="Times New Roman" w:hAnsi="Times" w:cs="Times"/>
                <w:sz w:val="20"/>
                <w:szCs w:val="20"/>
              </w:rPr>
              <w:t xml:space="preserve"> Ahead for Progress in the 21st Century Act (MAP-21) Congress authorizes the Secretary of Transportation to amend the means of notification required under 49 U.S.C. §30118, to be in a manner other than, or in addition to, first-class mail. MAP-21 also authorizes the Secretary of Transportation to improve the efficacy of recalls by requiring manufacturers to send additional notifications of defects or noncompliance if a second notification by the manufacturer does not result in an adequate number of motor vehicles or replacement equipment being returned for remedy. 49 U.S.C.§ 30119(e). This ANRPM is the most appropriate course to obtain additional information that will help us decide which means are the most effective in motivating owners, purchasers, and dealers to participate in recall campaigns, to aid the agency in developing a rule implementing the notification requirements under MAP-21.</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08/12/2015</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7F699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7F6995" w:rsidRDefault="007F6995"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7F6995" w:rsidRDefault="007F6995"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F6995">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7F6995" w:rsidRDefault="007F6995"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tcPr>
                <w:p w:rsidR="007F6995" w:rsidRDefault="007F6995"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7F6995" w:rsidRDefault="007F6995"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7F6995" w:rsidRDefault="007F6995"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F6995">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7F6995" w:rsidRDefault="007F6995"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tcPr>
                <w:p w:rsidR="007F6995" w:rsidRDefault="007F6995"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7F6995" w:rsidRDefault="007F6995"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7F6995" w:rsidRDefault="007F6995"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7F6995">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7F6995" w:rsidRDefault="007F6995"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tcPr>
                <w:p w:rsidR="007F6995" w:rsidRDefault="007F6995"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7F6995" w:rsidRDefault="007F6995"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7F6995" w:rsidRDefault="007F6995"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85" w:name="83"/>
            <w:r>
              <w:rPr>
                <w:rFonts w:ascii="Times" w:eastAsia="Times New Roman" w:hAnsi="Times" w:cs="Times"/>
                <w:sz w:val="20"/>
                <w:szCs w:val="20"/>
              </w:rPr>
              <w:t>National Highway Traffic Safety Administration</w:t>
            </w:r>
            <w:bookmarkEnd w:id="85"/>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49 CFR Part 502 - Allocation of Responsibility for Defects and Noncompliances in Original Equipment</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Responsibility for Defects and Noncompliances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2127-AL70</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Other</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w:t>
            </w:r>
            <w:proofErr w:type="gramStart"/>
            <w:r>
              <w:rPr>
                <w:rFonts w:ascii="Times" w:eastAsia="Times New Roman" w:hAnsi="Times" w:cs="Times"/>
                <w:sz w:val="20"/>
                <w:szCs w:val="20"/>
              </w:rPr>
              <w:t>Date ;End</w:t>
            </w:r>
            <w:proofErr w:type="gramEnd"/>
            <w:r>
              <w:rPr>
                <w:rFonts w:ascii="Times" w:eastAsia="Times New Roman" w:hAnsi="Times" w:cs="Times"/>
                <w:sz w:val="20"/>
                <w:szCs w:val="20"/>
              </w:rPr>
              <w:t xml:space="preserve"> of Comment Period . Other: Publication </w:t>
            </w:r>
            <w:proofErr w:type="gramStart"/>
            <w:r>
              <w:rPr>
                <w:rFonts w:ascii="Times" w:eastAsia="Times New Roman" w:hAnsi="Times" w:cs="Times"/>
                <w:sz w:val="20"/>
                <w:szCs w:val="20"/>
              </w:rPr>
              <w:t>Date ;Effective</w:t>
            </w:r>
            <w:proofErr w:type="gramEnd"/>
            <w:r>
              <w:rPr>
                <w:rFonts w:ascii="Times" w:eastAsia="Times New Roman" w:hAnsi="Times" w:cs="Times"/>
                <w:sz w:val="20"/>
                <w:szCs w:val="20"/>
              </w:rPr>
              <w:t xml:space="preserve"> Date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a new regulation changing 49 U.S.C. 30102(b)(1)(F) and (G) to allocate equitably responsibility for defects and noncompliances between motor vehicle and motor vehicle equipment manufacturers, pursuant to the authority granted to the Secretary by 49 U.S.C. 30102(b)(2), to better reflect the realities of the modern relationship between motor vehicle and motor vehicle equipment manufacturers within the automotive industry. </w:t>
            </w:r>
            <w:proofErr w:type="gramStart"/>
            <w:r>
              <w:rPr>
                <w:rFonts w:ascii="Times" w:eastAsia="Times New Roman" w:hAnsi="Times" w:cs="Times"/>
                <w:sz w:val="20"/>
                <w:szCs w:val="20"/>
              </w:rPr>
              <w:t>In light of</w:t>
            </w:r>
            <w:proofErr w:type="gramEnd"/>
            <w:r>
              <w:rPr>
                <w:rFonts w:ascii="Times" w:eastAsia="Times New Roman" w:hAnsi="Times" w:cs="Times"/>
                <w:sz w:val="20"/>
                <w:szCs w:val="20"/>
              </w:rPr>
              <w:t xml:space="preserve"> the above, this rulemaking would require that 49 CFR Parts 573 and 577 be updated as necessary. The agency has decided to terminate this rulemaking, since enforcement of existing requirements addresses the </w:t>
            </w:r>
            <w:proofErr w:type="gramStart"/>
            <w:r>
              <w:rPr>
                <w:rFonts w:ascii="Times" w:eastAsia="Times New Roman" w:hAnsi="Times" w:cs="Times"/>
                <w:sz w:val="20"/>
                <w:szCs w:val="20"/>
              </w:rPr>
              <w:t>underlying purpose</w:t>
            </w:r>
            <w:proofErr w:type="gramEnd"/>
            <w:r>
              <w:rPr>
                <w:rFonts w:ascii="Times" w:eastAsia="Times New Roman" w:hAnsi="Times" w:cs="Times"/>
                <w:sz w:val="20"/>
                <w:szCs w:val="20"/>
              </w:rPr>
              <w:t xml:space="preserve"> of the proposal.</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01/11/2016</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Other:</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04/03/2017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Effective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04/03/2017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Termination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05/31/2017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04/03/2017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Other:</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86" w:name="84"/>
            <w:r>
              <w:rPr>
                <w:rFonts w:ascii="Times" w:eastAsia="Times New Roman" w:hAnsi="Times" w:cs="Times"/>
                <w:sz w:val="20"/>
                <w:szCs w:val="20"/>
              </w:rPr>
              <w:t>National Highway Traffic Safety Administration</w:t>
            </w:r>
            <w:bookmarkEnd w:id="86"/>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Passenger Car and Light Truck Corporate Average Fuel Economy Standards MYs 2022-2025</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CAFE MYs 2022-2025</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2127-AL76</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Notice:07/27/16; End of C/P: 09/26/2016</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Corporate Average Fuel Economy (CAFE) standards for light trucks and for passenger cars for model years 2022 - 2025. This rulemaking would respond to requirements of the Energy Independence and Security Act of 2007 (EISA), Title 1, Subtitle A, Section 102, as it amends 49 USC 32902, which was signed into law December 19, 2007. The statute requires that corporate average fuel economy standards be prescribed separately for passenger automobiles and non-passenger automobiles to achieve a combined fleet fuel economy of at least 35 mpg by model year 2020. For model years 2021 to 2030, the average fuel economy required to be attained by each fleet of passenger and non-passenger automobiles shall be the maximum feasible for each model year. The law requires the standards be set at least 18 months prior to the start of the model year.</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Publish Final </w:t>
                  </w:r>
                  <w:proofErr w:type="gramStart"/>
                  <w:r>
                    <w:rPr>
                      <w:rFonts w:ascii="Times" w:eastAsia="Times New Roman" w:hAnsi="Times" w:cs="Times"/>
                      <w:sz w:val="20"/>
                      <w:szCs w:val="20"/>
                    </w:rPr>
                    <w:t>Rule :</w:t>
                  </w:r>
                  <w:proofErr w:type="gramEnd"/>
                  <w:r>
                    <w:rPr>
                      <w:rFonts w:ascii="Times" w:eastAsia="Times New Roman" w:hAnsi="Times" w:cs="Times"/>
                      <w:sz w:val="20"/>
                      <w:szCs w:val="20"/>
                    </w:rPr>
                    <w:t xml:space="preserve"> 04/01/2020</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06/10/2016</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260A38">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260A38" w:rsidRDefault="00260A38"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260A38" w:rsidRDefault="00260A38"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260A38" w:rsidRDefault="00260A38"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260A38" w:rsidRDefault="00260A38"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60A38">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260A38" w:rsidRDefault="00260A38"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tcPr>
                <w:p w:rsidR="00260A38" w:rsidRDefault="00260A38"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260A38" w:rsidRDefault="00260A38"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260A38" w:rsidRDefault="00260A38"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60A38">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260A38" w:rsidRDefault="00260A38"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tcPr>
                <w:p w:rsidR="00260A38" w:rsidRDefault="00260A38"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260A38" w:rsidRDefault="00260A38"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260A38" w:rsidRDefault="00260A38"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260A38">
              <w:trPr>
                <w:tblCellSpacing w:w="0" w:type="dxa"/>
              </w:trPr>
              <w:tc>
                <w:tcPr>
                  <w:tcW w:w="0" w:type="auto"/>
                  <w:tcBorders>
                    <w:top w:val="outset" w:sz="6" w:space="0" w:color="auto"/>
                    <w:left w:val="outset" w:sz="6" w:space="0" w:color="auto"/>
                    <w:bottom w:val="outset" w:sz="6" w:space="0" w:color="auto"/>
                    <w:right w:val="outset" w:sz="6" w:space="0" w:color="auto"/>
                  </w:tcBorders>
                  <w:noWrap/>
                </w:tcPr>
                <w:p w:rsidR="00260A38" w:rsidRDefault="00260A38"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tcPr>
                <w:p w:rsidR="00260A38" w:rsidRDefault="00260A38"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260A38" w:rsidRDefault="00260A38"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tcPr>
                <w:p w:rsidR="00260A38" w:rsidRDefault="00260A38"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87" w:name="85"/>
            <w:r>
              <w:rPr>
                <w:rFonts w:ascii="Times" w:eastAsia="Times New Roman" w:hAnsi="Times" w:cs="Times"/>
                <w:sz w:val="20"/>
                <w:szCs w:val="20"/>
              </w:rPr>
              <w:t>National Highway Traffic Safety Administration</w:t>
            </w:r>
            <w:bookmarkEnd w:id="87"/>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Revised Regulations for Implementing the 911 Grant Program</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911 Grant Program</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2127-AL86</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proofErr w:type="gramStart"/>
            <w:r>
              <w:rPr>
                <w:rFonts w:ascii="Times" w:eastAsia="Times New Roman" w:hAnsi="Times" w:cs="Times"/>
                <w:b/>
                <w:bCs/>
                <w:sz w:val="20"/>
                <w:szCs w:val="20"/>
              </w:rPr>
              <w:t>:</w:t>
            </w:r>
            <w:r>
              <w:rPr>
                <w:rFonts w:ascii="Times" w:eastAsia="Times New Roman" w:hAnsi="Times" w:cs="Times"/>
                <w:sz w:val="20"/>
                <w:szCs w:val="20"/>
              </w:rPr>
              <w:t xml:space="preserve"> :</w:t>
            </w:r>
            <w:proofErr w:type="gramEnd"/>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seek comment on proposed revisions to the National Telecommunications and Information Administration's and the National Highway Traffic Safety Administration's joint regulations implementing the changes to the E911 Grant Program required by the Next Generation 911 Advancement Act of 2012. The program will provide grants to States and tribal organizations to improve emergency 911 public safety answering points.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05/18/2017</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05/25/2017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07/11/2017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08/25/2017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88" w:name="86"/>
            <w:r>
              <w:rPr>
                <w:rFonts w:ascii="Times" w:eastAsia="Times New Roman" w:hAnsi="Times" w:cs="Times"/>
                <w:b/>
                <w:bCs/>
                <w:sz w:val="20"/>
                <w:szCs w:val="20"/>
              </w:rPr>
              <w:t>Office of the Secretary</w:t>
            </w:r>
          </w:p>
        </w:tc>
      </w:tr>
      <w:tr w:rsidR="001C0CEB">
        <w:trPr>
          <w:tblCellSpacing w:w="24" w:type="dxa"/>
        </w:trPr>
        <w:tc>
          <w:tcPr>
            <w:tcW w:w="0" w:type="auto"/>
            <w:gridSpan w:val="2"/>
            <w:vAlign w:val="center"/>
            <w:hideMark/>
          </w:tcPr>
          <w:p w:rsidR="001C0CEB" w:rsidRDefault="00422C26">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88"/>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C0CE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Carrier-Supplied Medical Oxygen,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Red</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Medical Oxygen; Legroom; Accommodation Requests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2105-AE12</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SNPRM: Publication </w:t>
            </w:r>
            <w:proofErr w:type="gramStart"/>
            <w:r>
              <w:rPr>
                <w:rFonts w:ascii="Times" w:eastAsia="Times New Roman" w:hAnsi="Times" w:cs="Times"/>
                <w:sz w:val="20"/>
                <w:szCs w:val="20"/>
              </w:rPr>
              <w:t>Approved ;Publication</w:t>
            </w:r>
            <w:proofErr w:type="gramEnd"/>
            <w:r>
              <w:rPr>
                <w:rFonts w:ascii="Times" w:eastAsia="Times New Roman" w:hAnsi="Times" w:cs="Times"/>
                <w:sz w:val="20"/>
                <w:szCs w:val="20"/>
              </w:rPr>
              <w:t xml:space="preserve"> Date ;End of Comment Period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follow up on air travel accessibility issues discussed in the preamble of the 2008 Air Carrier Access Act (ACAA) final rule. This rulemaking would consider (1) whether carriers should be required to supply in-flight medical oxygen for a fee to passengers who require it to access air transportation; (2) whether carriers should be required to report to the Department annually the number of requests for disability assistance they receive; and (3) whether to broaden the scope of passengers with disabilities who must be afforded seats with extra leg room, and whether carriers should be required to provide seating accommodations with extra leg room in all classes of service. The issue of whether carriers should be required to provide accessible lavatories on single aisle aircraft has been transferred to RIN 2105-AE32. The topic of service animals is removed from this rulemaking action and will be addressed in a new rulemaking action under RIN 2105-AE63. (The issue of Accessibility of Web Sites and Automated Kiosks at U.S. Airports was addressed under RIN 2105-AD96.) This rulemaking would follow up on air travel accessibility issues discussed in the preamble of the 2008 Air Carrier Access Act (ACAA) final rule. The statutory deadline requiring the Department to issue a supplemental notice of proposed rulemaking regarding the items identified in RIN 2105-AE12 is July 15, 2017.</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112"/>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Deadline to issue NPRM</w:t>
                  </w:r>
                  <w:proofErr w:type="gramStart"/>
                  <w:r>
                    <w:rPr>
                      <w:rFonts w:ascii="Times" w:eastAsia="Times New Roman" w:hAnsi="Times" w:cs="Times"/>
                      <w:sz w:val="20"/>
                      <w:szCs w:val="20"/>
                    </w:rPr>
                    <w:t>. :</w:t>
                  </w:r>
                  <w:proofErr w:type="gramEnd"/>
                  <w:r>
                    <w:rPr>
                      <w:rFonts w:ascii="Times" w:eastAsia="Times New Roman" w:hAnsi="Times" w:cs="Times"/>
                      <w:sz w:val="20"/>
                      <w:szCs w:val="20"/>
                    </w:rPr>
                    <w:t xml:space="preserve"> 07/15/2017</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89" w:name="87"/>
            <w:r>
              <w:rPr>
                <w:rFonts w:ascii="Times" w:eastAsia="Times New Roman" w:hAnsi="Times" w:cs="Times"/>
                <w:sz w:val="20"/>
                <w:szCs w:val="20"/>
              </w:rPr>
              <w:t>Office of the Secretary</w:t>
            </w:r>
            <w:bookmarkEnd w:id="89"/>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Transportation Services for Individuals with Disabilities: Over-the-Road Buses (RRR)</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OTRB ADA Update (RRR)</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2105-AE29</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 02/27/13; End of C/P: 04/29/13</w:t>
            </w:r>
            <w:proofErr w:type="gramStart"/>
            <w:r>
              <w:rPr>
                <w:rFonts w:ascii="Times" w:eastAsia="Times New Roman" w:hAnsi="Times" w:cs="Times"/>
                <w:sz w:val="20"/>
                <w:szCs w:val="20"/>
              </w:rPr>
              <w:t>. :</w:t>
            </w:r>
            <w:proofErr w:type="gramEnd"/>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Department´s Americans with Disabilities Act (ADA) regulations relating to over-the-road buses (OTRBs). The DOT is required by its regulations to review various requirements within the ADA regulations for OTRB operators. On February 27, 2013, DOT published a notice seeking comment to help DOT conduct this review. This rulemaking would update and revise regulations relating to the purchase and lease requirements of new OTRBs, fleet accessibility requirements, interline service requirements, special provisions for mixed-service operators, and interim service requirements.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11/15/2013</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DOT-OST-2013-0014</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90" w:name="88"/>
            <w:r>
              <w:rPr>
                <w:rFonts w:ascii="Times" w:eastAsia="Times New Roman" w:hAnsi="Times" w:cs="Times"/>
                <w:sz w:val="20"/>
                <w:szCs w:val="20"/>
              </w:rPr>
              <w:t>Office of the Secretary</w:t>
            </w:r>
            <w:bookmarkEnd w:id="90"/>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Use of Mobile Wireless Devices for Voice Calls on Aircraft</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2105-AE30</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02/24/2014; End of Comment Period 03/26/2014.</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explore whether DOT should adopt a rule to disclose or restrict voice communications on passengers´ mobile wireless devices on scheduled flights within, to and from the United States. In 2013, the Federal Communications Commission (FCC) issued a notice of proposed rulemaking that, if adopted would, among other things, create a pathway for airlines to permit the use of cellphones or other mobile wireless devices to make or receive calls on board aircraft. At present, however, air carriers do not offer voice call service within U.S. airspace.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91" w:name="89"/>
            <w:r>
              <w:rPr>
                <w:rFonts w:ascii="Times" w:eastAsia="Times New Roman" w:hAnsi="Times" w:cs="Times"/>
                <w:sz w:val="20"/>
                <w:szCs w:val="20"/>
              </w:rPr>
              <w:t>Office of the Secretary</w:t>
            </w:r>
            <w:bookmarkEnd w:id="91"/>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Ancillary Airline Passenger Revenues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2105-AE31</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Notice of Proposed Rulemaking (NPRM) issued on July 15, 2011 (76 F.R. 41726 et seq.) proposed to collect more detailed revenue information regarding airline imposed fees from those air carriers meeting the definition of "large certificated air carriers." The proposal revised reporting requirements to improve data collection on the amount of revenue air carriers receive from different, specific types of optional fees.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92" w:name="90"/>
            <w:r>
              <w:rPr>
                <w:rFonts w:ascii="Times" w:eastAsia="Times New Roman" w:hAnsi="Times" w:cs="Times"/>
                <w:sz w:val="20"/>
                <w:szCs w:val="20"/>
              </w:rPr>
              <w:t>Office of the Secretary</w:t>
            </w:r>
            <w:bookmarkEnd w:id="92"/>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Accessible In-Flight Entertainment and Accessible Lavatories on Single-Aisle Aircraft</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Entertainment and Accessible Lavatories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2105-AE32</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follows-up on an air travel accessibility issue discussed in the preamble of the 2008 Air Carrier Access Act (ACAA) final rule: whether carriers should be required to ensure that the same in-flight entertainment available to all passengers is accessible to passengers with disabilities. This rulemaking would also address one of the topics initially proposed under RIN 2105-AE12: whether carriers should be required to provide accessible lavatories on certain new single aisle aircraft. The topic of service animals was removed from RIN 2105-AE12 and will be addressed in a new rulemaking action under RIN 2105-AE63. (The issue of Accessibility of Web Sites and Automated Kiosks at U.S. Airports was addressed under RIN 2105-AD96.) In 2016, a DOT negotiated rulemaking committee reached consensus on both in-flight entertainment and accessible lavatories, so it is appropriate to address these issues together in one rulemaking. The lavatory issue in this rulemaking action was transferred from RIN 2105-AE12. The statutory deadline requiring the Department to issue a notice of proposed rulemaking regarding the items identified in RIN 2105-AE12 (including accessible lavatories) is July 15, 2017.</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03/14/2017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11/22/2017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04/14/2017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12/20/2017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03/20/2018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10/25/2017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05/29/2018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93" w:name="91"/>
            <w:r>
              <w:rPr>
                <w:rFonts w:ascii="Times" w:eastAsia="Times New Roman" w:hAnsi="Times" w:cs="Times"/>
                <w:sz w:val="20"/>
                <w:szCs w:val="20"/>
              </w:rPr>
              <w:t>Office of the Secretary</w:t>
            </w:r>
            <w:bookmarkEnd w:id="93"/>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91. 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Geographic-Based Hiring Preferences in Administering Federal Awards</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Local Hiring</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2105-AE38</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Withdrawal</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03/06/15; End of Extended C/P: 05/06/15. Undetermined: Publication </w:t>
            </w:r>
            <w:proofErr w:type="gramStart"/>
            <w:r>
              <w:rPr>
                <w:rFonts w:ascii="Times" w:eastAsia="Times New Roman" w:hAnsi="Times" w:cs="Times"/>
                <w:sz w:val="20"/>
                <w:szCs w:val="20"/>
              </w:rPr>
              <w:t>Approved ;Publication</w:t>
            </w:r>
            <w:proofErr w:type="gramEnd"/>
            <w:r>
              <w:rPr>
                <w:rFonts w:ascii="Times" w:eastAsia="Times New Roman" w:hAnsi="Times" w:cs="Times"/>
                <w:sz w:val="20"/>
                <w:szCs w:val="20"/>
              </w:rPr>
              <w:t xml:space="preserve"> Date ;End of Comment Period . Final Rule: Publication </w:t>
            </w:r>
            <w:proofErr w:type="gramStart"/>
            <w:r>
              <w:rPr>
                <w:rFonts w:ascii="Times" w:eastAsia="Times New Roman" w:hAnsi="Times" w:cs="Times"/>
                <w:sz w:val="20"/>
                <w:szCs w:val="20"/>
              </w:rPr>
              <w:t>Approved ;Publication</w:t>
            </w:r>
            <w:proofErr w:type="gramEnd"/>
            <w:r>
              <w:rPr>
                <w:rFonts w:ascii="Times" w:eastAsia="Times New Roman" w:hAnsi="Times" w:cs="Times"/>
                <w:sz w:val="20"/>
                <w:szCs w:val="20"/>
              </w:rPr>
              <w:t xml:space="preserve"> Date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notice withdraws a rulemaking that proposed to amend DOT´s regulations in 2 CFR Part 1201 implementing the Government-wide Uniform Administrative Requirements, Cost Principles, and Audit Requirements for Federal Awards to permit recipients and subrecipients to impose geographic-based hiring preferences whenever not otherwise prohibited by Federal statute.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02/02/2015</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Withdrawal: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06/14/2017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06/14/2017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07/10/2017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08/25/2017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Withdrawal:</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94" w:name="92"/>
            <w:r>
              <w:rPr>
                <w:rFonts w:ascii="Times" w:eastAsia="Times New Roman" w:hAnsi="Times" w:cs="Times"/>
                <w:sz w:val="20"/>
                <w:szCs w:val="20"/>
              </w:rPr>
              <w:t>Office of the Secretary</w:t>
            </w:r>
            <w:bookmarkEnd w:id="94"/>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92. 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Amendment to Excessive Tarmac Delay Definition</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 Excessive Tarmac Delay Definition</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2105-AE47</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w:t>
            </w:r>
            <w:proofErr w:type="gramStart"/>
            <w:r>
              <w:rPr>
                <w:rFonts w:ascii="Times" w:eastAsia="Times New Roman" w:hAnsi="Times" w:cs="Times"/>
                <w:sz w:val="20"/>
                <w:szCs w:val="20"/>
              </w:rPr>
              <w:t>Approved ;Publication</w:t>
            </w:r>
            <w:proofErr w:type="gramEnd"/>
            <w:r>
              <w:rPr>
                <w:rFonts w:ascii="Times" w:eastAsia="Times New Roman" w:hAnsi="Times" w:cs="Times"/>
                <w:sz w:val="20"/>
                <w:szCs w:val="20"/>
              </w:rPr>
              <w:t xml:space="preserve"> Date ;End of Comment Period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definition of excessive tarmac delay in DOT's regulations for certain situations to conform with changes made in the FAA Extension, Safety, and Security Act of 2016. After further consideration, the Department has determined that this is a nonsignificant rulemaking, and will not appear in future rulemaking reports on significant rules.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04"/>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The 2016 FAA Extension Act mandates that section 2308 be implemented within 90 days of enactment</w:t>
                  </w:r>
                  <w:proofErr w:type="gramStart"/>
                  <w:r>
                    <w:rPr>
                      <w:rFonts w:ascii="Times" w:eastAsia="Times New Roman" w:hAnsi="Times" w:cs="Times"/>
                      <w:sz w:val="20"/>
                      <w:szCs w:val="20"/>
                    </w:rPr>
                    <w:t>. :</w:t>
                  </w:r>
                  <w:proofErr w:type="gramEnd"/>
                  <w:r>
                    <w:rPr>
                      <w:rFonts w:ascii="Times" w:eastAsia="Times New Roman" w:hAnsi="Times" w:cs="Times"/>
                      <w:sz w:val="20"/>
                      <w:szCs w:val="20"/>
                    </w:rPr>
                    <w:t xml:space="preserve"> 10/13/2016</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04/11/2016</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95" w:name="93"/>
            <w:r>
              <w:rPr>
                <w:rFonts w:ascii="Times" w:eastAsia="Times New Roman" w:hAnsi="Times" w:cs="Times"/>
                <w:sz w:val="20"/>
                <w:szCs w:val="20"/>
              </w:rPr>
              <w:t>Office of the Secretary</w:t>
            </w:r>
            <w:bookmarkEnd w:id="95"/>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93. 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Transparency of Airline Ancillary Service Fees</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Ancillary Service Fees and the GDS Issue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2105-AE56</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SNPRM: 01/19/17; C/P Suspended: 03/02/17. SNPRM: Publication Approved 01/16/</w:t>
            </w:r>
            <w:proofErr w:type="gramStart"/>
            <w:r>
              <w:rPr>
                <w:rFonts w:ascii="Times" w:eastAsia="Times New Roman" w:hAnsi="Times" w:cs="Times"/>
                <w:sz w:val="20"/>
                <w:szCs w:val="20"/>
              </w:rPr>
              <w:t>2017;Publication</w:t>
            </w:r>
            <w:proofErr w:type="gramEnd"/>
            <w:r>
              <w:rPr>
                <w:rFonts w:ascii="Times" w:eastAsia="Times New Roman" w:hAnsi="Times" w:cs="Times"/>
                <w:sz w:val="20"/>
                <w:szCs w:val="20"/>
              </w:rPr>
              <w:t xml:space="preserve"> Date 01/19/2017;End of Comment Period 03/20/2017.</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SNPRM explored whether to require airlines and ticket agents to disclose at all points of sale the fees for certain basic ancillary services associated with the air transportation consumers are buying or considering buying. The rulemaking previously known as Airline Pricing Transparency and Other Consumer Protection Issues was separated into three proceedings. Two other proceedings address other provisions identified in the NPRM. See RIN 2105-AE11 and 2105-AE57.</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07/18/2016</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96" w:name="94"/>
            <w:r>
              <w:rPr>
                <w:rFonts w:ascii="Times" w:eastAsia="Times New Roman" w:hAnsi="Times" w:cs="Times"/>
                <w:sz w:val="20"/>
                <w:szCs w:val="20"/>
              </w:rPr>
              <w:t>Office of the Secretary</w:t>
            </w:r>
            <w:bookmarkEnd w:id="96"/>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94. 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Air Transportation Consumer Protection Requirements for Ticket Agents</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Protection Reqs: Air Transp. Ticket Agent</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2105-AE57</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5/23/2014; End of C/P: 08/21/2014. Final Rule: Publication </w:t>
            </w:r>
            <w:proofErr w:type="gramStart"/>
            <w:r>
              <w:rPr>
                <w:rFonts w:ascii="Times" w:eastAsia="Times New Roman" w:hAnsi="Times" w:cs="Times"/>
                <w:sz w:val="20"/>
                <w:szCs w:val="20"/>
              </w:rPr>
              <w:t>Approved ;Publication</w:t>
            </w:r>
            <w:proofErr w:type="gramEnd"/>
            <w:r>
              <w:rPr>
                <w:rFonts w:ascii="Times" w:eastAsia="Times New Roman" w:hAnsi="Times" w:cs="Times"/>
                <w:sz w:val="20"/>
                <w:szCs w:val="20"/>
              </w:rPr>
              <w:t xml:space="preserve"> Date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w:t>
            </w:r>
            <w:proofErr w:type="gramStart"/>
            <w:r>
              <w:rPr>
                <w:rFonts w:ascii="Times" w:eastAsia="Times New Roman" w:hAnsi="Times" w:cs="Times"/>
                <w:sz w:val="20"/>
                <w:szCs w:val="20"/>
              </w:rPr>
              <w:t>a number of</w:t>
            </w:r>
            <w:proofErr w:type="gramEnd"/>
            <w:r>
              <w:rPr>
                <w:rFonts w:ascii="Times" w:eastAsia="Times New Roman" w:hAnsi="Times" w:cs="Times"/>
                <w:sz w:val="20"/>
                <w:szCs w:val="20"/>
              </w:rPr>
              <w:t xml:space="preserve"> proposals to enhance protections for air travelers and to improve the air travel environment. Specifically, this rulemaking would enhance airline passenger protections by addressing whether to codify in regulation a definition of the term "ticket agent." The rulemaking would also consider whether to require large travel agents to adopt minimum customer service standards and prohibit the unfair and deceptive practice of post-purchase price increases. These issues, previously part of a rulemaking known as Airline Pricing Transparency and Other Consumer Protection Issues, (2105-AE</w:t>
            </w:r>
            <w:proofErr w:type="gramStart"/>
            <w:r>
              <w:rPr>
                <w:rFonts w:ascii="Times" w:eastAsia="Times New Roman" w:hAnsi="Times" w:cs="Times"/>
                <w:sz w:val="20"/>
                <w:szCs w:val="20"/>
              </w:rPr>
              <w:t>11)have</w:t>
            </w:r>
            <w:proofErr w:type="gramEnd"/>
            <w:r>
              <w:rPr>
                <w:rFonts w:ascii="Times" w:eastAsia="Times New Roman" w:hAnsi="Times" w:cs="Times"/>
                <w:sz w:val="20"/>
                <w:szCs w:val="20"/>
              </w:rPr>
              <w:t xml:space="preserve"> been separated into this proceeding.</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07/18/2016</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97" w:name="95"/>
            <w:r>
              <w:rPr>
                <w:rFonts w:ascii="Times" w:eastAsia="Times New Roman" w:hAnsi="Times" w:cs="Times"/>
                <w:sz w:val="20"/>
                <w:szCs w:val="20"/>
              </w:rPr>
              <w:t>Office of the Secretary</w:t>
            </w:r>
            <w:bookmarkEnd w:id="97"/>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95. 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Traveling by Air with Service Animals</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Service Animals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2105-AE63</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appropriate definition of a service animal and include safeguards to reduce the likelihood that passengers wishing to travel with their pets on aircraft will be able to falsely claim that their pets are service animals. This NPRM follows up on air travel accessibility issues discussed in the preamble of the 2008 Air Carrier Access Act (ACAA) final rule. This rulemaking covers one of the topics initially proposed under RIN 2105-AE12. The Department is required to by statute to issue a supplemental notice of proposed rulemaking regarding the items identified in RIN 2105-AE12 by July 15, 2017.</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01/12/2017</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98" w:name="96"/>
            <w:r>
              <w:rPr>
                <w:rFonts w:ascii="Times" w:eastAsia="Times New Roman" w:hAnsi="Times" w:cs="Times"/>
                <w:b/>
                <w:bCs/>
                <w:sz w:val="20"/>
                <w:szCs w:val="20"/>
              </w:rPr>
              <w:t>Pipeline and Hazardous Materials Safety Administration</w:t>
            </w:r>
          </w:p>
        </w:tc>
      </w:tr>
      <w:tr w:rsidR="001C0CEB">
        <w:trPr>
          <w:tblCellSpacing w:w="24" w:type="dxa"/>
        </w:trPr>
        <w:tc>
          <w:tcPr>
            <w:tcW w:w="0" w:type="auto"/>
            <w:gridSpan w:val="2"/>
            <w:vAlign w:val="center"/>
            <w:hideMark/>
          </w:tcPr>
          <w:p w:rsidR="001C0CEB" w:rsidRDefault="00422C26">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98"/>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96. 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C0CE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Pipeline Safety: Safety of Hazardous Liquid Pipelines</w:t>
                  </w:r>
                </w:p>
              </w:tc>
              <w:tc>
                <w:tcPr>
                  <w:tcW w:w="360" w:type="dxa"/>
                  <w:tcBorders>
                    <w:top w:val="outset" w:sz="6" w:space="0" w:color="FF0000"/>
                    <w:left w:val="outset" w:sz="6" w:space="0" w:color="FF0000"/>
                    <w:bottom w:val="outset" w:sz="6" w:space="0" w:color="FF0000"/>
                    <w:right w:val="outset" w:sz="6" w:space="0" w:color="FF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Red</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Liquid Hazardous Pipelines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2137-AE66</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10/13/2015</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recent years, there have been significant hazardous liquid pipeline accidents, most notably the 2010 crude oil spill near Marshall, Michigan, during which almost one million gallons of crude oil were spilled into the Kalamazoo River. In response to accident investigation findings, incident report data and trends, and stakeholder input, PHMSA published a Notice of Proposed Rulemaking (NPRM) in the Federal Register on October 13, 2015. Previously, Congress had enacted the Pipeline Safety, Regulatory Certainty, and Job Creation Act that included several provisions that are relevant to the regulation of hazardous liquid pipelines. Shortly after the Pipeline Safety, Regulatory Certainty, and Job Creation Act was passed, the National Transportation Safety Board (NTSB) issued its accident investigation report on the Marshall, Michigan accident. In this rulemaking action, PHMSA is amending the Pipeline Safety Regulations to improve protection of the public, property, and the environment by closing regulatory gaps where appropriate, and ensuring that operators are increasing the detection and remediation of unsafe conditions, and mitigating the adverse effects of hazardous liquid pipeline failures.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83"/>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08/01/2016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10/19/2016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10/18/2016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12/20/2016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01/10/2017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01/23/2017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08/11/2017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09/26/2017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Clearance/2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10/03/2016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12/29/2017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99" w:name="97"/>
            <w:r>
              <w:rPr>
                <w:rFonts w:ascii="Times" w:eastAsia="Times New Roman" w:hAnsi="Times" w:cs="Times"/>
                <w:sz w:val="20"/>
                <w:szCs w:val="20"/>
              </w:rPr>
              <w:t>Pipeline and Hazardous Materials Safety Administration</w:t>
            </w:r>
            <w:bookmarkEnd w:id="99"/>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97. 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1C0CEB">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Pipeline Safety: Gas Transmission (RRR)</w:t>
                  </w:r>
                </w:p>
              </w:tc>
              <w:tc>
                <w:tcPr>
                  <w:tcW w:w="360" w:type="dxa"/>
                  <w:tcBorders>
                    <w:top w:val="outset" w:sz="6" w:space="0" w:color="FF0000"/>
                    <w:left w:val="outset" w:sz="6" w:space="0" w:color="FF0000"/>
                    <w:bottom w:val="outset" w:sz="6" w:space="0" w:color="FF0000"/>
                    <w:right w:val="outset" w:sz="6" w:space="0" w:color="FF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Red</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Gas Transmission (RRR)</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2137-AE72</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12/2/2011; End of Extended C/P 1/20/2012. NPRM: Publication Approved 03/11/</w:t>
            </w:r>
            <w:proofErr w:type="gramStart"/>
            <w:r>
              <w:rPr>
                <w:rFonts w:ascii="Times" w:eastAsia="Times New Roman" w:hAnsi="Times" w:cs="Times"/>
                <w:sz w:val="20"/>
                <w:szCs w:val="20"/>
              </w:rPr>
              <w:t>2016;Publication</w:t>
            </w:r>
            <w:proofErr w:type="gramEnd"/>
            <w:r>
              <w:rPr>
                <w:rFonts w:ascii="Times" w:eastAsia="Times New Roman" w:hAnsi="Times" w:cs="Times"/>
                <w:sz w:val="20"/>
                <w:szCs w:val="20"/>
              </w:rPr>
              <w:t xml:space="preserve"> Date 04/08/2016;End of Comment Period 06/08/2016;Extension of Comment Period . NPRM: Publication Approved 03/11/</w:t>
            </w:r>
            <w:proofErr w:type="gramStart"/>
            <w:r>
              <w:rPr>
                <w:rFonts w:ascii="Times" w:eastAsia="Times New Roman" w:hAnsi="Times" w:cs="Times"/>
                <w:sz w:val="20"/>
                <w:szCs w:val="20"/>
              </w:rPr>
              <w:t>2016;Publication</w:t>
            </w:r>
            <w:proofErr w:type="gramEnd"/>
            <w:r>
              <w:rPr>
                <w:rFonts w:ascii="Times" w:eastAsia="Times New Roman" w:hAnsi="Times" w:cs="Times"/>
                <w:sz w:val="20"/>
                <w:szCs w:val="20"/>
              </w:rPr>
              <w:t xml:space="preserve"> Date 04/08/2016;End of Comment Period 06/08/2016;Extension of Comment Period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amending the pipeline safety regulations to address integrity management principles for Gas Transmission pipelines. </w:t>
            </w:r>
            <w:proofErr w:type="gramStart"/>
            <w:r>
              <w:rPr>
                <w:rFonts w:ascii="Times" w:eastAsia="Times New Roman" w:hAnsi="Times" w:cs="Times"/>
                <w:sz w:val="20"/>
                <w:szCs w:val="20"/>
              </w:rPr>
              <w:t>In particular, PHMSA</w:t>
            </w:r>
            <w:proofErr w:type="gramEnd"/>
            <w:r>
              <w:rPr>
                <w:rFonts w:ascii="Times" w:eastAsia="Times New Roman" w:hAnsi="Times" w:cs="Times"/>
                <w:sz w:val="20"/>
                <w:szCs w:val="20"/>
              </w:rPr>
              <w:t xml:space="preserve"> is addressing repair criteria for both HCA and non-HCA areas, assessment methods, validating and integrating pipeline data, risk assessments, knowledge gained through the IM program, corrosion control, change management, gathering lines, and safety features on launchers and receivers.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100" w:name="98"/>
            <w:r>
              <w:rPr>
                <w:rFonts w:ascii="Times" w:eastAsia="Times New Roman" w:hAnsi="Times" w:cs="Times"/>
                <w:sz w:val="20"/>
                <w:szCs w:val="20"/>
              </w:rPr>
              <w:t>Pipeline and Hazardous Materials Safety Administration</w:t>
            </w:r>
            <w:bookmarkEnd w:id="100"/>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98. 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Hazardous Materials: Oil Spill Response Plans and Information Sharing for High-Hazard Flammable Trains</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Oil Spill Resp Plans and Info Sharing HHFT</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2137-AF08</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8/1/2014; C/P closed 9/30/2014. NPRM: Published 7/29/2016; C/P closed 9/27/2016.</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in consultation with the Federal Railroad Administration, would adopt a number of measures that will ensure the safety of communities living alongside railroads and protect the environment by codifying: (1) Comprehensive Oil Spill Response Plans (OSRPs) - Expands the applicability of comprehensive OSRPs based on thresholds of liquid petroleum oil that apply to an entire train consist; (2) HHFT Information Sharing Notification - Requires railroads to share information about high-hazard flammable train operations with state and tribal emergency response commissions to improve community preparedness in accordance with the Fixing America's Surface Transportation Act of 2015 (FAST Act). Section 7302 mandates PHMSA to require each Class I railroad to provide advanced notification and information on HHFTs to each SERC, consistent with Emergency Order DOT-OST-2014-0067; and (3) Incorporation by Reference of Class 3 Packing Group Test - Incorporates by reference an initial boiling point test for flammable liquids for better consistency with the American National Standards Institute/American Petroleum Institute Recommend Practices 3000, "Classifying and Loading of Crude Oil into Rail Tank Cars," First Edition, September 2014.</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2"/>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07/16/2014</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PHMSA-2014-0105</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03/01/2017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11/15/2017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01/02/2018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07/17/2017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04/02/2018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07/28/2017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04/11/2018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101" w:name="99"/>
            <w:r>
              <w:rPr>
                <w:rFonts w:ascii="Times" w:eastAsia="Times New Roman" w:hAnsi="Times" w:cs="Times"/>
                <w:sz w:val="20"/>
                <w:szCs w:val="20"/>
              </w:rPr>
              <w:t>Pipeline and Hazardous Materials Safety Administration</w:t>
            </w:r>
            <w:bookmarkEnd w:id="101"/>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99. 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Hazardous Materials: Enhanced Safety Provisions for Lithium Batteries Transported by Aircraft</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Revised Lithium Battery Provisions by Air</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2137-AF20</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action would amend the Hazardous Materials Regulations (HMR; 49 CFR Parts 171-180) applicable to the transport of lithium cells and batteries by aircraft. The IFR contains three amendments: (1) a prohibition on the transport of lithium ion cells and batteries as cargo on passenger aircraft; (2) a requirement that lithium ion cells and batteries be shipped at not more than a 30 percent state of charge aboard cargo-only aircraft; and (3) a limitation on the use of alternative provisions for small lithium cell or battery shipments to one package per consignment or overpack. These amendments are consistent with three emergency amendments to the 2015–2016 International Civil Aviation Organization Technical Instructions for the Safe Transport of Dangerous Goods by Air (ICAO Technical Instructions). The amendments in this IFR do not restrict passengers or crew members from bringing personal items or electronic devices containing lithium batteries aboard aircraft in carry-on or checked baggage, or restrict cargo-only aircraft from transporting lithium ion batteries at a state of charge exceeding 30 percent when packed with or contained in equipment. PHMSA is providing limited relief from the passenger aircraft prohibition and the state of charge restriction for small lithium ion batteries transported entirely within Alaska, Hawaii, and U.S. territories.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53"/>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01/25/2016</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PHMSA-2016-0014</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06/14/2016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08/19/2016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08/17/2016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01/13/2017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01/23/2017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09/19/2017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Clearance/2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11/01/2016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12/29/2017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11/30/2016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01/29/2018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4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102" w:name="100"/>
            <w:r>
              <w:rPr>
                <w:rFonts w:ascii="Times" w:eastAsia="Times New Roman" w:hAnsi="Times" w:cs="Times"/>
                <w:sz w:val="20"/>
                <w:szCs w:val="20"/>
              </w:rPr>
              <w:t>Pipeline and Hazardous Materials Safety Administration</w:t>
            </w:r>
            <w:bookmarkEnd w:id="102"/>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100. 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Hazardous Materials: FAST Act Requirements for Real-Time Train Consist Information by Rail</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FAST Act for Real-Time Train Consist Info</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2137-AF21</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requested comment on certain provisions of the Fixing America's Surface Transportation (FAST) Act of 2015. The FAST Act directs the Secretary of Transportation to require Class I railroads that transport hazardous materials to generate accurate, real-time, and electronic train consist information. Further, the FAST Act includes provisions for the railroads to provide fusion centers with electronic train consist information to share with State and local first responders, emergency response officials, and law enforcement personnel during an accident, incident, or emergency. In support of developing regulations to implement the FAST Act mandates, PHMSA specifically requested comments and information on baseline changes, affected entities, and costs and benefits related to fusion centers collecting train consist information from railroads and disseminating this information in the event of an emergency.</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53"/>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352"/>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Fixing America's Surface Transportation Act (§7302</w:t>
                  </w:r>
                  <w:proofErr w:type="gramStart"/>
                  <w:r>
                    <w:rPr>
                      <w:rFonts w:ascii="Times" w:eastAsia="Times New Roman" w:hAnsi="Times" w:cs="Times"/>
                      <w:sz w:val="20"/>
                      <w:szCs w:val="20"/>
                    </w:rPr>
                    <w:t>) :</w:t>
                  </w:r>
                  <w:proofErr w:type="gramEnd"/>
                  <w:r>
                    <w:rPr>
                      <w:rFonts w:ascii="Times" w:eastAsia="Times New Roman" w:hAnsi="Times" w:cs="Times"/>
                      <w:sz w:val="20"/>
                      <w:szCs w:val="20"/>
                    </w:rPr>
                    <w:t xml:space="preserve"> 12/04/2016</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01/25/2016</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PHMSA-2016-0015</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02/20/2017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01/19/2017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04/19/2017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4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103" w:name="101"/>
            <w:r>
              <w:rPr>
                <w:rFonts w:ascii="Times" w:eastAsia="Times New Roman" w:hAnsi="Times" w:cs="Times"/>
                <w:sz w:val="20"/>
                <w:szCs w:val="20"/>
              </w:rPr>
              <w:t>Pipeline and Hazardous Materials Safety Administration</w:t>
            </w:r>
            <w:bookmarkEnd w:id="103"/>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101. 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Pipeline Safety: Underground Storage Facilities for Natural Gas</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OPS: Underground Storage Facilities Natural Gas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2137-AF22</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Interim Final Rule: Publication Date 12/19/</w:t>
            </w:r>
            <w:proofErr w:type="gramStart"/>
            <w:r>
              <w:rPr>
                <w:rFonts w:ascii="Times" w:eastAsia="Times New Roman" w:hAnsi="Times" w:cs="Times"/>
                <w:sz w:val="20"/>
                <w:szCs w:val="20"/>
              </w:rPr>
              <w:t>2016;End</w:t>
            </w:r>
            <w:proofErr w:type="gramEnd"/>
            <w:r>
              <w:rPr>
                <w:rFonts w:ascii="Times" w:eastAsia="Times New Roman" w:hAnsi="Times" w:cs="Times"/>
                <w:sz w:val="20"/>
                <w:szCs w:val="20"/>
              </w:rPr>
              <w:t xml:space="preserve"> of Comment Period 02/17/2017;Effective Date 01/18/2017. Response to petition FR 06/20/2017</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has safety authority over the underground storage facilities used in natural gas pipeline transportation, but has no safety regulations in the DOT Code (49 CFR Part 192) that apply to the down-hole underground storage reservoir for natural gas. PHMSA issued an interim final rule that requires operators of underground storage facilities for natural gas to comply with minimum safety standards, including compliance with API RP 1171, Functional Integrity of Natural Gas Storage in Depleted Hydrocarbon Reservoirs and Aquifer Reservoirs, and API RP 1170, Design and Operation of Solution-mined Salt Caverns Used for Natural Gas Storage. The interim final rule adopted the non-mandatory provisions of the RPs in a manner that would make them mandatory, except that operators are permitted to deviate from the RPs if they provide justification. The next planned action is to finalize the interim final rule.</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02/17/2016</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01/31/2018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4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104" w:name="102"/>
            <w:r>
              <w:rPr>
                <w:rFonts w:ascii="Times" w:eastAsia="Times New Roman" w:hAnsi="Times" w:cs="Times"/>
                <w:sz w:val="20"/>
                <w:szCs w:val="20"/>
              </w:rPr>
              <w:t>Pipeline and Hazardous Materials Safety Administration</w:t>
            </w:r>
            <w:bookmarkEnd w:id="104"/>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102. 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Hazardous Materials: Vapor Pressure of Unrefined Petroleum Products and Class 3 Materials</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Vapor Pressure Unrefined Petro and Class 3</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2137-AF24</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1/18/2017; C/P Extension published 3/21/2017; C/P Extension closed 5/19/2017.</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is assessing the merits of a petition for rulemaking submitted by the Attorney General of the State of New York regarding vapor pressure standards for the transportation of crude oil. The petition requests that PHMSA implement a Reid Vapor Pressure (RVP) limit less than 9.0 pounds per square inch (psi) for crude oil transported by rail. PHMSA will use the comments in response to this ANPRM to help assess and respond to the petition and to evaluate any other potential regulatory actions related to sampling and testing of crude oil and other Class 3 hazardous materials. PHMSA will also evaluate the potential safety benefits and costs of utilizing vapor pressure thresholds within the hazardous materials classification process for unrefined petroleum-based products and Class 3 hazardous materials.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06/23/2016</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PHMSA-2016-0077</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4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105" w:name="103"/>
            <w:r>
              <w:rPr>
                <w:rFonts w:ascii="Times" w:eastAsia="Times New Roman" w:hAnsi="Times" w:cs="Times"/>
                <w:sz w:val="20"/>
                <w:szCs w:val="20"/>
              </w:rPr>
              <w:t>Pipeline and Hazardous Materials Safety Administration</w:t>
            </w:r>
            <w:bookmarkEnd w:id="105"/>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103. 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Hazardous Materials: Sampling and Testing Requirements for Unrefined Petroleum Products</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OHMS: Sampling and Testing</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2137-AF28</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Other</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considered revising the Hazardous Materials Regulations (HMR) to apply </w:t>
            </w:r>
            <w:proofErr w:type="gramStart"/>
            <w:r>
              <w:rPr>
                <w:rFonts w:ascii="Times" w:eastAsia="Times New Roman" w:hAnsi="Times" w:cs="Times"/>
                <w:sz w:val="20"/>
                <w:szCs w:val="20"/>
              </w:rPr>
              <w:t>particular methods</w:t>
            </w:r>
            <w:proofErr w:type="gramEnd"/>
            <w:r>
              <w:rPr>
                <w:rFonts w:ascii="Times" w:eastAsia="Times New Roman" w:hAnsi="Times" w:cs="Times"/>
                <w:sz w:val="20"/>
                <w:szCs w:val="20"/>
              </w:rPr>
              <w:t xml:space="preserve"> for conducting vapor pressure testing and sampling of unrefined petroleum-based products, such as petroleum crude oil. Specifically, this rulemaking would have proposed that persons who offer unrefined petroleum-based products for transportation, regardless of mode of transportation, apply </w:t>
            </w:r>
            <w:proofErr w:type="gramStart"/>
            <w:r>
              <w:rPr>
                <w:rFonts w:ascii="Times" w:eastAsia="Times New Roman" w:hAnsi="Times" w:cs="Times"/>
                <w:sz w:val="20"/>
                <w:szCs w:val="20"/>
              </w:rPr>
              <w:t>particular methods</w:t>
            </w:r>
            <w:proofErr w:type="gramEnd"/>
            <w:r>
              <w:rPr>
                <w:rFonts w:ascii="Times" w:eastAsia="Times New Roman" w:hAnsi="Times" w:cs="Times"/>
                <w:sz w:val="20"/>
                <w:szCs w:val="20"/>
              </w:rPr>
              <w:t xml:space="preserve"> for conducting vapor pressure testing when vapor pressure testing is a component of their written testing program. However, after a thorough review of the issues, PHMSA decided to terminate this rulemaking action. This action will not appear on next month's report on DOT significant rulemakings.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10/12/2016</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Other:</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49"/>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Termination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03/13/2017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Other:</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472"/>
        <w:gridCol w:w="8728"/>
      </w:tblGrid>
      <w:tr w:rsidR="001C0CEB">
        <w:trPr>
          <w:tblCellSpacing w:w="24" w:type="dxa"/>
        </w:trPr>
        <w:tc>
          <w:tcPr>
            <w:tcW w:w="0" w:type="auto"/>
            <w:gridSpan w:val="2"/>
            <w:vAlign w:val="center"/>
            <w:hideMark/>
          </w:tcPr>
          <w:p w:rsidR="001C0CEB" w:rsidRDefault="001C0CEB">
            <w:pPr>
              <w:jc w:val="center"/>
              <w:rPr>
                <w:rFonts w:ascii="Times" w:eastAsia="Times New Roman" w:hAnsi="Times" w:cs="Times"/>
                <w:sz w:val="20"/>
                <w:szCs w:val="20"/>
              </w:rPr>
            </w:pPr>
            <w:bookmarkStart w:id="106" w:name="104"/>
            <w:r>
              <w:rPr>
                <w:rFonts w:ascii="Times" w:eastAsia="Times New Roman" w:hAnsi="Times" w:cs="Times"/>
                <w:sz w:val="20"/>
                <w:szCs w:val="20"/>
              </w:rPr>
              <w:t>Pipeline and Hazardous Materials Safety Administration</w:t>
            </w:r>
            <w:bookmarkEnd w:id="106"/>
          </w:p>
        </w:tc>
      </w:tr>
      <w:tr w:rsidR="001C0CEB">
        <w:trPr>
          <w:tblCellSpacing w:w="24" w:type="dxa"/>
        </w:trPr>
        <w:tc>
          <w:tcPr>
            <w:tcW w:w="360" w:type="dxa"/>
            <w:vAlign w:val="center"/>
            <w:hideMark/>
          </w:tcPr>
          <w:p w:rsidR="001C0CEB" w:rsidRDefault="001C0CEB">
            <w:pPr>
              <w:rPr>
                <w:rFonts w:ascii="Times" w:eastAsia="Times New Roman" w:hAnsi="Times" w:cs="Times"/>
                <w:sz w:val="20"/>
                <w:szCs w:val="20"/>
              </w:rPr>
            </w:pPr>
            <w:r>
              <w:rPr>
                <w:rFonts w:ascii="Times" w:eastAsia="Times New Roman" w:hAnsi="Times" w:cs="Times"/>
                <w:sz w:val="20"/>
                <w:szCs w:val="20"/>
              </w:rPr>
              <w:t>104. 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1C0CEB">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Pipeline Safety: Class Location Requirements</w:t>
                  </w:r>
                </w:p>
              </w:tc>
              <w:tc>
                <w:tcPr>
                  <w:tcW w:w="360" w:type="dxa"/>
                  <w:tcBorders>
                    <w:top w:val="outset" w:sz="6" w:space="0" w:color="000000"/>
                    <w:left w:val="outset" w:sz="6" w:space="0" w:color="000000"/>
                    <w:bottom w:val="outset" w:sz="6" w:space="0" w:color="000000"/>
                    <w:right w:val="outset" w:sz="6" w:space="0" w:color="000000"/>
                  </w:tcBorders>
                  <w:hideMark/>
                </w:tcPr>
                <w:p w:rsidR="001C0CEB" w:rsidRDefault="001C0CEB">
                  <w:pPr>
                    <w:rPr>
                      <w:rFonts w:ascii="Times" w:eastAsia="Times New Roman" w:hAnsi="Times" w:cs="Times"/>
                      <w:sz w:val="20"/>
                      <w:szCs w:val="20"/>
                    </w:rPr>
                  </w:pPr>
                  <w:r>
                    <w:rPr>
                      <w:rFonts w:ascii="Times" w:eastAsia="Times New Roman" w:hAnsi="Times" w:cs="Times"/>
                      <w:sz w:val="20"/>
                      <w:szCs w:val="20"/>
                    </w:rPr>
                    <w:t>Black</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Class Location Requirements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RIN 2137-AF29</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Previous Stage</w:t>
            </w:r>
            <w:proofErr w:type="gramStart"/>
            <w:r>
              <w:rPr>
                <w:rFonts w:ascii="Times" w:eastAsia="Times New Roman" w:hAnsi="Times" w:cs="Times"/>
                <w:b/>
                <w:bCs/>
                <w:sz w:val="20"/>
                <w:szCs w:val="20"/>
              </w:rPr>
              <w:t>:</w:t>
            </w:r>
            <w:r>
              <w:rPr>
                <w:rFonts w:ascii="Times" w:eastAsia="Times New Roman" w:hAnsi="Times" w:cs="Times"/>
                <w:sz w:val="20"/>
                <w:szCs w:val="20"/>
              </w:rPr>
              <w:t xml:space="preserve"> :</w:t>
            </w:r>
            <w:proofErr w:type="gramEnd"/>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seeking comments on the current class location requirements and alternatives to these requirements.</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1C0CEB">
              <w:trPr>
                <w:tblCellSpacing w:w="0" w:type="dxa"/>
              </w:trPr>
              <w:tc>
                <w:tcPr>
                  <w:tcW w:w="450" w:type="dxa"/>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1C0CEB">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1C0CEB">
              <w:trPr>
                <w:tblCellSpacing w:w="0" w:type="dxa"/>
              </w:trPr>
              <w:tc>
                <w:tcPr>
                  <w:tcW w:w="0" w:type="auto"/>
                  <w:noWrap/>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06/29/2017</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1C0CE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12/26/2017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04/09/2018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1C0CEB">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06/11/2018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1C0CEB" w:rsidRDefault="001C0CEB" w:rsidP="00422C26">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1C0CEB">
              <w:trPr>
                <w:tblCellSpacing w:w="15" w:type="dxa"/>
              </w:trPr>
              <w:tc>
                <w:tcPr>
                  <w:tcW w:w="0" w:type="auto"/>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1C0CEB" w:rsidRDefault="001C0CEB">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1C0CEB" w:rsidRDefault="001C0CEB">
            <w:pPr>
              <w:rPr>
                <w:rFonts w:ascii="Times" w:eastAsia="Times New Roman" w:hAnsi="Times" w:cs="Times"/>
                <w:sz w:val="20"/>
                <w:szCs w:val="20"/>
              </w:rPr>
            </w:pPr>
          </w:p>
        </w:tc>
      </w:tr>
      <w:tr w:rsidR="001C0CEB">
        <w:trPr>
          <w:tblCellSpacing w:w="24" w:type="dxa"/>
        </w:trPr>
        <w:tc>
          <w:tcPr>
            <w:tcW w:w="0" w:type="auto"/>
            <w:gridSpan w:val="2"/>
            <w:vAlign w:val="center"/>
            <w:hideMark/>
          </w:tcPr>
          <w:p w:rsidR="001C0CEB" w:rsidRDefault="001C0CEB">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1C0CEB" w:rsidRDefault="001C0CEB">
      <w:pPr>
        <w:rPr>
          <w:rFonts w:ascii="Times" w:eastAsia="Times New Roman" w:hAnsi="Times" w:cs="Times"/>
          <w:sz w:val="20"/>
          <w:szCs w:val="20"/>
        </w:rPr>
      </w:pPr>
      <w:r>
        <w:rPr>
          <w:rFonts w:ascii="Times" w:eastAsia="Times New Roman" w:hAnsi="Times" w:cs="Times"/>
          <w:sz w:val="20"/>
          <w:szCs w:val="20"/>
        </w:rPr>
        <w:br w:type="textWrapping" w:clear="all"/>
      </w:r>
    </w:p>
    <w:sectPr w:rsidR="001C0CE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E86" w:rsidRDefault="00352E86" w:rsidP="007F6995">
      <w:r>
        <w:separator/>
      </w:r>
    </w:p>
  </w:endnote>
  <w:endnote w:type="continuationSeparator" w:id="0">
    <w:p w:rsidR="00352E86" w:rsidRDefault="00352E86" w:rsidP="007F6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904614"/>
      <w:docPartObj>
        <w:docPartGallery w:val="Page Numbers (Bottom of Page)"/>
        <w:docPartUnique/>
      </w:docPartObj>
    </w:sdtPr>
    <w:sdtEndPr/>
    <w:sdtContent>
      <w:sdt>
        <w:sdtPr>
          <w:id w:val="-1769616900"/>
          <w:docPartObj>
            <w:docPartGallery w:val="Page Numbers (Top of Page)"/>
            <w:docPartUnique/>
          </w:docPartObj>
        </w:sdtPr>
        <w:sdtEndPr/>
        <w:sdtContent>
          <w:p w:rsidR="001C0CEB" w:rsidRDefault="001C0CEB">
            <w:pPr>
              <w:pStyle w:val="Footer"/>
              <w:jc w:val="right"/>
            </w:pPr>
            <w:r>
              <w:t xml:space="preserve">August Internet Report:  Page </w:t>
            </w:r>
            <w:r>
              <w:rPr>
                <w:b/>
                <w:bCs/>
              </w:rPr>
              <w:fldChar w:fldCharType="begin"/>
            </w:r>
            <w:r>
              <w:rPr>
                <w:b/>
                <w:bCs/>
              </w:rPr>
              <w:instrText xml:space="preserve"> PAGE </w:instrText>
            </w:r>
            <w:r>
              <w:rPr>
                <w:b/>
                <w:bCs/>
              </w:rPr>
              <w:fldChar w:fldCharType="separate"/>
            </w:r>
            <w:r w:rsidR="00422C26">
              <w:rPr>
                <w:b/>
                <w:bCs/>
                <w:noProof/>
              </w:rPr>
              <w:t>44</w:t>
            </w:r>
            <w:r>
              <w:rPr>
                <w:b/>
                <w:bCs/>
              </w:rPr>
              <w:fldChar w:fldCharType="end"/>
            </w:r>
            <w:r>
              <w:t xml:space="preserve"> of </w:t>
            </w:r>
            <w:r>
              <w:rPr>
                <w:b/>
                <w:bCs/>
              </w:rPr>
              <w:fldChar w:fldCharType="begin"/>
            </w:r>
            <w:r>
              <w:rPr>
                <w:b/>
                <w:bCs/>
              </w:rPr>
              <w:instrText xml:space="preserve"> NUMPAGES  </w:instrText>
            </w:r>
            <w:r>
              <w:rPr>
                <w:b/>
                <w:bCs/>
              </w:rPr>
              <w:fldChar w:fldCharType="separate"/>
            </w:r>
            <w:r w:rsidR="00422C26">
              <w:rPr>
                <w:b/>
                <w:bCs/>
                <w:noProof/>
              </w:rPr>
              <w:t>109</w:t>
            </w:r>
            <w:r>
              <w:rPr>
                <w:b/>
                <w:bCs/>
              </w:rPr>
              <w:fldChar w:fldCharType="end"/>
            </w:r>
          </w:p>
        </w:sdtContent>
      </w:sdt>
    </w:sdtContent>
  </w:sdt>
  <w:p w:rsidR="001C0CEB" w:rsidRDefault="001C0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E86" w:rsidRDefault="00352E86" w:rsidP="007F6995">
      <w:r>
        <w:separator/>
      </w:r>
    </w:p>
  </w:footnote>
  <w:footnote w:type="continuationSeparator" w:id="0">
    <w:p w:rsidR="00352E86" w:rsidRDefault="00352E86" w:rsidP="007F69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995"/>
    <w:rsid w:val="001C0CEB"/>
    <w:rsid w:val="00225BC1"/>
    <w:rsid w:val="0025751D"/>
    <w:rsid w:val="00260A38"/>
    <w:rsid w:val="002E57BD"/>
    <w:rsid w:val="00352E86"/>
    <w:rsid w:val="0041794C"/>
    <w:rsid w:val="00422C26"/>
    <w:rsid w:val="007F6995"/>
    <w:rsid w:val="00803B93"/>
    <w:rsid w:val="00893087"/>
    <w:rsid w:val="00DE5C85"/>
    <w:rsid w:val="00E24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580B7022"/>
  <w15:chartTrackingRefBased/>
  <w15:docId w15:val="{190C9B57-D950-486A-B630-10C0CAD27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msonormal0">
    <w:name w:val="msonormal"/>
    <w:basedOn w:val="Normal"/>
    <w:pPr>
      <w:spacing w:before="100" w:beforeAutospacing="1" w:after="100" w:afterAutospacing="1"/>
    </w:p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7F6995"/>
    <w:pPr>
      <w:tabs>
        <w:tab w:val="center" w:pos="4680"/>
        <w:tab w:val="right" w:pos="9360"/>
      </w:tabs>
    </w:pPr>
  </w:style>
  <w:style w:type="character" w:customStyle="1" w:styleId="HeaderChar">
    <w:name w:val="Header Char"/>
    <w:basedOn w:val="DefaultParagraphFont"/>
    <w:link w:val="Header"/>
    <w:uiPriority w:val="99"/>
    <w:rsid w:val="007F6995"/>
    <w:rPr>
      <w:rFonts w:eastAsiaTheme="minorEastAsia"/>
      <w:sz w:val="24"/>
      <w:szCs w:val="24"/>
    </w:rPr>
  </w:style>
  <w:style w:type="paragraph" w:styleId="Footer">
    <w:name w:val="footer"/>
    <w:basedOn w:val="Normal"/>
    <w:link w:val="FooterChar"/>
    <w:uiPriority w:val="99"/>
    <w:unhideWhenUsed/>
    <w:rsid w:val="007F6995"/>
    <w:pPr>
      <w:tabs>
        <w:tab w:val="center" w:pos="4680"/>
        <w:tab w:val="right" w:pos="9360"/>
      </w:tabs>
    </w:pPr>
  </w:style>
  <w:style w:type="character" w:customStyle="1" w:styleId="FooterChar">
    <w:name w:val="Footer Char"/>
    <w:basedOn w:val="DefaultParagraphFont"/>
    <w:link w:val="Footer"/>
    <w:uiPriority w:val="99"/>
    <w:rsid w:val="007F699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0266">
      <w:marLeft w:val="0"/>
      <w:marRight w:val="0"/>
      <w:marTop w:val="0"/>
      <w:marBottom w:val="0"/>
      <w:divBdr>
        <w:top w:val="none" w:sz="0" w:space="0" w:color="auto"/>
        <w:left w:val="none" w:sz="0" w:space="0" w:color="auto"/>
        <w:bottom w:val="none" w:sz="0" w:space="0" w:color="auto"/>
        <w:right w:val="none" w:sz="0" w:space="0" w:color="auto"/>
      </w:divBdr>
    </w:div>
    <w:div w:id="18554739">
      <w:marLeft w:val="0"/>
      <w:marRight w:val="0"/>
      <w:marTop w:val="0"/>
      <w:marBottom w:val="0"/>
      <w:divBdr>
        <w:top w:val="none" w:sz="0" w:space="0" w:color="auto"/>
        <w:left w:val="none" w:sz="0" w:space="0" w:color="auto"/>
        <w:bottom w:val="none" w:sz="0" w:space="0" w:color="auto"/>
        <w:right w:val="none" w:sz="0" w:space="0" w:color="auto"/>
      </w:divBdr>
    </w:div>
    <w:div w:id="29915523">
      <w:marLeft w:val="0"/>
      <w:marRight w:val="0"/>
      <w:marTop w:val="0"/>
      <w:marBottom w:val="0"/>
      <w:divBdr>
        <w:top w:val="none" w:sz="0" w:space="0" w:color="auto"/>
        <w:left w:val="none" w:sz="0" w:space="0" w:color="auto"/>
        <w:bottom w:val="none" w:sz="0" w:space="0" w:color="auto"/>
        <w:right w:val="none" w:sz="0" w:space="0" w:color="auto"/>
      </w:divBdr>
    </w:div>
    <w:div w:id="41639745">
      <w:marLeft w:val="0"/>
      <w:marRight w:val="0"/>
      <w:marTop w:val="0"/>
      <w:marBottom w:val="0"/>
      <w:divBdr>
        <w:top w:val="none" w:sz="0" w:space="0" w:color="auto"/>
        <w:left w:val="none" w:sz="0" w:space="0" w:color="auto"/>
        <w:bottom w:val="none" w:sz="0" w:space="0" w:color="auto"/>
        <w:right w:val="none" w:sz="0" w:space="0" w:color="auto"/>
      </w:divBdr>
    </w:div>
    <w:div w:id="41947476">
      <w:marLeft w:val="0"/>
      <w:marRight w:val="0"/>
      <w:marTop w:val="0"/>
      <w:marBottom w:val="0"/>
      <w:divBdr>
        <w:top w:val="none" w:sz="0" w:space="0" w:color="auto"/>
        <w:left w:val="none" w:sz="0" w:space="0" w:color="auto"/>
        <w:bottom w:val="none" w:sz="0" w:space="0" w:color="auto"/>
        <w:right w:val="none" w:sz="0" w:space="0" w:color="auto"/>
      </w:divBdr>
    </w:div>
    <w:div w:id="69424086">
      <w:marLeft w:val="0"/>
      <w:marRight w:val="0"/>
      <w:marTop w:val="0"/>
      <w:marBottom w:val="0"/>
      <w:divBdr>
        <w:top w:val="none" w:sz="0" w:space="0" w:color="auto"/>
        <w:left w:val="none" w:sz="0" w:space="0" w:color="auto"/>
        <w:bottom w:val="none" w:sz="0" w:space="0" w:color="auto"/>
        <w:right w:val="none" w:sz="0" w:space="0" w:color="auto"/>
      </w:divBdr>
    </w:div>
    <w:div w:id="73013481">
      <w:marLeft w:val="0"/>
      <w:marRight w:val="0"/>
      <w:marTop w:val="0"/>
      <w:marBottom w:val="0"/>
      <w:divBdr>
        <w:top w:val="none" w:sz="0" w:space="0" w:color="auto"/>
        <w:left w:val="none" w:sz="0" w:space="0" w:color="auto"/>
        <w:bottom w:val="none" w:sz="0" w:space="0" w:color="auto"/>
        <w:right w:val="none" w:sz="0" w:space="0" w:color="auto"/>
      </w:divBdr>
    </w:div>
    <w:div w:id="76873769">
      <w:marLeft w:val="0"/>
      <w:marRight w:val="0"/>
      <w:marTop w:val="0"/>
      <w:marBottom w:val="0"/>
      <w:divBdr>
        <w:top w:val="none" w:sz="0" w:space="0" w:color="auto"/>
        <w:left w:val="none" w:sz="0" w:space="0" w:color="auto"/>
        <w:bottom w:val="none" w:sz="0" w:space="0" w:color="auto"/>
        <w:right w:val="none" w:sz="0" w:space="0" w:color="auto"/>
      </w:divBdr>
    </w:div>
    <w:div w:id="90854509">
      <w:marLeft w:val="0"/>
      <w:marRight w:val="0"/>
      <w:marTop w:val="0"/>
      <w:marBottom w:val="0"/>
      <w:divBdr>
        <w:top w:val="none" w:sz="0" w:space="0" w:color="auto"/>
        <w:left w:val="none" w:sz="0" w:space="0" w:color="auto"/>
        <w:bottom w:val="none" w:sz="0" w:space="0" w:color="auto"/>
        <w:right w:val="none" w:sz="0" w:space="0" w:color="auto"/>
      </w:divBdr>
    </w:div>
    <w:div w:id="102967459">
      <w:marLeft w:val="0"/>
      <w:marRight w:val="0"/>
      <w:marTop w:val="0"/>
      <w:marBottom w:val="0"/>
      <w:divBdr>
        <w:top w:val="none" w:sz="0" w:space="0" w:color="auto"/>
        <w:left w:val="none" w:sz="0" w:space="0" w:color="auto"/>
        <w:bottom w:val="none" w:sz="0" w:space="0" w:color="auto"/>
        <w:right w:val="none" w:sz="0" w:space="0" w:color="auto"/>
      </w:divBdr>
    </w:div>
    <w:div w:id="112987606">
      <w:marLeft w:val="0"/>
      <w:marRight w:val="0"/>
      <w:marTop w:val="0"/>
      <w:marBottom w:val="0"/>
      <w:divBdr>
        <w:top w:val="none" w:sz="0" w:space="0" w:color="auto"/>
        <w:left w:val="none" w:sz="0" w:space="0" w:color="auto"/>
        <w:bottom w:val="none" w:sz="0" w:space="0" w:color="auto"/>
        <w:right w:val="none" w:sz="0" w:space="0" w:color="auto"/>
      </w:divBdr>
    </w:div>
    <w:div w:id="136263321">
      <w:marLeft w:val="0"/>
      <w:marRight w:val="0"/>
      <w:marTop w:val="0"/>
      <w:marBottom w:val="0"/>
      <w:divBdr>
        <w:top w:val="none" w:sz="0" w:space="0" w:color="auto"/>
        <w:left w:val="none" w:sz="0" w:space="0" w:color="auto"/>
        <w:bottom w:val="none" w:sz="0" w:space="0" w:color="auto"/>
        <w:right w:val="none" w:sz="0" w:space="0" w:color="auto"/>
      </w:divBdr>
    </w:div>
    <w:div w:id="142506808">
      <w:marLeft w:val="0"/>
      <w:marRight w:val="0"/>
      <w:marTop w:val="0"/>
      <w:marBottom w:val="0"/>
      <w:divBdr>
        <w:top w:val="none" w:sz="0" w:space="0" w:color="auto"/>
        <w:left w:val="none" w:sz="0" w:space="0" w:color="auto"/>
        <w:bottom w:val="none" w:sz="0" w:space="0" w:color="auto"/>
        <w:right w:val="none" w:sz="0" w:space="0" w:color="auto"/>
      </w:divBdr>
    </w:div>
    <w:div w:id="150407879">
      <w:marLeft w:val="0"/>
      <w:marRight w:val="0"/>
      <w:marTop w:val="0"/>
      <w:marBottom w:val="0"/>
      <w:divBdr>
        <w:top w:val="none" w:sz="0" w:space="0" w:color="auto"/>
        <w:left w:val="none" w:sz="0" w:space="0" w:color="auto"/>
        <w:bottom w:val="none" w:sz="0" w:space="0" w:color="auto"/>
        <w:right w:val="none" w:sz="0" w:space="0" w:color="auto"/>
      </w:divBdr>
    </w:div>
    <w:div w:id="199902837">
      <w:marLeft w:val="0"/>
      <w:marRight w:val="0"/>
      <w:marTop w:val="0"/>
      <w:marBottom w:val="0"/>
      <w:divBdr>
        <w:top w:val="none" w:sz="0" w:space="0" w:color="auto"/>
        <w:left w:val="none" w:sz="0" w:space="0" w:color="auto"/>
        <w:bottom w:val="none" w:sz="0" w:space="0" w:color="auto"/>
        <w:right w:val="none" w:sz="0" w:space="0" w:color="auto"/>
      </w:divBdr>
    </w:div>
    <w:div w:id="218903709">
      <w:marLeft w:val="0"/>
      <w:marRight w:val="0"/>
      <w:marTop w:val="0"/>
      <w:marBottom w:val="0"/>
      <w:divBdr>
        <w:top w:val="none" w:sz="0" w:space="0" w:color="auto"/>
        <w:left w:val="none" w:sz="0" w:space="0" w:color="auto"/>
        <w:bottom w:val="none" w:sz="0" w:space="0" w:color="auto"/>
        <w:right w:val="none" w:sz="0" w:space="0" w:color="auto"/>
      </w:divBdr>
    </w:div>
    <w:div w:id="220412650">
      <w:marLeft w:val="0"/>
      <w:marRight w:val="0"/>
      <w:marTop w:val="0"/>
      <w:marBottom w:val="0"/>
      <w:divBdr>
        <w:top w:val="none" w:sz="0" w:space="0" w:color="auto"/>
        <w:left w:val="none" w:sz="0" w:space="0" w:color="auto"/>
        <w:bottom w:val="none" w:sz="0" w:space="0" w:color="auto"/>
        <w:right w:val="none" w:sz="0" w:space="0" w:color="auto"/>
      </w:divBdr>
    </w:div>
    <w:div w:id="256595918">
      <w:marLeft w:val="0"/>
      <w:marRight w:val="0"/>
      <w:marTop w:val="0"/>
      <w:marBottom w:val="0"/>
      <w:divBdr>
        <w:top w:val="none" w:sz="0" w:space="0" w:color="auto"/>
        <w:left w:val="none" w:sz="0" w:space="0" w:color="auto"/>
        <w:bottom w:val="none" w:sz="0" w:space="0" w:color="auto"/>
        <w:right w:val="none" w:sz="0" w:space="0" w:color="auto"/>
      </w:divBdr>
    </w:div>
    <w:div w:id="257180031">
      <w:marLeft w:val="0"/>
      <w:marRight w:val="0"/>
      <w:marTop w:val="0"/>
      <w:marBottom w:val="0"/>
      <w:divBdr>
        <w:top w:val="none" w:sz="0" w:space="0" w:color="auto"/>
        <w:left w:val="none" w:sz="0" w:space="0" w:color="auto"/>
        <w:bottom w:val="none" w:sz="0" w:space="0" w:color="auto"/>
        <w:right w:val="none" w:sz="0" w:space="0" w:color="auto"/>
      </w:divBdr>
    </w:div>
    <w:div w:id="280454535">
      <w:marLeft w:val="0"/>
      <w:marRight w:val="0"/>
      <w:marTop w:val="0"/>
      <w:marBottom w:val="0"/>
      <w:divBdr>
        <w:top w:val="none" w:sz="0" w:space="0" w:color="auto"/>
        <w:left w:val="none" w:sz="0" w:space="0" w:color="auto"/>
        <w:bottom w:val="none" w:sz="0" w:space="0" w:color="auto"/>
        <w:right w:val="none" w:sz="0" w:space="0" w:color="auto"/>
      </w:divBdr>
    </w:div>
    <w:div w:id="286937303">
      <w:marLeft w:val="0"/>
      <w:marRight w:val="0"/>
      <w:marTop w:val="0"/>
      <w:marBottom w:val="0"/>
      <w:divBdr>
        <w:top w:val="none" w:sz="0" w:space="0" w:color="auto"/>
        <w:left w:val="none" w:sz="0" w:space="0" w:color="auto"/>
        <w:bottom w:val="none" w:sz="0" w:space="0" w:color="auto"/>
        <w:right w:val="none" w:sz="0" w:space="0" w:color="auto"/>
      </w:divBdr>
    </w:div>
    <w:div w:id="298071899">
      <w:marLeft w:val="0"/>
      <w:marRight w:val="0"/>
      <w:marTop w:val="0"/>
      <w:marBottom w:val="0"/>
      <w:divBdr>
        <w:top w:val="none" w:sz="0" w:space="0" w:color="auto"/>
        <w:left w:val="none" w:sz="0" w:space="0" w:color="auto"/>
        <w:bottom w:val="none" w:sz="0" w:space="0" w:color="auto"/>
        <w:right w:val="none" w:sz="0" w:space="0" w:color="auto"/>
      </w:divBdr>
    </w:div>
    <w:div w:id="304092082">
      <w:marLeft w:val="0"/>
      <w:marRight w:val="0"/>
      <w:marTop w:val="0"/>
      <w:marBottom w:val="0"/>
      <w:divBdr>
        <w:top w:val="none" w:sz="0" w:space="0" w:color="auto"/>
        <w:left w:val="none" w:sz="0" w:space="0" w:color="auto"/>
        <w:bottom w:val="none" w:sz="0" w:space="0" w:color="auto"/>
        <w:right w:val="none" w:sz="0" w:space="0" w:color="auto"/>
      </w:divBdr>
    </w:div>
    <w:div w:id="306470148">
      <w:marLeft w:val="0"/>
      <w:marRight w:val="0"/>
      <w:marTop w:val="0"/>
      <w:marBottom w:val="0"/>
      <w:divBdr>
        <w:top w:val="none" w:sz="0" w:space="0" w:color="auto"/>
        <w:left w:val="none" w:sz="0" w:space="0" w:color="auto"/>
        <w:bottom w:val="none" w:sz="0" w:space="0" w:color="auto"/>
        <w:right w:val="none" w:sz="0" w:space="0" w:color="auto"/>
      </w:divBdr>
    </w:div>
    <w:div w:id="307436381">
      <w:marLeft w:val="0"/>
      <w:marRight w:val="0"/>
      <w:marTop w:val="0"/>
      <w:marBottom w:val="0"/>
      <w:divBdr>
        <w:top w:val="none" w:sz="0" w:space="0" w:color="auto"/>
        <w:left w:val="none" w:sz="0" w:space="0" w:color="auto"/>
        <w:bottom w:val="none" w:sz="0" w:space="0" w:color="auto"/>
        <w:right w:val="none" w:sz="0" w:space="0" w:color="auto"/>
      </w:divBdr>
    </w:div>
    <w:div w:id="387534631">
      <w:marLeft w:val="0"/>
      <w:marRight w:val="0"/>
      <w:marTop w:val="0"/>
      <w:marBottom w:val="0"/>
      <w:divBdr>
        <w:top w:val="none" w:sz="0" w:space="0" w:color="auto"/>
        <w:left w:val="none" w:sz="0" w:space="0" w:color="auto"/>
        <w:bottom w:val="none" w:sz="0" w:space="0" w:color="auto"/>
        <w:right w:val="none" w:sz="0" w:space="0" w:color="auto"/>
      </w:divBdr>
    </w:div>
    <w:div w:id="408887738">
      <w:marLeft w:val="0"/>
      <w:marRight w:val="0"/>
      <w:marTop w:val="0"/>
      <w:marBottom w:val="0"/>
      <w:divBdr>
        <w:top w:val="none" w:sz="0" w:space="0" w:color="auto"/>
        <w:left w:val="none" w:sz="0" w:space="0" w:color="auto"/>
        <w:bottom w:val="none" w:sz="0" w:space="0" w:color="auto"/>
        <w:right w:val="none" w:sz="0" w:space="0" w:color="auto"/>
      </w:divBdr>
    </w:div>
    <w:div w:id="432215107">
      <w:marLeft w:val="0"/>
      <w:marRight w:val="0"/>
      <w:marTop w:val="0"/>
      <w:marBottom w:val="0"/>
      <w:divBdr>
        <w:top w:val="none" w:sz="0" w:space="0" w:color="auto"/>
        <w:left w:val="none" w:sz="0" w:space="0" w:color="auto"/>
        <w:bottom w:val="none" w:sz="0" w:space="0" w:color="auto"/>
        <w:right w:val="none" w:sz="0" w:space="0" w:color="auto"/>
      </w:divBdr>
    </w:div>
    <w:div w:id="444619973">
      <w:marLeft w:val="0"/>
      <w:marRight w:val="0"/>
      <w:marTop w:val="0"/>
      <w:marBottom w:val="0"/>
      <w:divBdr>
        <w:top w:val="none" w:sz="0" w:space="0" w:color="auto"/>
        <w:left w:val="none" w:sz="0" w:space="0" w:color="auto"/>
        <w:bottom w:val="none" w:sz="0" w:space="0" w:color="auto"/>
        <w:right w:val="none" w:sz="0" w:space="0" w:color="auto"/>
      </w:divBdr>
    </w:div>
    <w:div w:id="465582231">
      <w:marLeft w:val="0"/>
      <w:marRight w:val="0"/>
      <w:marTop w:val="0"/>
      <w:marBottom w:val="0"/>
      <w:divBdr>
        <w:top w:val="none" w:sz="0" w:space="0" w:color="auto"/>
        <w:left w:val="none" w:sz="0" w:space="0" w:color="auto"/>
        <w:bottom w:val="none" w:sz="0" w:space="0" w:color="auto"/>
        <w:right w:val="none" w:sz="0" w:space="0" w:color="auto"/>
      </w:divBdr>
    </w:div>
    <w:div w:id="468743789">
      <w:marLeft w:val="0"/>
      <w:marRight w:val="0"/>
      <w:marTop w:val="0"/>
      <w:marBottom w:val="0"/>
      <w:divBdr>
        <w:top w:val="none" w:sz="0" w:space="0" w:color="auto"/>
        <w:left w:val="none" w:sz="0" w:space="0" w:color="auto"/>
        <w:bottom w:val="none" w:sz="0" w:space="0" w:color="auto"/>
        <w:right w:val="none" w:sz="0" w:space="0" w:color="auto"/>
      </w:divBdr>
    </w:div>
    <w:div w:id="470828781">
      <w:marLeft w:val="0"/>
      <w:marRight w:val="0"/>
      <w:marTop w:val="0"/>
      <w:marBottom w:val="0"/>
      <w:divBdr>
        <w:top w:val="none" w:sz="0" w:space="0" w:color="auto"/>
        <w:left w:val="none" w:sz="0" w:space="0" w:color="auto"/>
        <w:bottom w:val="none" w:sz="0" w:space="0" w:color="auto"/>
        <w:right w:val="none" w:sz="0" w:space="0" w:color="auto"/>
      </w:divBdr>
    </w:div>
    <w:div w:id="558900516">
      <w:marLeft w:val="0"/>
      <w:marRight w:val="0"/>
      <w:marTop w:val="0"/>
      <w:marBottom w:val="0"/>
      <w:divBdr>
        <w:top w:val="none" w:sz="0" w:space="0" w:color="auto"/>
        <w:left w:val="none" w:sz="0" w:space="0" w:color="auto"/>
        <w:bottom w:val="none" w:sz="0" w:space="0" w:color="auto"/>
        <w:right w:val="none" w:sz="0" w:space="0" w:color="auto"/>
      </w:divBdr>
    </w:div>
    <w:div w:id="559094697">
      <w:marLeft w:val="0"/>
      <w:marRight w:val="0"/>
      <w:marTop w:val="0"/>
      <w:marBottom w:val="0"/>
      <w:divBdr>
        <w:top w:val="none" w:sz="0" w:space="0" w:color="auto"/>
        <w:left w:val="none" w:sz="0" w:space="0" w:color="auto"/>
        <w:bottom w:val="none" w:sz="0" w:space="0" w:color="auto"/>
        <w:right w:val="none" w:sz="0" w:space="0" w:color="auto"/>
      </w:divBdr>
    </w:div>
    <w:div w:id="562527384">
      <w:marLeft w:val="0"/>
      <w:marRight w:val="0"/>
      <w:marTop w:val="0"/>
      <w:marBottom w:val="0"/>
      <w:divBdr>
        <w:top w:val="none" w:sz="0" w:space="0" w:color="auto"/>
        <w:left w:val="none" w:sz="0" w:space="0" w:color="auto"/>
        <w:bottom w:val="none" w:sz="0" w:space="0" w:color="auto"/>
        <w:right w:val="none" w:sz="0" w:space="0" w:color="auto"/>
      </w:divBdr>
    </w:div>
    <w:div w:id="593628898">
      <w:marLeft w:val="0"/>
      <w:marRight w:val="0"/>
      <w:marTop w:val="0"/>
      <w:marBottom w:val="0"/>
      <w:divBdr>
        <w:top w:val="none" w:sz="0" w:space="0" w:color="auto"/>
        <w:left w:val="none" w:sz="0" w:space="0" w:color="auto"/>
        <w:bottom w:val="none" w:sz="0" w:space="0" w:color="auto"/>
        <w:right w:val="none" w:sz="0" w:space="0" w:color="auto"/>
      </w:divBdr>
    </w:div>
    <w:div w:id="606082098">
      <w:marLeft w:val="0"/>
      <w:marRight w:val="0"/>
      <w:marTop w:val="0"/>
      <w:marBottom w:val="0"/>
      <w:divBdr>
        <w:top w:val="none" w:sz="0" w:space="0" w:color="auto"/>
        <w:left w:val="none" w:sz="0" w:space="0" w:color="auto"/>
        <w:bottom w:val="none" w:sz="0" w:space="0" w:color="auto"/>
        <w:right w:val="none" w:sz="0" w:space="0" w:color="auto"/>
      </w:divBdr>
    </w:div>
    <w:div w:id="663319193">
      <w:marLeft w:val="0"/>
      <w:marRight w:val="0"/>
      <w:marTop w:val="0"/>
      <w:marBottom w:val="0"/>
      <w:divBdr>
        <w:top w:val="none" w:sz="0" w:space="0" w:color="auto"/>
        <w:left w:val="none" w:sz="0" w:space="0" w:color="auto"/>
        <w:bottom w:val="none" w:sz="0" w:space="0" w:color="auto"/>
        <w:right w:val="none" w:sz="0" w:space="0" w:color="auto"/>
      </w:divBdr>
    </w:div>
    <w:div w:id="705258027">
      <w:marLeft w:val="0"/>
      <w:marRight w:val="0"/>
      <w:marTop w:val="0"/>
      <w:marBottom w:val="0"/>
      <w:divBdr>
        <w:top w:val="none" w:sz="0" w:space="0" w:color="auto"/>
        <w:left w:val="none" w:sz="0" w:space="0" w:color="auto"/>
        <w:bottom w:val="none" w:sz="0" w:space="0" w:color="auto"/>
        <w:right w:val="none" w:sz="0" w:space="0" w:color="auto"/>
      </w:divBdr>
    </w:div>
    <w:div w:id="715203926">
      <w:marLeft w:val="0"/>
      <w:marRight w:val="0"/>
      <w:marTop w:val="0"/>
      <w:marBottom w:val="0"/>
      <w:divBdr>
        <w:top w:val="none" w:sz="0" w:space="0" w:color="auto"/>
        <w:left w:val="none" w:sz="0" w:space="0" w:color="auto"/>
        <w:bottom w:val="none" w:sz="0" w:space="0" w:color="auto"/>
        <w:right w:val="none" w:sz="0" w:space="0" w:color="auto"/>
      </w:divBdr>
    </w:div>
    <w:div w:id="717583337">
      <w:marLeft w:val="0"/>
      <w:marRight w:val="0"/>
      <w:marTop w:val="0"/>
      <w:marBottom w:val="0"/>
      <w:divBdr>
        <w:top w:val="none" w:sz="0" w:space="0" w:color="auto"/>
        <w:left w:val="none" w:sz="0" w:space="0" w:color="auto"/>
        <w:bottom w:val="none" w:sz="0" w:space="0" w:color="auto"/>
        <w:right w:val="none" w:sz="0" w:space="0" w:color="auto"/>
      </w:divBdr>
    </w:div>
    <w:div w:id="720330082">
      <w:marLeft w:val="0"/>
      <w:marRight w:val="0"/>
      <w:marTop w:val="0"/>
      <w:marBottom w:val="0"/>
      <w:divBdr>
        <w:top w:val="none" w:sz="0" w:space="0" w:color="auto"/>
        <w:left w:val="none" w:sz="0" w:space="0" w:color="auto"/>
        <w:bottom w:val="none" w:sz="0" w:space="0" w:color="auto"/>
        <w:right w:val="none" w:sz="0" w:space="0" w:color="auto"/>
      </w:divBdr>
    </w:div>
    <w:div w:id="727459805">
      <w:marLeft w:val="0"/>
      <w:marRight w:val="0"/>
      <w:marTop w:val="0"/>
      <w:marBottom w:val="0"/>
      <w:divBdr>
        <w:top w:val="none" w:sz="0" w:space="0" w:color="auto"/>
        <w:left w:val="none" w:sz="0" w:space="0" w:color="auto"/>
        <w:bottom w:val="none" w:sz="0" w:space="0" w:color="auto"/>
        <w:right w:val="none" w:sz="0" w:space="0" w:color="auto"/>
      </w:divBdr>
    </w:div>
    <w:div w:id="766968217">
      <w:marLeft w:val="0"/>
      <w:marRight w:val="0"/>
      <w:marTop w:val="0"/>
      <w:marBottom w:val="0"/>
      <w:divBdr>
        <w:top w:val="none" w:sz="0" w:space="0" w:color="auto"/>
        <w:left w:val="none" w:sz="0" w:space="0" w:color="auto"/>
        <w:bottom w:val="none" w:sz="0" w:space="0" w:color="auto"/>
        <w:right w:val="none" w:sz="0" w:space="0" w:color="auto"/>
      </w:divBdr>
    </w:div>
    <w:div w:id="768503914">
      <w:marLeft w:val="0"/>
      <w:marRight w:val="0"/>
      <w:marTop w:val="0"/>
      <w:marBottom w:val="0"/>
      <w:divBdr>
        <w:top w:val="none" w:sz="0" w:space="0" w:color="auto"/>
        <w:left w:val="none" w:sz="0" w:space="0" w:color="auto"/>
        <w:bottom w:val="none" w:sz="0" w:space="0" w:color="auto"/>
        <w:right w:val="none" w:sz="0" w:space="0" w:color="auto"/>
      </w:divBdr>
    </w:div>
    <w:div w:id="806698869">
      <w:marLeft w:val="0"/>
      <w:marRight w:val="0"/>
      <w:marTop w:val="0"/>
      <w:marBottom w:val="0"/>
      <w:divBdr>
        <w:top w:val="none" w:sz="0" w:space="0" w:color="auto"/>
        <w:left w:val="none" w:sz="0" w:space="0" w:color="auto"/>
        <w:bottom w:val="none" w:sz="0" w:space="0" w:color="auto"/>
        <w:right w:val="none" w:sz="0" w:space="0" w:color="auto"/>
      </w:divBdr>
    </w:div>
    <w:div w:id="810754250">
      <w:marLeft w:val="0"/>
      <w:marRight w:val="0"/>
      <w:marTop w:val="0"/>
      <w:marBottom w:val="0"/>
      <w:divBdr>
        <w:top w:val="none" w:sz="0" w:space="0" w:color="auto"/>
        <w:left w:val="none" w:sz="0" w:space="0" w:color="auto"/>
        <w:bottom w:val="none" w:sz="0" w:space="0" w:color="auto"/>
        <w:right w:val="none" w:sz="0" w:space="0" w:color="auto"/>
      </w:divBdr>
    </w:div>
    <w:div w:id="827474966">
      <w:marLeft w:val="0"/>
      <w:marRight w:val="0"/>
      <w:marTop w:val="0"/>
      <w:marBottom w:val="0"/>
      <w:divBdr>
        <w:top w:val="none" w:sz="0" w:space="0" w:color="auto"/>
        <w:left w:val="none" w:sz="0" w:space="0" w:color="auto"/>
        <w:bottom w:val="none" w:sz="0" w:space="0" w:color="auto"/>
        <w:right w:val="none" w:sz="0" w:space="0" w:color="auto"/>
      </w:divBdr>
    </w:div>
    <w:div w:id="860896568">
      <w:marLeft w:val="0"/>
      <w:marRight w:val="0"/>
      <w:marTop w:val="0"/>
      <w:marBottom w:val="0"/>
      <w:divBdr>
        <w:top w:val="none" w:sz="0" w:space="0" w:color="auto"/>
        <w:left w:val="none" w:sz="0" w:space="0" w:color="auto"/>
        <w:bottom w:val="none" w:sz="0" w:space="0" w:color="auto"/>
        <w:right w:val="none" w:sz="0" w:space="0" w:color="auto"/>
      </w:divBdr>
    </w:div>
    <w:div w:id="870193645">
      <w:marLeft w:val="0"/>
      <w:marRight w:val="0"/>
      <w:marTop w:val="0"/>
      <w:marBottom w:val="0"/>
      <w:divBdr>
        <w:top w:val="none" w:sz="0" w:space="0" w:color="auto"/>
        <w:left w:val="none" w:sz="0" w:space="0" w:color="auto"/>
        <w:bottom w:val="none" w:sz="0" w:space="0" w:color="auto"/>
        <w:right w:val="none" w:sz="0" w:space="0" w:color="auto"/>
      </w:divBdr>
    </w:div>
    <w:div w:id="894975135">
      <w:marLeft w:val="0"/>
      <w:marRight w:val="0"/>
      <w:marTop w:val="0"/>
      <w:marBottom w:val="0"/>
      <w:divBdr>
        <w:top w:val="none" w:sz="0" w:space="0" w:color="auto"/>
        <w:left w:val="none" w:sz="0" w:space="0" w:color="auto"/>
        <w:bottom w:val="none" w:sz="0" w:space="0" w:color="auto"/>
        <w:right w:val="none" w:sz="0" w:space="0" w:color="auto"/>
      </w:divBdr>
    </w:div>
    <w:div w:id="930971519">
      <w:marLeft w:val="0"/>
      <w:marRight w:val="0"/>
      <w:marTop w:val="0"/>
      <w:marBottom w:val="0"/>
      <w:divBdr>
        <w:top w:val="none" w:sz="0" w:space="0" w:color="auto"/>
        <w:left w:val="none" w:sz="0" w:space="0" w:color="auto"/>
        <w:bottom w:val="none" w:sz="0" w:space="0" w:color="auto"/>
        <w:right w:val="none" w:sz="0" w:space="0" w:color="auto"/>
      </w:divBdr>
    </w:div>
    <w:div w:id="938097603">
      <w:marLeft w:val="0"/>
      <w:marRight w:val="0"/>
      <w:marTop w:val="0"/>
      <w:marBottom w:val="0"/>
      <w:divBdr>
        <w:top w:val="none" w:sz="0" w:space="0" w:color="auto"/>
        <w:left w:val="none" w:sz="0" w:space="0" w:color="auto"/>
        <w:bottom w:val="none" w:sz="0" w:space="0" w:color="auto"/>
        <w:right w:val="none" w:sz="0" w:space="0" w:color="auto"/>
      </w:divBdr>
    </w:div>
    <w:div w:id="938637498">
      <w:marLeft w:val="0"/>
      <w:marRight w:val="0"/>
      <w:marTop w:val="0"/>
      <w:marBottom w:val="0"/>
      <w:divBdr>
        <w:top w:val="none" w:sz="0" w:space="0" w:color="auto"/>
        <w:left w:val="none" w:sz="0" w:space="0" w:color="auto"/>
        <w:bottom w:val="none" w:sz="0" w:space="0" w:color="auto"/>
        <w:right w:val="none" w:sz="0" w:space="0" w:color="auto"/>
      </w:divBdr>
    </w:div>
    <w:div w:id="969748161">
      <w:marLeft w:val="0"/>
      <w:marRight w:val="0"/>
      <w:marTop w:val="0"/>
      <w:marBottom w:val="0"/>
      <w:divBdr>
        <w:top w:val="none" w:sz="0" w:space="0" w:color="auto"/>
        <w:left w:val="none" w:sz="0" w:space="0" w:color="auto"/>
        <w:bottom w:val="none" w:sz="0" w:space="0" w:color="auto"/>
        <w:right w:val="none" w:sz="0" w:space="0" w:color="auto"/>
      </w:divBdr>
    </w:div>
    <w:div w:id="1085615971">
      <w:marLeft w:val="0"/>
      <w:marRight w:val="0"/>
      <w:marTop w:val="0"/>
      <w:marBottom w:val="0"/>
      <w:divBdr>
        <w:top w:val="none" w:sz="0" w:space="0" w:color="auto"/>
        <w:left w:val="none" w:sz="0" w:space="0" w:color="auto"/>
        <w:bottom w:val="none" w:sz="0" w:space="0" w:color="auto"/>
        <w:right w:val="none" w:sz="0" w:space="0" w:color="auto"/>
      </w:divBdr>
    </w:div>
    <w:div w:id="1094278956">
      <w:marLeft w:val="0"/>
      <w:marRight w:val="0"/>
      <w:marTop w:val="0"/>
      <w:marBottom w:val="0"/>
      <w:divBdr>
        <w:top w:val="none" w:sz="0" w:space="0" w:color="auto"/>
        <w:left w:val="none" w:sz="0" w:space="0" w:color="auto"/>
        <w:bottom w:val="none" w:sz="0" w:space="0" w:color="auto"/>
        <w:right w:val="none" w:sz="0" w:space="0" w:color="auto"/>
      </w:divBdr>
    </w:div>
    <w:div w:id="1113131744">
      <w:marLeft w:val="0"/>
      <w:marRight w:val="0"/>
      <w:marTop w:val="0"/>
      <w:marBottom w:val="0"/>
      <w:divBdr>
        <w:top w:val="none" w:sz="0" w:space="0" w:color="auto"/>
        <w:left w:val="none" w:sz="0" w:space="0" w:color="auto"/>
        <w:bottom w:val="none" w:sz="0" w:space="0" w:color="auto"/>
        <w:right w:val="none" w:sz="0" w:space="0" w:color="auto"/>
      </w:divBdr>
    </w:div>
    <w:div w:id="1154449078">
      <w:marLeft w:val="0"/>
      <w:marRight w:val="0"/>
      <w:marTop w:val="0"/>
      <w:marBottom w:val="0"/>
      <w:divBdr>
        <w:top w:val="none" w:sz="0" w:space="0" w:color="auto"/>
        <w:left w:val="none" w:sz="0" w:space="0" w:color="auto"/>
        <w:bottom w:val="none" w:sz="0" w:space="0" w:color="auto"/>
        <w:right w:val="none" w:sz="0" w:space="0" w:color="auto"/>
      </w:divBdr>
    </w:div>
    <w:div w:id="1161121961">
      <w:marLeft w:val="0"/>
      <w:marRight w:val="0"/>
      <w:marTop w:val="0"/>
      <w:marBottom w:val="0"/>
      <w:divBdr>
        <w:top w:val="none" w:sz="0" w:space="0" w:color="auto"/>
        <w:left w:val="none" w:sz="0" w:space="0" w:color="auto"/>
        <w:bottom w:val="none" w:sz="0" w:space="0" w:color="auto"/>
        <w:right w:val="none" w:sz="0" w:space="0" w:color="auto"/>
      </w:divBdr>
    </w:div>
    <w:div w:id="1183012205">
      <w:marLeft w:val="0"/>
      <w:marRight w:val="0"/>
      <w:marTop w:val="0"/>
      <w:marBottom w:val="0"/>
      <w:divBdr>
        <w:top w:val="none" w:sz="0" w:space="0" w:color="auto"/>
        <w:left w:val="none" w:sz="0" w:space="0" w:color="auto"/>
        <w:bottom w:val="none" w:sz="0" w:space="0" w:color="auto"/>
        <w:right w:val="none" w:sz="0" w:space="0" w:color="auto"/>
      </w:divBdr>
    </w:div>
    <w:div w:id="1187332422">
      <w:marLeft w:val="0"/>
      <w:marRight w:val="0"/>
      <w:marTop w:val="0"/>
      <w:marBottom w:val="0"/>
      <w:divBdr>
        <w:top w:val="none" w:sz="0" w:space="0" w:color="auto"/>
        <w:left w:val="none" w:sz="0" w:space="0" w:color="auto"/>
        <w:bottom w:val="none" w:sz="0" w:space="0" w:color="auto"/>
        <w:right w:val="none" w:sz="0" w:space="0" w:color="auto"/>
      </w:divBdr>
    </w:div>
    <w:div w:id="1202985006">
      <w:marLeft w:val="0"/>
      <w:marRight w:val="0"/>
      <w:marTop w:val="0"/>
      <w:marBottom w:val="0"/>
      <w:divBdr>
        <w:top w:val="none" w:sz="0" w:space="0" w:color="auto"/>
        <w:left w:val="none" w:sz="0" w:space="0" w:color="auto"/>
        <w:bottom w:val="none" w:sz="0" w:space="0" w:color="auto"/>
        <w:right w:val="none" w:sz="0" w:space="0" w:color="auto"/>
      </w:divBdr>
    </w:div>
    <w:div w:id="1240795383">
      <w:marLeft w:val="0"/>
      <w:marRight w:val="0"/>
      <w:marTop w:val="0"/>
      <w:marBottom w:val="0"/>
      <w:divBdr>
        <w:top w:val="none" w:sz="0" w:space="0" w:color="auto"/>
        <w:left w:val="none" w:sz="0" w:space="0" w:color="auto"/>
        <w:bottom w:val="none" w:sz="0" w:space="0" w:color="auto"/>
        <w:right w:val="none" w:sz="0" w:space="0" w:color="auto"/>
      </w:divBdr>
    </w:div>
    <w:div w:id="1297563067">
      <w:marLeft w:val="0"/>
      <w:marRight w:val="0"/>
      <w:marTop w:val="0"/>
      <w:marBottom w:val="0"/>
      <w:divBdr>
        <w:top w:val="none" w:sz="0" w:space="0" w:color="auto"/>
        <w:left w:val="none" w:sz="0" w:space="0" w:color="auto"/>
        <w:bottom w:val="none" w:sz="0" w:space="0" w:color="auto"/>
        <w:right w:val="none" w:sz="0" w:space="0" w:color="auto"/>
      </w:divBdr>
    </w:div>
    <w:div w:id="1325083698">
      <w:marLeft w:val="0"/>
      <w:marRight w:val="0"/>
      <w:marTop w:val="0"/>
      <w:marBottom w:val="0"/>
      <w:divBdr>
        <w:top w:val="none" w:sz="0" w:space="0" w:color="auto"/>
        <w:left w:val="none" w:sz="0" w:space="0" w:color="auto"/>
        <w:bottom w:val="none" w:sz="0" w:space="0" w:color="auto"/>
        <w:right w:val="none" w:sz="0" w:space="0" w:color="auto"/>
      </w:divBdr>
    </w:div>
    <w:div w:id="1387485065">
      <w:marLeft w:val="0"/>
      <w:marRight w:val="0"/>
      <w:marTop w:val="0"/>
      <w:marBottom w:val="0"/>
      <w:divBdr>
        <w:top w:val="none" w:sz="0" w:space="0" w:color="auto"/>
        <w:left w:val="none" w:sz="0" w:space="0" w:color="auto"/>
        <w:bottom w:val="none" w:sz="0" w:space="0" w:color="auto"/>
        <w:right w:val="none" w:sz="0" w:space="0" w:color="auto"/>
      </w:divBdr>
    </w:div>
    <w:div w:id="1390766106">
      <w:marLeft w:val="0"/>
      <w:marRight w:val="0"/>
      <w:marTop w:val="0"/>
      <w:marBottom w:val="0"/>
      <w:divBdr>
        <w:top w:val="none" w:sz="0" w:space="0" w:color="auto"/>
        <w:left w:val="none" w:sz="0" w:space="0" w:color="auto"/>
        <w:bottom w:val="none" w:sz="0" w:space="0" w:color="auto"/>
        <w:right w:val="none" w:sz="0" w:space="0" w:color="auto"/>
      </w:divBdr>
    </w:div>
    <w:div w:id="1391344153">
      <w:marLeft w:val="0"/>
      <w:marRight w:val="0"/>
      <w:marTop w:val="0"/>
      <w:marBottom w:val="0"/>
      <w:divBdr>
        <w:top w:val="none" w:sz="0" w:space="0" w:color="auto"/>
        <w:left w:val="none" w:sz="0" w:space="0" w:color="auto"/>
        <w:bottom w:val="none" w:sz="0" w:space="0" w:color="auto"/>
        <w:right w:val="none" w:sz="0" w:space="0" w:color="auto"/>
      </w:divBdr>
    </w:div>
    <w:div w:id="1399129239">
      <w:marLeft w:val="0"/>
      <w:marRight w:val="0"/>
      <w:marTop w:val="0"/>
      <w:marBottom w:val="0"/>
      <w:divBdr>
        <w:top w:val="none" w:sz="0" w:space="0" w:color="auto"/>
        <w:left w:val="none" w:sz="0" w:space="0" w:color="auto"/>
        <w:bottom w:val="none" w:sz="0" w:space="0" w:color="auto"/>
        <w:right w:val="none" w:sz="0" w:space="0" w:color="auto"/>
      </w:divBdr>
    </w:div>
    <w:div w:id="1413508228">
      <w:marLeft w:val="0"/>
      <w:marRight w:val="0"/>
      <w:marTop w:val="0"/>
      <w:marBottom w:val="0"/>
      <w:divBdr>
        <w:top w:val="none" w:sz="0" w:space="0" w:color="auto"/>
        <w:left w:val="none" w:sz="0" w:space="0" w:color="auto"/>
        <w:bottom w:val="none" w:sz="0" w:space="0" w:color="auto"/>
        <w:right w:val="none" w:sz="0" w:space="0" w:color="auto"/>
      </w:divBdr>
    </w:div>
    <w:div w:id="1436826708">
      <w:marLeft w:val="0"/>
      <w:marRight w:val="0"/>
      <w:marTop w:val="0"/>
      <w:marBottom w:val="0"/>
      <w:divBdr>
        <w:top w:val="none" w:sz="0" w:space="0" w:color="auto"/>
        <w:left w:val="none" w:sz="0" w:space="0" w:color="auto"/>
        <w:bottom w:val="none" w:sz="0" w:space="0" w:color="auto"/>
        <w:right w:val="none" w:sz="0" w:space="0" w:color="auto"/>
      </w:divBdr>
    </w:div>
    <w:div w:id="1443646539">
      <w:marLeft w:val="0"/>
      <w:marRight w:val="0"/>
      <w:marTop w:val="0"/>
      <w:marBottom w:val="0"/>
      <w:divBdr>
        <w:top w:val="none" w:sz="0" w:space="0" w:color="auto"/>
        <w:left w:val="none" w:sz="0" w:space="0" w:color="auto"/>
        <w:bottom w:val="none" w:sz="0" w:space="0" w:color="auto"/>
        <w:right w:val="none" w:sz="0" w:space="0" w:color="auto"/>
      </w:divBdr>
    </w:div>
    <w:div w:id="1450511828">
      <w:marLeft w:val="0"/>
      <w:marRight w:val="0"/>
      <w:marTop w:val="0"/>
      <w:marBottom w:val="0"/>
      <w:divBdr>
        <w:top w:val="none" w:sz="0" w:space="0" w:color="auto"/>
        <w:left w:val="none" w:sz="0" w:space="0" w:color="auto"/>
        <w:bottom w:val="none" w:sz="0" w:space="0" w:color="auto"/>
        <w:right w:val="none" w:sz="0" w:space="0" w:color="auto"/>
      </w:divBdr>
    </w:div>
    <w:div w:id="1454250752">
      <w:marLeft w:val="0"/>
      <w:marRight w:val="0"/>
      <w:marTop w:val="0"/>
      <w:marBottom w:val="0"/>
      <w:divBdr>
        <w:top w:val="none" w:sz="0" w:space="0" w:color="auto"/>
        <w:left w:val="none" w:sz="0" w:space="0" w:color="auto"/>
        <w:bottom w:val="none" w:sz="0" w:space="0" w:color="auto"/>
        <w:right w:val="none" w:sz="0" w:space="0" w:color="auto"/>
      </w:divBdr>
    </w:div>
    <w:div w:id="1456830973">
      <w:marLeft w:val="0"/>
      <w:marRight w:val="0"/>
      <w:marTop w:val="0"/>
      <w:marBottom w:val="0"/>
      <w:divBdr>
        <w:top w:val="none" w:sz="0" w:space="0" w:color="auto"/>
        <w:left w:val="none" w:sz="0" w:space="0" w:color="auto"/>
        <w:bottom w:val="none" w:sz="0" w:space="0" w:color="auto"/>
        <w:right w:val="none" w:sz="0" w:space="0" w:color="auto"/>
      </w:divBdr>
    </w:div>
    <w:div w:id="1471823406">
      <w:marLeft w:val="0"/>
      <w:marRight w:val="0"/>
      <w:marTop w:val="0"/>
      <w:marBottom w:val="0"/>
      <w:divBdr>
        <w:top w:val="none" w:sz="0" w:space="0" w:color="auto"/>
        <w:left w:val="none" w:sz="0" w:space="0" w:color="auto"/>
        <w:bottom w:val="none" w:sz="0" w:space="0" w:color="auto"/>
        <w:right w:val="none" w:sz="0" w:space="0" w:color="auto"/>
      </w:divBdr>
    </w:div>
    <w:div w:id="1481384769">
      <w:marLeft w:val="0"/>
      <w:marRight w:val="0"/>
      <w:marTop w:val="0"/>
      <w:marBottom w:val="0"/>
      <w:divBdr>
        <w:top w:val="none" w:sz="0" w:space="0" w:color="auto"/>
        <w:left w:val="none" w:sz="0" w:space="0" w:color="auto"/>
        <w:bottom w:val="none" w:sz="0" w:space="0" w:color="auto"/>
        <w:right w:val="none" w:sz="0" w:space="0" w:color="auto"/>
      </w:divBdr>
    </w:div>
    <w:div w:id="1507789344">
      <w:marLeft w:val="0"/>
      <w:marRight w:val="0"/>
      <w:marTop w:val="0"/>
      <w:marBottom w:val="0"/>
      <w:divBdr>
        <w:top w:val="none" w:sz="0" w:space="0" w:color="auto"/>
        <w:left w:val="none" w:sz="0" w:space="0" w:color="auto"/>
        <w:bottom w:val="none" w:sz="0" w:space="0" w:color="auto"/>
        <w:right w:val="none" w:sz="0" w:space="0" w:color="auto"/>
      </w:divBdr>
    </w:div>
    <w:div w:id="1604067823">
      <w:marLeft w:val="0"/>
      <w:marRight w:val="0"/>
      <w:marTop w:val="0"/>
      <w:marBottom w:val="0"/>
      <w:divBdr>
        <w:top w:val="none" w:sz="0" w:space="0" w:color="auto"/>
        <w:left w:val="none" w:sz="0" w:space="0" w:color="auto"/>
        <w:bottom w:val="none" w:sz="0" w:space="0" w:color="auto"/>
        <w:right w:val="none" w:sz="0" w:space="0" w:color="auto"/>
      </w:divBdr>
    </w:div>
    <w:div w:id="1645312942">
      <w:marLeft w:val="0"/>
      <w:marRight w:val="0"/>
      <w:marTop w:val="0"/>
      <w:marBottom w:val="0"/>
      <w:divBdr>
        <w:top w:val="none" w:sz="0" w:space="0" w:color="auto"/>
        <w:left w:val="none" w:sz="0" w:space="0" w:color="auto"/>
        <w:bottom w:val="none" w:sz="0" w:space="0" w:color="auto"/>
        <w:right w:val="none" w:sz="0" w:space="0" w:color="auto"/>
      </w:divBdr>
    </w:div>
    <w:div w:id="1648195610">
      <w:marLeft w:val="0"/>
      <w:marRight w:val="0"/>
      <w:marTop w:val="0"/>
      <w:marBottom w:val="0"/>
      <w:divBdr>
        <w:top w:val="none" w:sz="0" w:space="0" w:color="auto"/>
        <w:left w:val="none" w:sz="0" w:space="0" w:color="auto"/>
        <w:bottom w:val="none" w:sz="0" w:space="0" w:color="auto"/>
        <w:right w:val="none" w:sz="0" w:space="0" w:color="auto"/>
      </w:divBdr>
    </w:div>
    <w:div w:id="1667048679">
      <w:marLeft w:val="0"/>
      <w:marRight w:val="0"/>
      <w:marTop w:val="0"/>
      <w:marBottom w:val="0"/>
      <w:divBdr>
        <w:top w:val="none" w:sz="0" w:space="0" w:color="auto"/>
        <w:left w:val="none" w:sz="0" w:space="0" w:color="auto"/>
        <w:bottom w:val="none" w:sz="0" w:space="0" w:color="auto"/>
        <w:right w:val="none" w:sz="0" w:space="0" w:color="auto"/>
      </w:divBdr>
    </w:div>
    <w:div w:id="1711147012">
      <w:marLeft w:val="0"/>
      <w:marRight w:val="0"/>
      <w:marTop w:val="0"/>
      <w:marBottom w:val="0"/>
      <w:divBdr>
        <w:top w:val="none" w:sz="0" w:space="0" w:color="auto"/>
        <w:left w:val="none" w:sz="0" w:space="0" w:color="auto"/>
        <w:bottom w:val="none" w:sz="0" w:space="0" w:color="auto"/>
        <w:right w:val="none" w:sz="0" w:space="0" w:color="auto"/>
      </w:divBdr>
    </w:div>
    <w:div w:id="1727605929">
      <w:marLeft w:val="0"/>
      <w:marRight w:val="0"/>
      <w:marTop w:val="0"/>
      <w:marBottom w:val="0"/>
      <w:divBdr>
        <w:top w:val="none" w:sz="0" w:space="0" w:color="auto"/>
        <w:left w:val="none" w:sz="0" w:space="0" w:color="auto"/>
        <w:bottom w:val="none" w:sz="0" w:space="0" w:color="auto"/>
        <w:right w:val="none" w:sz="0" w:space="0" w:color="auto"/>
      </w:divBdr>
    </w:div>
    <w:div w:id="1776288795">
      <w:marLeft w:val="0"/>
      <w:marRight w:val="0"/>
      <w:marTop w:val="0"/>
      <w:marBottom w:val="0"/>
      <w:divBdr>
        <w:top w:val="none" w:sz="0" w:space="0" w:color="auto"/>
        <w:left w:val="none" w:sz="0" w:space="0" w:color="auto"/>
        <w:bottom w:val="none" w:sz="0" w:space="0" w:color="auto"/>
        <w:right w:val="none" w:sz="0" w:space="0" w:color="auto"/>
      </w:divBdr>
    </w:div>
    <w:div w:id="1851751457">
      <w:marLeft w:val="0"/>
      <w:marRight w:val="0"/>
      <w:marTop w:val="0"/>
      <w:marBottom w:val="0"/>
      <w:divBdr>
        <w:top w:val="none" w:sz="0" w:space="0" w:color="auto"/>
        <w:left w:val="none" w:sz="0" w:space="0" w:color="auto"/>
        <w:bottom w:val="none" w:sz="0" w:space="0" w:color="auto"/>
        <w:right w:val="none" w:sz="0" w:space="0" w:color="auto"/>
      </w:divBdr>
    </w:div>
    <w:div w:id="1853571395">
      <w:marLeft w:val="0"/>
      <w:marRight w:val="0"/>
      <w:marTop w:val="0"/>
      <w:marBottom w:val="0"/>
      <w:divBdr>
        <w:top w:val="none" w:sz="0" w:space="0" w:color="auto"/>
        <w:left w:val="none" w:sz="0" w:space="0" w:color="auto"/>
        <w:bottom w:val="none" w:sz="0" w:space="0" w:color="auto"/>
        <w:right w:val="none" w:sz="0" w:space="0" w:color="auto"/>
      </w:divBdr>
    </w:div>
    <w:div w:id="1873880428">
      <w:marLeft w:val="0"/>
      <w:marRight w:val="0"/>
      <w:marTop w:val="0"/>
      <w:marBottom w:val="0"/>
      <w:divBdr>
        <w:top w:val="none" w:sz="0" w:space="0" w:color="auto"/>
        <w:left w:val="none" w:sz="0" w:space="0" w:color="auto"/>
        <w:bottom w:val="none" w:sz="0" w:space="0" w:color="auto"/>
        <w:right w:val="none" w:sz="0" w:space="0" w:color="auto"/>
      </w:divBdr>
    </w:div>
    <w:div w:id="1881434139">
      <w:marLeft w:val="0"/>
      <w:marRight w:val="0"/>
      <w:marTop w:val="0"/>
      <w:marBottom w:val="0"/>
      <w:divBdr>
        <w:top w:val="none" w:sz="0" w:space="0" w:color="auto"/>
        <w:left w:val="none" w:sz="0" w:space="0" w:color="auto"/>
        <w:bottom w:val="none" w:sz="0" w:space="0" w:color="auto"/>
        <w:right w:val="none" w:sz="0" w:space="0" w:color="auto"/>
      </w:divBdr>
    </w:div>
    <w:div w:id="1932157046">
      <w:marLeft w:val="0"/>
      <w:marRight w:val="0"/>
      <w:marTop w:val="0"/>
      <w:marBottom w:val="0"/>
      <w:divBdr>
        <w:top w:val="none" w:sz="0" w:space="0" w:color="auto"/>
        <w:left w:val="none" w:sz="0" w:space="0" w:color="auto"/>
        <w:bottom w:val="none" w:sz="0" w:space="0" w:color="auto"/>
        <w:right w:val="none" w:sz="0" w:space="0" w:color="auto"/>
      </w:divBdr>
    </w:div>
    <w:div w:id="1946646830">
      <w:marLeft w:val="0"/>
      <w:marRight w:val="0"/>
      <w:marTop w:val="0"/>
      <w:marBottom w:val="0"/>
      <w:divBdr>
        <w:top w:val="none" w:sz="0" w:space="0" w:color="auto"/>
        <w:left w:val="none" w:sz="0" w:space="0" w:color="auto"/>
        <w:bottom w:val="none" w:sz="0" w:space="0" w:color="auto"/>
        <w:right w:val="none" w:sz="0" w:space="0" w:color="auto"/>
      </w:divBdr>
    </w:div>
    <w:div w:id="1952080963">
      <w:marLeft w:val="0"/>
      <w:marRight w:val="0"/>
      <w:marTop w:val="0"/>
      <w:marBottom w:val="0"/>
      <w:divBdr>
        <w:top w:val="none" w:sz="0" w:space="0" w:color="auto"/>
        <w:left w:val="none" w:sz="0" w:space="0" w:color="auto"/>
        <w:bottom w:val="none" w:sz="0" w:space="0" w:color="auto"/>
        <w:right w:val="none" w:sz="0" w:space="0" w:color="auto"/>
      </w:divBdr>
    </w:div>
    <w:div w:id="1953704579">
      <w:marLeft w:val="0"/>
      <w:marRight w:val="0"/>
      <w:marTop w:val="0"/>
      <w:marBottom w:val="0"/>
      <w:divBdr>
        <w:top w:val="none" w:sz="0" w:space="0" w:color="auto"/>
        <w:left w:val="none" w:sz="0" w:space="0" w:color="auto"/>
        <w:bottom w:val="none" w:sz="0" w:space="0" w:color="auto"/>
        <w:right w:val="none" w:sz="0" w:space="0" w:color="auto"/>
      </w:divBdr>
    </w:div>
    <w:div w:id="1988435145">
      <w:marLeft w:val="0"/>
      <w:marRight w:val="0"/>
      <w:marTop w:val="0"/>
      <w:marBottom w:val="0"/>
      <w:divBdr>
        <w:top w:val="none" w:sz="0" w:space="0" w:color="auto"/>
        <w:left w:val="none" w:sz="0" w:space="0" w:color="auto"/>
        <w:bottom w:val="none" w:sz="0" w:space="0" w:color="auto"/>
        <w:right w:val="none" w:sz="0" w:space="0" w:color="auto"/>
      </w:divBdr>
    </w:div>
    <w:div w:id="1990667575">
      <w:marLeft w:val="0"/>
      <w:marRight w:val="0"/>
      <w:marTop w:val="0"/>
      <w:marBottom w:val="0"/>
      <w:divBdr>
        <w:top w:val="none" w:sz="0" w:space="0" w:color="auto"/>
        <w:left w:val="none" w:sz="0" w:space="0" w:color="auto"/>
        <w:bottom w:val="none" w:sz="0" w:space="0" w:color="auto"/>
        <w:right w:val="none" w:sz="0" w:space="0" w:color="auto"/>
      </w:divBdr>
    </w:div>
    <w:div w:id="1998798422">
      <w:marLeft w:val="0"/>
      <w:marRight w:val="0"/>
      <w:marTop w:val="0"/>
      <w:marBottom w:val="0"/>
      <w:divBdr>
        <w:top w:val="none" w:sz="0" w:space="0" w:color="auto"/>
        <w:left w:val="none" w:sz="0" w:space="0" w:color="auto"/>
        <w:bottom w:val="none" w:sz="0" w:space="0" w:color="auto"/>
        <w:right w:val="none" w:sz="0" w:space="0" w:color="auto"/>
      </w:divBdr>
    </w:div>
    <w:div w:id="2014451322">
      <w:marLeft w:val="0"/>
      <w:marRight w:val="0"/>
      <w:marTop w:val="0"/>
      <w:marBottom w:val="0"/>
      <w:divBdr>
        <w:top w:val="none" w:sz="0" w:space="0" w:color="auto"/>
        <w:left w:val="none" w:sz="0" w:space="0" w:color="auto"/>
        <w:bottom w:val="none" w:sz="0" w:space="0" w:color="auto"/>
        <w:right w:val="none" w:sz="0" w:space="0" w:color="auto"/>
      </w:divBdr>
    </w:div>
    <w:div w:id="2015185388">
      <w:marLeft w:val="0"/>
      <w:marRight w:val="0"/>
      <w:marTop w:val="0"/>
      <w:marBottom w:val="0"/>
      <w:divBdr>
        <w:top w:val="none" w:sz="0" w:space="0" w:color="auto"/>
        <w:left w:val="none" w:sz="0" w:space="0" w:color="auto"/>
        <w:bottom w:val="none" w:sz="0" w:space="0" w:color="auto"/>
        <w:right w:val="none" w:sz="0" w:space="0" w:color="auto"/>
      </w:divBdr>
    </w:div>
    <w:div w:id="2028212777">
      <w:marLeft w:val="0"/>
      <w:marRight w:val="0"/>
      <w:marTop w:val="0"/>
      <w:marBottom w:val="0"/>
      <w:divBdr>
        <w:top w:val="none" w:sz="0" w:space="0" w:color="auto"/>
        <w:left w:val="none" w:sz="0" w:space="0" w:color="auto"/>
        <w:bottom w:val="none" w:sz="0" w:space="0" w:color="auto"/>
        <w:right w:val="none" w:sz="0" w:space="0" w:color="auto"/>
      </w:divBdr>
    </w:div>
    <w:div w:id="2041934432">
      <w:marLeft w:val="0"/>
      <w:marRight w:val="0"/>
      <w:marTop w:val="0"/>
      <w:marBottom w:val="0"/>
      <w:divBdr>
        <w:top w:val="none" w:sz="0" w:space="0" w:color="auto"/>
        <w:left w:val="none" w:sz="0" w:space="0" w:color="auto"/>
        <w:bottom w:val="none" w:sz="0" w:space="0" w:color="auto"/>
        <w:right w:val="none" w:sz="0" w:space="0" w:color="auto"/>
      </w:divBdr>
    </w:div>
    <w:div w:id="2055501225">
      <w:marLeft w:val="0"/>
      <w:marRight w:val="0"/>
      <w:marTop w:val="0"/>
      <w:marBottom w:val="0"/>
      <w:divBdr>
        <w:top w:val="none" w:sz="0" w:space="0" w:color="auto"/>
        <w:left w:val="none" w:sz="0" w:space="0" w:color="auto"/>
        <w:bottom w:val="none" w:sz="0" w:space="0" w:color="auto"/>
        <w:right w:val="none" w:sz="0" w:space="0" w:color="auto"/>
      </w:divBdr>
    </w:div>
    <w:div w:id="2123769127">
      <w:marLeft w:val="0"/>
      <w:marRight w:val="0"/>
      <w:marTop w:val="0"/>
      <w:marBottom w:val="0"/>
      <w:divBdr>
        <w:top w:val="none" w:sz="0" w:space="0" w:color="auto"/>
        <w:left w:val="none" w:sz="0" w:space="0" w:color="auto"/>
        <w:bottom w:val="none" w:sz="0" w:space="0" w:color="auto"/>
        <w:right w:val="none" w:sz="0" w:space="0" w:color="auto"/>
      </w:divBdr>
    </w:div>
    <w:div w:id="21412198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109</Pages>
  <Words>21848</Words>
  <Characters>145318</Characters>
  <Application>Microsoft Office Word</Application>
  <DocSecurity>4</DocSecurity>
  <Lines>1210</Lines>
  <Paragraphs>333</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
  <LinksUpToDate>false</LinksUpToDate>
  <CharactersWithSpaces>166833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subject/>
  <dc:creator>Abdul-Wali, Jennifer (OST)</dc:creator>
  <cp:keywords/>
  <dc:description/>
  <cp:lastModifiedBy>Laptosky, Jill (OST)</cp:lastModifiedBy>
  <cp:revision>2</cp:revision>
  <dcterms:created xsi:type="dcterms:W3CDTF">2017-08-18T19:47:00Z</dcterms:created>
  <dcterms:modified xsi:type="dcterms:W3CDTF">2017-08-18T19:47:00Z</dcterms:modified>
</cp:coreProperties>
</file>