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Override PartName="/word/charts/colors3.xml" ContentType="application/vnd.ms-office.chartcolorstyle+xml"/>
  <Override PartName="/word/charts/style3.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AFC890" w14:textId="14E64992" w:rsidR="00914393" w:rsidRDefault="007667E3" w:rsidP="00914393">
      <w:pPr>
        <w:tabs>
          <w:tab w:val="left" w:pos="756"/>
        </w:tabs>
        <w:spacing w:after="0" w:line="795" w:lineRule="exact"/>
        <w:ind w:left="104" w:right="-20"/>
        <w:rPr>
          <w:rFonts w:eastAsia="Times New Roman" w:cs="Times New Roman"/>
          <w:b/>
          <w:bCs/>
          <w:color w:val="FFFFFF"/>
          <w:spacing w:val="32"/>
          <w:sz w:val="72"/>
          <w:szCs w:val="72"/>
          <w:lang w:val="es-MX"/>
        </w:rPr>
      </w:pPr>
      <w:r>
        <w:rPr>
          <w:noProof/>
          <w:szCs w:val="24"/>
        </w:rPr>
        <mc:AlternateContent>
          <mc:Choice Requires="wps">
            <w:drawing>
              <wp:anchor distT="0" distB="0" distL="114300" distR="114300" simplePos="0" relativeHeight="251692032" behindDoc="1" locked="0" layoutInCell="1" allowOverlap="1" wp14:anchorId="68A65897" wp14:editId="742895B7">
                <wp:simplePos x="0" y="0"/>
                <wp:positionH relativeFrom="column">
                  <wp:posOffset>5435600</wp:posOffset>
                </wp:positionH>
                <wp:positionV relativeFrom="paragraph">
                  <wp:posOffset>212725</wp:posOffset>
                </wp:positionV>
                <wp:extent cx="1242695" cy="9398635"/>
                <wp:effectExtent l="0" t="0" r="0" b="0"/>
                <wp:wrapNone/>
                <wp:docPr id="118" name="Freeform 13" descr="&quot;&quot;" title="&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2695" cy="9398635"/>
                        </a:xfrm>
                        <a:custGeom>
                          <a:avLst/>
                          <a:gdLst>
                            <a:gd name="T0" fmla="+- 0 8280 8280"/>
                            <a:gd name="T1" fmla="*/ T0 w 2340"/>
                            <a:gd name="T2" fmla="+- 0 14086 320"/>
                            <a:gd name="T3" fmla="*/ 14086 h 13766"/>
                            <a:gd name="T4" fmla="+- 0 10620 8280"/>
                            <a:gd name="T5" fmla="*/ T4 w 2340"/>
                            <a:gd name="T6" fmla="+- 0 14086 320"/>
                            <a:gd name="T7" fmla="*/ 14086 h 13766"/>
                            <a:gd name="T8" fmla="+- 0 10620 8280"/>
                            <a:gd name="T9" fmla="*/ T8 w 2340"/>
                            <a:gd name="T10" fmla="+- 0 320 320"/>
                            <a:gd name="T11" fmla="*/ 320 h 13766"/>
                            <a:gd name="T12" fmla="+- 0 8280 8280"/>
                            <a:gd name="T13" fmla="*/ T12 w 2340"/>
                            <a:gd name="T14" fmla="+- 0 320 320"/>
                            <a:gd name="T15" fmla="*/ 320 h 13766"/>
                            <a:gd name="T16" fmla="+- 0 8280 8280"/>
                            <a:gd name="T17" fmla="*/ T16 w 2340"/>
                            <a:gd name="T18" fmla="+- 0 14086 320"/>
                            <a:gd name="T19" fmla="*/ 14086 h 13766"/>
                          </a:gdLst>
                          <a:ahLst/>
                          <a:cxnLst>
                            <a:cxn ang="0">
                              <a:pos x="T1" y="T3"/>
                            </a:cxn>
                            <a:cxn ang="0">
                              <a:pos x="T5" y="T7"/>
                            </a:cxn>
                            <a:cxn ang="0">
                              <a:pos x="T9" y="T11"/>
                            </a:cxn>
                            <a:cxn ang="0">
                              <a:pos x="T13" y="T15"/>
                            </a:cxn>
                            <a:cxn ang="0">
                              <a:pos x="T17" y="T19"/>
                            </a:cxn>
                          </a:cxnLst>
                          <a:rect l="0" t="0" r="r" b="b"/>
                          <a:pathLst>
                            <a:path w="2340" h="13766">
                              <a:moveTo>
                                <a:pt x="0" y="13766"/>
                              </a:moveTo>
                              <a:lnTo>
                                <a:pt x="2340" y="13766"/>
                              </a:lnTo>
                              <a:lnTo>
                                <a:pt x="2340" y="0"/>
                              </a:lnTo>
                              <a:lnTo>
                                <a:pt x="0" y="0"/>
                              </a:lnTo>
                              <a:lnTo>
                                <a:pt x="0" y="13766"/>
                              </a:lnTo>
                            </a:path>
                          </a:pathLst>
                        </a:custGeom>
                        <a:solidFill>
                          <a:srgbClr val="93C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id="Freeform 13" o:spid="_x0000_s1026" alt="Title: &quot;&quot; - Description: &quot;&quot;" style="position:absolute;margin-left:428pt;margin-top:16.75pt;width:97.85pt;height:740.05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340,13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" path="m,13766r2340,l2340,,,,,13766e" fillcolor="#93c500" stroked="f">
                <v:path arrowok="t" o:connecttype="custom" o:connectlocs="0,9617113;1242695,9617113;1242695,218478;0,218478;0,9617113" o:connectangles="0,0,0,0,0"/>
              </v:shape>
            </w:pict>
          </mc:Fallback>
        </mc:AlternateContent>
      </w:r>
      <w:r w:rsidR="006336D9">
        <w:rPr>
          <w:noProof/>
          <w:szCs w:val="24"/>
        </w:rPr>
        <mc:AlternateContent>
          <mc:Choice Requires="wps">
            <w:drawing>
              <wp:anchor distT="0" distB="0" distL="114300" distR="114300" simplePos="0" relativeHeight="251691008" behindDoc="1" locked="0" layoutInCell="1" allowOverlap="1" wp14:anchorId="06FBBF90" wp14:editId="61A1335D">
                <wp:simplePos x="0" y="0"/>
                <wp:positionH relativeFrom="column">
                  <wp:posOffset>-501650</wp:posOffset>
                </wp:positionH>
                <wp:positionV relativeFrom="paragraph">
                  <wp:posOffset>222250</wp:posOffset>
                </wp:positionV>
                <wp:extent cx="5822950" cy="9398635"/>
                <wp:effectExtent l="0" t="0" r="6350" b="0"/>
                <wp:wrapNone/>
                <wp:docPr id="114" name="Freeform 9" descr="&quot;&quot;" title="Cover p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2950" cy="9398635"/>
                        </a:xfrm>
                        <a:custGeom>
                          <a:avLst/>
                          <a:gdLst>
                            <a:gd name="T0" fmla="+- 0 180 180"/>
                            <a:gd name="T1" fmla="*/ T0 w 7920"/>
                            <a:gd name="T2" fmla="+- 0 14083 323"/>
                            <a:gd name="T3" fmla="*/ 14083 h 13760"/>
                            <a:gd name="T4" fmla="+- 0 8100 180"/>
                            <a:gd name="T5" fmla="*/ T4 w 7920"/>
                            <a:gd name="T6" fmla="+- 0 14083 323"/>
                            <a:gd name="T7" fmla="*/ 14083 h 13760"/>
                            <a:gd name="T8" fmla="+- 0 8100 180"/>
                            <a:gd name="T9" fmla="*/ T8 w 7920"/>
                            <a:gd name="T10" fmla="+- 0 323 323"/>
                            <a:gd name="T11" fmla="*/ 323 h 13760"/>
                            <a:gd name="T12" fmla="+- 0 180 180"/>
                            <a:gd name="T13" fmla="*/ T12 w 7920"/>
                            <a:gd name="T14" fmla="+- 0 323 323"/>
                            <a:gd name="T15" fmla="*/ 323 h 13760"/>
                            <a:gd name="T16" fmla="+- 0 180 180"/>
                            <a:gd name="T17" fmla="*/ T16 w 7920"/>
                            <a:gd name="T18" fmla="+- 0 14083 323"/>
                            <a:gd name="T19" fmla="*/ 14083 h 13760"/>
                          </a:gdLst>
                          <a:ahLst/>
                          <a:cxnLst>
                            <a:cxn ang="0">
                              <a:pos x="T1" y="T3"/>
                            </a:cxn>
                            <a:cxn ang="0">
                              <a:pos x="T5" y="T7"/>
                            </a:cxn>
                            <a:cxn ang="0">
                              <a:pos x="T9" y="T11"/>
                            </a:cxn>
                            <a:cxn ang="0">
                              <a:pos x="T13" y="T15"/>
                            </a:cxn>
                            <a:cxn ang="0">
                              <a:pos x="T17" y="T19"/>
                            </a:cxn>
                          </a:cxnLst>
                          <a:rect l="0" t="0" r="r" b="b"/>
                          <a:pathLst>
                            <a:path w="7920" h="13760">
                              <a:moveTo>
                                <a:pt x="0" y="13760"/>
                              </a:moveTo>
                              <a:lnTo>
                                <a:pt x="7920" y="13760"/>
                              </a:lnTo>
                              <a:lnTo>
                                <a:pt x="7920" y="0"/>
                              </a:lnTo>
                              <a:lnTo>
                                <a:pt x="0" y="0"/>
                              </a:lnTo>
                              <a:lnTo>
                                <a:pt x="0" y="13760"/>
                              </a:lnTo>
                            </a:path>
                          </a:pathLst>
                        </a:custGeom>
                        <a:solidFill>
                          <a:srgbClr val="001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id="Freeform 9" o:spid="_x0000_s1026" alt="Title: Cover page - Description: &quot;&quot;" style="position:absolute;margin-left:-39.5pt;margin-top:17.5pt;width:458.5pt;height:740.05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920,1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" path="m,13760r7920,l7920,,,,,13760e" fillcolor="#001fff" stroked="f">
                <v:path arrowok="t" o:connecttype="custom" o:connectlocs="0,9619257;5822950,9619257;5822950,220622;0,220622;0,9619257" o:connectangles="0,0,0,0,0"/>
              </v:shape>
            </w:pict>
          </mc:Fallback>
        </mc:AlternateContent>
      </w:r>
      <w:r w:rsidR="006336D9">
        <w:rPr>
          <w:noProof/>
        </w:rPr>
        <w:drawing>
          <wp:anchor distT="0" distB="0" distL="114300" distR="114300" simplePos="0" relativeHeight="251745280" behindDoc="0" locked="0" layoutInCell="1" allowOverlap="1" wp14:anchorId="629F1B71" wp14:editId="2C422AF5">
            <wp:simplePos x="0" y="0"/>
            <wp:positionH relativeFrom="margin">
              <wp:posOffset>5470525</wp:posOffset>
            </wp:positionH>
            <wp:positionV relativeFrom="margin">
              <wp:posOffset>504825</wp:posOffset>
            </wp:positionV>
            <wp:extent cx="1164590" cy="1181100"/>
            <wp:effectExtent l="57150" t="57150" r="92710" b="800100"/>
            <wp:wrapSquare wrapText="bothSides"/>
            <wp:docPr id="157" name="Picture 157" descr="http://portal.hud.gov/hudportal/images/hudimg?id=dot_logo_41193.jpg" title="Department of Transport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rtal.hud.gov/hudportal/images/hudimg?id=dot_logo_4119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4590" cy="118110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hyperlink r:id="rId14" w:history="1">
        <w:r w:rsidR="003310DC" w:rsidRPr="003310DC">
          <w:rPr>
            <w:rStyle w:val="Hyperlink"/>
          </w:rPr>
          <w:t>http://www.papermag.com/can-you-survive-the-highlights-from-this-john-mayer-</w:t>
        </w:r>
        <w:bookmarkStart w:id="0" w:name="_GoBack"/>
        <w:bookmarkEnd w:id="0"/>
        <w:r w:rsidR="003310DC" w:rsidRPr="003310DC">
          <w:rPr>
            <w:rStyle w:val="Hyperlink"/>
          </w:rPr>
          <w:t>profile-2326539948.html</w:t>
        </w:r>
      </w:hyperlink>
    </w:p>
    <w:p w14:paraId="7CADF94D" w14:textId="25D53EDC" w:rsidR="00C733BA" w:rsidRPr="00DC19BD" w:rsidRDefault="00C733BA" w:rsidP="00C733BA">
      <w:pPr>
        <w:tabs>
          <w:tab w:val="left" w:pos="756"/>
        </w:tabs>
        <w:spacing w:after="0" w:line="795" w:lineRule="exact"/>
        <w:ind w:left="104" w:right="-20"/>
        <w:rPr>
          <w:rFonts w:asciiTheme="majorHAnsi" w:eastAsia="Times New Roman" w:hAnsiTheme="majorHAnsi" w:cs="Times New Roman"/>
          <w:b/>
          <w:bCs/>
          <w:sz w:val="84"/>
          <w:szCs w:val="84"/>
          <w:lang w:val="es-MX"/>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14:paraId="3941F9A2" w14:textId="77777777" w:rsidR="00914393" w:rsidRPr="00DC19BD" w:rsidRDefault="00914393" w:rsidP="0065093C">
      <w:pPr>
        <w:tabs>
          <w:tab w:val="left" w:pos="756"/>
        </w:tabs>
        <w:spacing w:after="0" w:line="795" w:lineRule="exact"/>
        <w:ind w:left="104" w:right="-20" w:hanging="14"/>
        <w:jc w:val="center"/>
        <w:rPr>
          <w:rFonts w:asciiTheme="majorHAnsi" w:eastAsia="Times New Roman" w:hAnsiTheme="majorHAnsi" w:cs="Times New Roman"/>
          <w:b/>
          <w:sz w:val="84"/>
          <w:szCs w:val="84"/>
          <w:lang w:val="es-MX"/>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DC19BD">
        <w:rPr>
          <w:rFonts w:asciiTheme="majorHAnsi" w:eastAsia="Times New Roman" w:hAnsiTheme="majorHAnsi" w:cs="Times New Roman"/>
          <w:b/>
          <w:bCs/>
          <w:sz w:val="84"/>
          <w:szCs w:val="84"/>
          <w:lang w:val="es-MX"/>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DEPARTMENT OF</w:t>
      </w:r>
    </w:p>
    <w:p w14:paraId="33127CAA" w14:textId="77777777" w:rsidR="00124712" w:rsidRPr="00340DEE" w:rsidRDefault="00914393" w:rsidP="0065093C">
      <w:pPr>
        <w:tabs>
          <w:tab w:val="left" w:pos="756"/>
        </w:tabs>
        <w:spacing w:before="36" w:after="480" w:line="240" w:lineRule="auto"/>
        <w:ind w:left="101" w:right="-14" w:hanging="187"/>
        <w:jc w:val="center"/>
        <w:rPr>
          <w:rFonts w:asciiTheme="majorHAnsi" w:eastAsia="Times New Roman" w:hAnsiTheme="majorHAnsi" w:cs="Times New Roman"/>
          <w:b/>
          <w:bCs/>
          <w:color w:val="4F81BD" w:themeColor="accent1"/>
          <w:w w:val="99"/>
          <w:sz w:val="32"/>
          <w:szCs w:val="32"/>
          <w:lang w:val="es-MX"/>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DC19BD">
        <w:rPr>
          <w:rFonts w:asciiTheme="majorHAnsi" w:eastAsia="Times New Roman" w:hAnsiTheme="majorHAnsi" w:cs="Times New Roman"/>
          <w:b/>
          <w:bCs/>
          <w:sz w:val="84"/>
          <w:szCs w:val="84"/>
          <w:lang w:val="es-MX"/>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TRANSPORTATION</w:t>
      </w:r>
    </w:p>
    <w:p w14:paraId="6745642A" w14:textId="4EFD135C" w:rsidR="00124712" w:rsidRPr="006336D9" w:rsidRDefault="00914393" w:rsidP="0065093C">
      <w:pPr>
        <w:tabs>
          <w:tab w:val="left" w:pos="756"/>
          <w:tab w:val="left" w:pos="2900"/>
        </w:tabs>
        <w:spacing w:after="0" w:line="250" w:lineRule="auto"/>
        <w:ind w:right="1252" w:hanging="360"/>
        <w:jc w:val="center"/>
        <w:rPr>
          <w:rFonts w:asciiTheme="majorHAnsi" w:eastAsia="Times New Roman" w:hAnsiTheme="majorHAnsi" w:cs="Times New Roman"/>
          <w:b/>
          <w:bCs/>
          <w:color w:val="4F81BD" w:themeColor="accent1"/>
          <w:sz w:val="36"/>
          <w:szCs w:val="36"/>
          <w:lang w:val="es-MX"/>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6336D9">
        <w:rPr>
          <w:rFonts w:asciiTheme="majorHAnsi" w:eastAsia="Times New Roman" w:hAnsiTheme="majorHAnsi" w:cs="Times New Roman"/>
          <w:b/>
          <w:bCs/>
          <w:color w:val="4F81BD" w:themeColor="accent1"/>
          <w:w w:val="99"/>
          <w:sz w:val="36"/>
          <w:szCs w:val="36"/>
          <w:lang w:val="es-MX"/>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F</w:t>
      </w:r>
      <w:r w:rsidR="006336D9" w:rsidRPr="006336D9">
        <w:rPr>
          <w:rFonts w:asciiTheme="majorHAnsi" w:eastAsia="Times New Roman" w:hAnsiTheme="majorHAnsi" w:cs="Times New Roman"/>
          <w:b/>
          <w:bCs/>
          <w:color w:val="4F81BD" w:themeColor="accent1"/>
          <w:w w:val="99"/>
          <w:sz w:val="36"/>
          <w:szCs w:val="36"/>
          <w:lang w:val="es-MX"/>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iscal </w:t>
      </w:r>
      <w:proofErr w:type="spellStart"/>
      <w:r w:rsidR="006336D9" w:rsidRPr="006336D9">
        <w:rPr>
          <w:rFonts w:asciiTheme="majorHAnsi" w:eastAsia="Times New Roman" w:hAnsiTheme="majorHAnsi" w:cs="Times New Roman"/>
          <w:b/>
          <w:bCs/>
          <w:color w:val="4F81BD" w:themeColor="accent1"/>
          <w:w w:val="99"/>
          <w:sz w:val="36"/>
          <w:szCs w:val="36"/>
          <w:lang w:val="es-MX"/>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Year</w:t>
      </w:r>
      <w:proofErr w:type="spellEnd"/>
      <w:r w:rsidR="006336D9" w:rsidRPr="006336D9">
        <w:rPr>
          <w:rFonts w:asciiTheme="majorHAnsi" w:eastAsia="Times New Roman" w:hAnsiTheme="majorHAnsi" w:cs="Times New Roman"/>
          <w:b/>
          <w:bCs/>
          <w:color w:val="4F81BD" w:themeColor="accent1"/>
          <w:w w:val="99"/>
          <w:sz w:val="36"/>
          <w:szCs w:val="36"/>
          <w:lang w:val="es-MX"/>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 </w:t>
      </w:r>
      <w:r w:rsidR="004E3F22" w:rsidRPr="006336D9">
        <w:rPr>
          <w:rFonts w:asciiTheme="majorHAnsi" w:eastAsia="Times New Roman" w:hAnsiTheme="majorHAnsi" w:cs="Times New Roman"/>
          <w:b/>
          <w:bCs/>
          <w:color w:val="4F81BD" w:themeColor="accent1"/>
          <w:sz w:val="36"/>
          <w:szCs w:val="36"/>
          <w:lang w:val="es-MX"/>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20</w:t>
      </w:r>
      <w:r w:rsidR="00B03B7A" w:rsidRPr="006336D9">
        <w:rPr>
          <w:rFonts w:asciiTheme="majorHAnsi" w:eastAsia="Times New Roman" w:hAnsiTheme="majorHAnsi" w:cs="Times New Roman"/>
          <w:b/>
          <w:bCs/>
          <w:color w:val="4F81BD" w:themeColor="accent1"/>
          <w:w w:val="99"/>
          <w:sz w:val="36"/>
          <w:szCs w:val="36"/>
          <w:lang w:val="es-MX"/>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16</w:t>
      </w:r>
      <w:r w:rsidRPr="006336D9">
        <w:rPr>
          <w:rFonts w:asciiTheme="majorHAnsi" w:eastAsia="Times New Roman" w:hAnsiTheme="majorHAnsi" w:cs="Times New Roman"/>
          <w:b/>
          <w:bCs/>
          <w:color w:val="4F81BD" w:themeColor="accent1"/>
          <w:sz w:val="36"/>
          <w:szCs w:val="36"/>
          <w:lang w:val="es-MX"/>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 </w:t>
      </w:r>
      <w:r w:rsidRPr="006336D9">
        <w:rPr>
          <w:rFonts w:asciiTheme="majorHAnsi" w:eastAsia="Times New Roman" w:hAnsiTheme="majorHAnsi" w:cs="Times New Roman"/>
          <w:b/>
          <w:bCs/>
          <w:color w:val="4F81BD" w:themeColor="accent1"/>
          <w:w w:val="99"/>
          <w:sz w:val="36"/>
          <w:szCs w:val="36"/>
          <w:lang w:val="es-MX"/>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ANNU</w:t>
      </w:r>
      <w:r w:rsidR="006336D9" w:rsidRPr="006336D9">
        <w:rPr>
          <w:rFonts w:asciiTheme="majorHAnsi" w:eastAsia="Times New Roman" w:hAnsiTheme="majorHAnsi" w:cs="Times New Roman"/>
          <w:b/>
          <w:bCs/>
          <w:color w:val="4F81BD" w:themeColor="accent1"/>
          <w:w w:val="99"/>
          <w:sz w:val="36"/>
          <w:szCs w:val="36"/>
          <w:lang w:val="es-MX"/>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A</w:t>
      </w:r>
      <w:r w:rsidRPr="006336D9">
        <w:rPr>
          <w:rFonts w:asciiTheme="majorHAnsi" w:eastAsia="Times New Roman" w:hAnsiTheme="majorHAnsi" w:cs="Times New Roman"/>
          <w:b/>
          <w:bCs/>
          <w:color w:val="4F81BD" w:themeColor="accent1"/>
          <w:sz w:val="36"/>
          <w:szCs w:val="36"/>
          <w:lang w:val="es-MX"/>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L </w:t>
      </w:r>
      <w:r w:rsidRPr="006336D9">
        <w:rPr>
          <w:rFonts w:asciiTheme="majorHAnsi" w:eastAsia="Times New Roman" w:hAnsiTheme="majorHAnsi" w:cs="Times New Roman"/>
          <w:b/>
          <w:bCs/>
          <w:color w:val="4F81BD" w:themeColor="accent1"/>
          <w:w w:val="99"/>
          <w:sz w:val="36"/>
          <w:szCs w:val="36"/>
          <w:lang w:val="es-MX"/>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PERFORMANC</w:t>
      </w:r>
      <w:r w:rsidRPr="006336D9">
        <w:rPr>
          <w:rFonts w:asciiTheme="majorHAnsi" w:eastAsia="Times New Roman" w:hAnsiTheme="majorHAnsi" w:cs="Times New Roman"/>
          <w:b/>
          <w:bCs/>
          <w:color w:val="4F81BD" w:themeColor="accent1"/>
          <w:sz w:val="36"/>
          <w:szCs w:val="36"/>
          <w:lang w:val="es-MX"/>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E </w:t>
      </w:r>
      <w:r w:rsidRPr="006336D9">
        <w:rPr>
          <w:rFonts w:asciiTheme="majorHAnsi" w:eastAsia="Times New Roman" w:hAnsiTheme="majorHAnsi" w:cs="Times New Roman"/>
          <w:b/>
          <w:bCs/>
          <w:color w:val="4F81BD" w:themeColor="accent1"/>
          <w:w w:val="99"/>
          <w:sz w:val="36"/>
          <w:szCs w:val="36"/>
          <w:lang w:val="es-MX"/>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REPO</w:t>
      </w:r>
      <w:r w:rsidRPr="006336D9">
        <w:rPr>
          <w:rFonts w:asciiTheme="majorHAnsi" w:eastAsia="Times New Roman" w:hAnsiTheme="majorHAnsi" w:cs="Times New Roman"/>
          <w:b/>
          <w:bCs/>
          <w:color w:val="4F81BD" w:themeColor="accent1"/>
          <w:sz w:val="36"/>
          <w:szCs w:val="36"/>
          <w:lang w:val="es-MX"/>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RT /</w:t>
      </w:r>
    </w:p>
    <w:p w14:paraId="6C209A5D" w14:textId="5DDC805E" w:rsidR="00914393" w:rsidRPr="006336D9" w:rsidRDefault="006336D9" w:rsidP="0065093C">
      <w:pPr>
        <w:tabs>
          <w:tab w:val="left" w:pos="756"/>
          <w:tab w:val="left" w:pos="2900"/>
        </w:tabs>
        <w:spacing w:after="0" w:line="250" w:lineRule="auto"/>
        <w:ind w:right="1252" w:hanging="360"/>
        <w:jc w:val="center"/>
        <w:rPr>
          <w:rFonts w:asciiTheme="majorHAnsi" w:eastAsia="Times New Roman" w:hAnsiTheme="majorHAnsi" w:cs="Times New Roman"/>
          <w:sz w:val="36"/>
          <w:szCs w:val="36"/>
          <w:lang w:val="es-MX"/>
        </w:rPr>
      </w:pPr>
      <w:r w:rsidRPr="006336D9">
        <w:rPr>
          <w:rFonts w:asciiTheme="majorHAnsi" w:eastAsia="Times New Roman" w:hAnsiTheme="majorHAnsi" w:cs="Times New Roman"/>
          <w:b/>
          <w:bCs/>
          <w:color w:val="4F81BD" w:themeColor="accent1"/>
          <w:sz w:val="36"/>
          <w:szCs w:val="36"/>
          <w:lang w:val="es-MX"/>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F</w:t>
      </w:r>
      <w:r w:rsidRPr="006336D9">
        <w:rPr>
          <w:rFonts w:asciiTheme="majorHAnsi" w:eastAsia="Times New Roman" w:hAnsiTheme="majorHAnsi" w:cs="Times New Roman"/>
          <w:b/>
          <w:bCs/>
          <w:color w:val="4F81BD" w:themeColor="accent1"/>
          <w:w w:val="99"/>
          <w:sz w:val="36"/>
          <w:szCs w:val="36"/>
          <w:lang w:val="es-MX"/>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iscal </w:t>
      </w:r>
      <w:proofErr w:type="spellStart"/>
      <w:r w:rsidRPr="006336D9">
        <w:rPr>
          <w:rFonts w:asciiTheme="majorHAnsi" w:eastAsia="Times New Roman" w:hAnsiTheme="majorHAnsi" w:cs="Times New Roman"/>
          <w:b/>
          <w:bCs/>
          <w:color w:val="4F81BD" w:themeColor="accent1"/>
          <w:w w:val="99"/>
          <w:sz w:val="36"/>
          <w:szCs w:val="36"/>
          <w:lang w:val="es-MX"/>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Year</w:t>
      </w:r>
      <w:proofErr w:type="spellEnd"/>
      <w:r w:rsidRPr="006336D9">
        <w:rPr>
          <w:rFonts w:asciiTheme="majorHAnsi" w:eastAsia="Times New Roman" w:hAnsiTheme="majorHAnsi" w:cs="Times New Roman"/>
          <w:b/>
          <w:bCs/>
          <w:color w:val="4F81BD" w:themeColor="accent1"/>
          <w:w w:val="99"/>
          <w:sz w:val="36"/>
          <w:szCs w:val="36"/>
          <w:lang w:val="es-MX"/>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 </w:t>
      </w:r>
      <w:r w:rsidR="004E3F22" w:rsidRPr="006336D9">
        <w:rPr>
          <w:rFonts w:asciiTheme="majorHAnsi" w:eastAsia="Times New Roman" w:hAnsiTheme="majorHAnsi" w:cs="Times New Roman"/>
          <w:b/>
          <w:bCs/>
          <w:color w:val="4F81BD" w:themeColor="accent1"/>
          <w:sz w:val="36"/>
          <w:szCs w:val="36"/>
          <w:lang w:val="es-MX"/>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20</w:t>
      </w:r>
      <w:r w:rsidR="00B03B7A" w:rsidRPr="006336D9">
        <w:rPr>
          <w:rFonts w:asciiTheme="majorHAnsi" w:eastAsia="Times New Roman" w:hAnsiTheme="majorHAnsi" w:cs="Times New Roman"/>
          <w:b/>
          <w:bCs/>
          <w:color w:val="4F81BD" w:themeColor="accent1"/>
          <w:w w:val="99"/>
          <w:sz w:val="36"/>
          <w:szCs w:val="36"/>
          <w:lang w:val="es-MX"/>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18</w:t>
      </w:r>
      <w:r w:rsidR="00914393" w:rsidRPr="006336D9">
        <w:rPr>
          <w:rFonts w:asciiTheme="majorHAnsi" w:eastAsia="Times New Roman" w:hAnsiTheme="majorHAnsi" w:cs="Times New Roman"/>
          <w:b/>
          <w:bCs/>
          <w:color w:val="4F81BD" w:themeColor="accent1"/>
          <w:sz w:val="36"/>
          <w:szCs w:val="36"/>
          <w:lang w:val="es-MX"/>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 </w:t>
      </w:r>
      <w:r w:rsidR="00914393" w:rsidRPr="006336D9">
        <w:rPr>
          <w:rFonts w:asciiTheme="majorHAnsi" w:eastAsia="Times New Roman" w:hAnsiTheme="majorHAnsi" w:cs="Times New Roman"/>
          <w:b/>
          <w:bCs/>
          <w:color w:val="4F81BD" w:themeColor="accent1"/>
          <w:w w:val="99"/>
          <w:sz w:val="36"/>
          <w:szCs w:val="36"/>
          <w:lang w:val="es-MX"/>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ANNUA</w:t>
      </w:r>
      <w:r w:rsidR="00914393" w:rsidRPr="006336D9">
        <w:rPr>
          <w:rFonts w:asciiTheme="majorHAnsi" w:eastAsia="Times New Roman" w:hAnsiTheme="majorHAnsi" w:cs="Times New Roman"/>
          <w:b/>
          <w:bCs/>
          <w:color w:val="4F81BD" w:themeColor="accent1"/>
          <w:sz w:val="36"/>
          <w:szCs w:val="36"/>
          <w:lang w:val="es-MX"/>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L </w:t>
      </w:r>
      <w:r w:rsidR="00914393" w:rsidRPr="006336D9">
        <w:rPr>
          <w:rFonts w:asciiTheme="majorHAnsi" w:eastAsia="Times New Roman" w:hAnsiTheme="majorHAnsi" w:cs="Times New Roman"/>
          <w:b/>
          <w:bCs/>
          <w:color w:val="4F81BD" w:themeColor="accent1"/>
          <w:w w:val="99"/>
          <w:sz w:val="36"/>
          <w:szCs w:val="36"/>
          <w:lang w:val="es-MX"/>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PERFORMANC</w:t>
      </w:r>
      <w:r w:rsidR="00914393" w:rsidRPr="006336D9">
        <w:rPr>
          <w:rFonts w:asciiTheme="majorHAnsi" w:eastAsia="Times New Roman" w:hAnsiTheme="majorHAnsi" w:cs="Times New Roman"/>
          <w:b/>
          <w:bCs/>
          <w:color w:val="4F81BD" w:themeColor="accent1"/>
          <w:sz w:val="36"/>
          <w:szCs w:val="36"/>
          <w:lang w:val="es-MX"/>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E </w:t>
      </w:r>
      <w:r w:rsidR="00914393" w:rsidRPr="006336D9">
        <w:rPr>
          <w:rFonts w:asciiTheme="majorHAnsi" w:eastAsia="Times New Roman" w:hAnsiTheme="majorHAnsi" w:cs="Times New Roman"/>
          <w:b/>
          <w:bCs/>
          <w:color w:val="4F81BD" w:themeColor="accent1"/>
          <w:w w:val="99"/>
          <w:sz w:val="36"/>
          <w:szCs w:val="36"/>
          <w:lang w:val="es-MX"/>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PLA</w:t>
      </w:r>
      <w:r w:rsidR="00914393" w:rsidRPr="006336D9">
        <w:rPr>
          <w:rFonts w:asciiTheme="majorHAnsi" w:eastAsia="Times New Roman" w:hAnsiTheme="majorHAnsi" w:cs="Times New Roman"/>
          <w:b/>
          <w:bCs/>
          <w:color w:val="4F81BD" w:themeColor="accent1"/>
          <w:sz w:val="36"/>
          <w:szCs w:val="36"/>
          <w:lang w:val="es-MX"/>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N</w:t>
      </w:r>
    </w:p>
    <w:p w14:paraId="39CECC55" w14:textId="77777777" w:rsidR="0043480E" w:rsidRPr="00AB285A" w:rsidRDefault="0043480E" w:rsidP="00C55FF3">
      <w:pPr>
        <w:spacing w:after="0" w:line="240" w:lineRule="auto"/>
        <w:rPr>
          <w:szCs w:val="24"/>
          <w:lang w:val="es-MX"/>
        </w:rPr>
        <w:sectPr w:rsidR="0043480E" w:rsidRPr="00AB285A" w:rsidSect="00C733BA">
          <w:headerReference w:type="default" r:id="rId15"/>
          <w:footerReference w:type="default" r:id="rId16"/>
          <w:pgSz w:w="12240" w:h="15840"/>
          <w:pgMar w:top="270" w:right="1260" w:bottom="1080" w:left="1350" w:header="720" w:footer="720" w:gutter="0"/>
          <w:cols w:space="720"/>
          <w:titlePg/>
          <w:docGrid w:linePitch="360"/>
        </w:sectPr>
      </w:pPr>
    </w:p>
    <w:p w14:paraId="45F0F8CA" w14:textId="26874712" w:rsidR="00F336A4" w:rsidRDefault="00F86AB7" w:rsidP="00F74E51">
      <w:pPr>
        <w:pStyle w:val="Title"/>
      </w:pPr>
      <w:r>
        <w:lastRenderedPageBreak/>
        <w:t xml:space="preserve">TABLE OF </w:t>
      </w:r>
      <w:r w:rsidRPr="00F86AB7">
        <w:t>CONTENTS</w:t>
      </w:r>
    </w:p>
    <w:sdt>
      <w:sdtPr>
        <w:rPr>
          <w:rFonts w:ascii="Times New Roman" w:eastAsiaTheme="minorHAnsi" w:hAnsi="Times New Roman" w:cstheme="minorBidi"/>
          <w:b w:val="0"/>
          <w:bCs w:val="0"/>
          <w:color w:val="auto"/>
          <w:sz w:val="24"/>
          <w:szCs w:val="22"/>
          <w:lang w:eastAsia="en-US"/>
        </w:rPr>
        <w:id w:val="533086180"/>
        <w:docPartObj>
          <w:docPartGallery w:val="Table of Contents"/>
          <w:docPartUnique/>
        </w:docPartObj>
      </w:sdtPr>
      <w:sdtEndPr>
        <w:rPr>
          <w:noProof/>
        </w:rPr>
      </w:sdtEndPr>
      <w:sdtContent>
        <w:p w14:paraId="39B79CE0" w14:textId="7A5C90A8" w:rsidR="00F336A4" w:rsidRPr="00F336A4" w:rsidRDefault="00F336A4" w:rsidP="00F336A4">
          <w:pPr>
            <w:pStyle w:val="TOCHeading"/>
            <w:rPr>
              <w:color w:val="17365D" w:themeColor="text2" w:themeShade="BF"/>
              <w:spacing w:val="5"/>
              <w:kern w:val="28"/>
              <w:sz w:val="52"/>
              <w:szCs w:val="52"/>
            </w:rPr>
          </w:pPr>
        </w:p>
        <w:p w14:paraId="1395D60E" w14:textId="77777777" w:rsidR="00F74E51" w:rsidRPr="00F74E51" w:rsidRDefault="00F336A4">
          <w:pPr>
            <w:pStyle w:val="TOC1"/>
            <w:tabs>
              <w:tab w:val="right" w:leader="dot" w:pos="9350"/>
            </w:tabs>
            <w:rPr>
              <w:rFonts w:eastAsiaTheme="minorEastAsia" w:cs="Times New Roman"/>
              <w:noProof/>
              <w:sz w:val="22"/>
              <w:szCs w:val="22"/>
            </w:rPr>
          </w:pPr>
          <w:r>
            <w:fldChar w:fldCharType="begin"/>
          </w:r>
          <w:r>
            <w:instrText xml:space="preserve"> TOC \o "1-3" \h \z \u </w:instrText>
          </w:r>
          <w:r>
            <w:fldChar w:fldCharType="separate"/>
          </w:r>
          <w:hyperlink w:anchor="_Toc483414847" w:history="1">
            <w:r w:rsidR="00F74E51" w:rsidRPr="00F74E51">
              <w:rPr>
                <w:rStyle w:val="Hyperlink"/>
                <w:rFonts w:cs="Times New Roman"/>
                <w:noProof/>
              </w:rPr>
              <w:t>INTRODUCTION</w:t>
            </w:r>
            <w:r w:rsidR="00F74E51" w:rsidRPr="00F74E51">
              <w:rPr>
                <w:rFonts w:cs="Times New Roman"/>
                <w:noProof/>
                <w:webHidden/>
              </w:rPr>
              <w:tab/>
            </w:r>
            <w:r w:rsidR="00F74E51" w:rsidRPr="00F74E51">
              <w:rPr>
                <w:rFonts w:cs="Times New Roman"/>
                <w:noProof/>
                <w:webHidden/>
              </w:rPr>
              <w:fldChar w:fldCharType="begin"/>
            </w:r>
            <w:r w:rsidR="00F74E51" w:rsidRPr="00F74E51">
              <w:rPr>
                <w:rFonts w:cs="Times New Roman"/>
                <w:noProof/>
                <w:webHidden/>
              </w:rPr>
              <w:instrText xml:space="preserve"> PAGEREF _Toc483414847 \h </w:instrText>
            </w:r>
            <w:r w:rsidR="00F74E51" w:rsidRPr="00F74E51">
              <w:rPr>
                <w:rFonts w:cs="Times New Roman"/>
                <w:noProof/>
                <w:webHidden/>
              </w:rPr>
            </w:r>
            <w:r w:rsidR="00F74E51" w:rsidRPr="00F74E51">
              <w:rPr>
                <w:rFonts w:cs="Times New Roman"/>
                <w:noProof/>
                <w:webHidden/>
              </w:rPr>
              <w:fldChar w:fldCharType="separate"/>
            </w:r>
            <w:r w:rsidR="00F74E51" w:rsidRPr="00F74E51">
              <w:rPr>
                <w:rFonts w:cs="Times New Roman"/>
                <w:noProof/>
                <w:webHidden/>
              </w:rPr>
              <w:t>3</w:t>
            </w:r>
            <w:r w:rsidR="00F74E51" w:rsidRPr="00F74E51">
              <w:rPr>
                <w:rFonts w:cs="Times New Roman"/>
                <w:noProof/>
                <w:webHidden/>
              </w:rPr>
              <w:fldChar w:fldCharType="end"/>
            </w:r>
          </w:hyperlink>
        </w:p>
        <w:p w14:paraId="76418517" w14:textId="77777777" w:rsidR="00F74E51" w:rsidRPr="00F74E51" w:rsidRDefault="007667E3">
          <w:pPr>
            <w:pStyle w:val="TOC2"/>
            <w:tabs>
              <w:tab w:val="right" w:leader="dot" w:pos="9350"/>
            </w:tabs>
            <w:rPr>
              <w:rFonts w:eastAsiaTheme="minorEastAsia" w:cs="Times New Roman"/>
              <w:noProof/>
              <w:sz w:val="22"/>
              <w:szCs w:val="22"/>
            </w:rPr>
          </w:pPr>
          <w:hyperlink w:anchor="_Toc483414848" w:history="1">
            <w:r w:rsidR="00F74E51" w:rsidRPr="00F74E51">
              <w:rPr>
                <w:rStyle w:val="Hyperlink"/>
                <w:rFonts w:cs="Times New Roman"/>
                <w:noProof/>
              </w:rPr>
              <w:t>ROADWAY SAFETY (FHWA, NHTSA, FMCSA)</w:t>
            </w:r>
            <w:r w:rsidR="00F74E51" w:rsidRPr="00F74E51">
              <w:rPr>
                <w:rFonts w:cs="Times New Roman"/>
                <w:noProof/>
                <w:webHidden/>
              </w:rPr>
              <w:tab/>
            </w:r>
            <w:r w:rsidR="00F74E51" w:rsidRPr="00F74E51">
              <w:rPr>
                <w:rFonts w:cs="Times New Roman"/>
                <w:noProof/>
                <w:webHidden/>
              </w:rPr>
              <w:fldChar w:fldCharType="begin"/>
            </w:r>
            <w:r w:rsidR="00F74E51" w:rsidRPr="00F74E51">
              <w:rPr>
                <w:rFonts w:cs="Times New Roman"/>
                <w:noProof/>
                <w:webHidden/>
              </w:rPr>
              <w:instrText xml:space="preserve"> PAGEREF _Toc483414848 \h </w:instrText>
            </w:r>
            <w:r w:rsidR="00F74E51" w:rsidRPr="00F74E51">
              <w:rPr>
                <w:rFonts w:cs="Times New Roman"/>
                <w:noProof/>
                <w:webHidden/>
              </w:rPr>
            </w:r>
            <w:r w:rsidR="00F74E51" w:rsidRPr="00F74E51">
              <w:rPr>
                <w:rFonts w:cs="Times New Roman"/>
                <w:noProof/>
                <w:webHidden/>
              </w:rPr>
              <w:fldChar w:fldCharType="separate"/>
            </w:r>
            <w:r w:rsidR="00F74E51" w:rsidRPr="00F74E51">
              <w:rPr>
                <w:rFonts w:cs="Times New Roman"/>
                <w:noProof/>
                <w:webHidden/>
              </w:rPr>
              <w:t>5</w:t>
            </w:r>
            <w:r w:rsidR="00F74E51" w:rsidRPr="00F74E51">
              <w:rPr>
                <w:rFonts w:cs="Times New Roman"/>
                <w:noProof/>
                <w:webHidden/>
              </w:rPr>
              <w:fldChar w:fldCharType="end"/>
            </w:r>
          </w:hyperlink>
        </w:p>
        <w:p w14:paraId="4A9BB16D" w14:textId="77777777" w:rsidR="00F74E51" w:rsidRPr="00F74E51" w:rsidRDefault="007667E3">
          <w:pPr>
            <w:pStyle w:val="TOC2"/>
            <w:tabs>
              <w:tab w:val="right" w:leader="dot" w:pos="9350"/>
            </w:tabs>
            <w:rPr>
              <w:rFonts w:eastAsiaTheme="minorEastAsia" w:cs="Times New Roman"/>
              <w:noProof/>
              <w:sz w:val="22"/>
              <w:szCs w:val="22"/>
            </w:rPr>
          </w:pPr>
          <w:hyperlink w:anchor="_Toc483414849" w:history="1">
            <w:r w:rsidR="00F74E51" w:rsidRPr="00F74E51">
              <w:rPr>
                <w:rStyle w:val="Hyperlink"/>
                <w:rFonts w:cs="Times New Roman"/>
                <w:noProof/>
              </w:rPr>
              <w:t>AVIATION SAFETY (FAA)</w:t>
            </w:r>
            <w:r w:rsidR="00F74E51" w:rsidRPr="00F74E51">
              <w:rPr>
                <w:rFonts w:cs="Times New Roman"/>
                <w:noProof/>
                <w:webHidden/>
              </w:rPr>
              <w:tab/>
            </w:r>
            <w:r w:rsidR="00F74E51" w:rsidRPr="00F74E51">
              <w:rPr>
                <w:rFonts w:cs="Times New Roman"/>
                <w:noProof/>
                <w:webHidden/>
              </w:rPr>
              <w:fldChar w:fldCharType="begin"/>
            </w:r>
            <w:r w:rsidR="00F74E51" w:rsidRPr="00F74E51">
              <w:rPr>
                <w:rFonts w:cs="Times New Roman"/>
                <w:noProof/>
                <w:webHidden/>
              </w:rPr>
              <w:instrText xml:space="preserve"> PAGEREF _Toc483414849 \h </w:instrText>
            </w:r>
            <w:r w:rsidR="00F74E51" w:rsidRPr="00F74E51">
              <w:rPr>
                <w:rFonts w:cs="Times New Roman"/>
                <w:noProof/>
                <w:webHidden/>
              </w:rPr>
            </w:r>
            <w:r w:rsidR="00F74E51" w:rsidRPr="00F74E51">
              <w:rPr>
                <w:rFonts w:cs="Times New Roman"/>
                <w:noProof/>
                <w:webHidden/>
              </w:rPr>
              <w:fldChar w:fldCharType="separate"/>
            </w:r>
            <w:r w:rsidR="00F74E51" w:rsidRPr="00F74E51">
              <w:rPr>
                <w:rFonts w:cs="Times New Roman"/>
                <w:noProof/>
                <w:webHidden/>
              </w:rPr>
              <w:t>5</w:t>
            </w:r>
            <w:r w:rsidR="00F74E51" w:rsidRPr="00F74E51">
              <w:rPr>
                <w:rFonts w:cs="Times New Roman"/>
                <w:noProof/>
                <w:webHidden/>
              </w:rPr>
              <w:fldChar w:fldCharType="end"/>
            </w:r>
          </w:hyperlink>
        </w:p>
        <w:p w14:paraId="51F275FE" w14:textId="77777777" w:rsidR="00F74E51" w:rsidRPr="00F74E51" w:rsidRDefault="007667E3">
          <w:pPr>
            <w:pStyle w:val="TOC2"/>
            <w:tabs>
              <w:tab w:val="right" w:leader="dot" w:pos="9350"/>
            </w:tabs>
            <w:rPr>
              <w:rFonts w:eastAsiaTheme="minorEastAsia" w:cs="Times New Roman"/>
              <w:noProof/>
              <w:sz w:val="22"/>
              <w:szCs w:val="22"/>
            </w:rPr>
          </w:pPr>
          <w:hyperlink w:anchor="_Toc483414850" w:history="1">
            <w:r w:rsidR="00F74E51" w:rsidRPr="00F74E51">
              <w:rPr>
                <w:rStyle w:val="Hyperlink"/>
                <w:rFonts w:cs="Times New Roman"/>
                <w:noProof/>
              </w:rPr>
              <w:t>RAIL, TRANSIT, PIPELINE, HAZMAT SAFETY AND SAFETY POLICY</w:t>
            </w:r>
            <w:r w:rsidR="00F74E51" w:rsidRPr="00F74E51">
              <w:rPr>
                <w:rFonts w:cs="Times New Roman"/>
                <w:noProof/>
                <w:webHidden/>
              </w:rPr>
              <w:tab/>
            </w:r>
            <w:r w:rsidR="00F74E51" w:rsidRPr="00F74E51">
              <w:rPr>
                <w:rFonts w:cs="Times New Roman"/>
                <w:noProof/>
                <w:webHidden/>
              </w:rPr>
              <w:fldChar w:fldCharType="begin"/>
            </w:r>
            <w:r w:rsidR="00F74E51" w:rsidRPr="00F74E51">
              <w:rPr>
                <w:rFonts w:cs="Times New Roman"/>
                <w:noProof/>
                <w:webHidden/>
              </w:rPr>
              <w:instrText xml:space="preserve"> PAGEREF _Toc483414850 \h </w:instrText>
            </w:r>
            <w:r w:rsidR="00F74E51" w:rsidRPr="00F74E51">
              <w:rPr>
                <w:rFonts w:cs="Times New Roman"/>
                <w:noProof/>
                <w:webHidden/>
              </w:rPr>
            </w:r>
            <w:r w:rsidR="00F74E51" w:rsidRPr="00F74E51">
              <w:rPr>
                <w:rFonts w:cs="Times New Roman"/>
                <w:noProof/>
                <w:webHidden/>
              </w:rPr>
              <w:fldChar w:fldCharType="separate"/>
            </w:r>
            <w:r w:rsidR="00F74E51" w:rsidRPr="00F74E51">
              <w:rPr>
                <w:rFonts w:cs="Times New Roman"/>
                <w:noProof/>
                <w:webHidden/>
              </w:rPr>
              <w:t>5</w:t>
            </w:r>
            <w:r w:rsidR="00F74E51" w:rsidRPr="00F74E51">
              <w:rPr>
                <w:rFonts w:cs="Times New Roman"/>
                <w:noProof/>
                <w:webHidden/>
              </w:rPr>
              <w:fldChar w:fldCharType="end"/>
            </w:r>
          </w:hyperlink>
        </w:p>
        <w:p w14:paraId="5DA5717B" w14:textId="77777777" w:rsidR="00F74E51" w:rsidRPr="00F74E51" w:rsidRDefault="007667E3">
          <w:pPr>
            <w:pStyle w:val="TOC2"/>
            <w:tabs>
              <w:tab w:val="right" w:leader="dot" w:pos="9350"/>
            </w:tabs>
            <w:rPr>
              <w:rFonts w:eastAsiaTheme="minorEastAsia" w:cs="Times New Roman"/>
              <w:noProof/>
              <w:sz w:val="22"/>
              <w:szCs w:val="22"/>
            </w:rPr>
          </w:pPr>
          <w:hyperlink w:anchor="_Toc483414851" w:history="1">
            <w:r w:rsidR="00F74E51" w:rsidRPr="00F74E51">
              <w:rPr>
                <w:rStyle w:val="Hyperlink"/>
                <w:rFonts w:eastAsiaTheme="majorEastAsia" w:cs="Times New Roman"/>
                <w:bCs/>
                <w:caps/>
                <w:noProof/>
              </w:rPr>
              <w:t>STATE OF GOOD REPAIR</w:t>
            </w:r>
            <w:r w:rsidR="00F74E51" w:rsidRPr="00F74E51">
              <w:rPr>
                <w:rFonts w:cs="Times New Roman"/>
                <w:noProof/>
                <w:webHidden/>
              </w:rPr>
              <w:tab/>
            </w:r>
            <w:r w:rsidR="00F74E51" w:rsidRPr="00F74E51">
              <w:rPr>
                <w:rFonts w:cs="Times New Roman"/>
                <w:noProof/>
                <w:webHidden/>
              </w:rPr>
              <w:fldChar w:fldCharType="begin"/>
            </w:r>
            <w:r w:rsidR="00F74E51" w:rsidRPr="00F74E51">
              <w:rPr>
                <w:rFonts w:cs="Times New Roman"/>
                <w:noProof/>
                <w:webHidden/>
              </w:rPr>
              <w:instrText xml:space="preserve"> PAGEREF _Toc483414851 \h </w:instrText>
            </w:r>
            <w:r w:rsidR="00F74E51" w:rsidRPr="00F74E51">
              <w:rPr>
                <w:rFonts w:cs="Times New Roman"/>
                <w:noProof/>
                <w:webHidden/>
              </w:rPr>
            </w:r>
            <w:r w:rsidR="00F74E51" w:rsidRPr="00F74E51">
              <w:rPr>
                <w:rFonts w:cs="Times New Roman"/>
                <w:noProof/>
                <w:webHidden/>
              </w:rPr>
              <w:fldChar w:fldCharType="separate"/>
            </w:r>
            <w:r w:rsidR="00F74E51" w:rsidRPr="00F74E51">
              <w:rPr>
                <w:rFonts w:cs="Times New Roman"/>
                <w:noProof/>
                <w:webHidden/>
              </w:rPr>
              <w:t>6</w:t>
            </w:r>
            <w:r w:rsidR="00F74E51" w:rsidRPr="00F74E51">
              <w:rPr>
                <w:rFonts w:cs="Times New Roman"/>
                <w:noProof/>
                <w:webHidden/>
              </w:rPr>
              <w:fldChar w:fldCharType="end"/>
            </w:r>
          </w:hyperlink>
        </w:p>
        <w:p w14:paraId="2EFF5E37" w14:textId="77777777" w:rsidR="00F74E51" w:rsidRPr="00F74E51" w:rsidRDefault="007667E3">
          <w:pPr>
            <w:pStyle w:val="TOC2"/>
            <w:tabs>
              <w:tab w:val="right" w:leader="dot" w:pos="9350"/>
            </w:tabs>
            <w:rPr>
              <w:rFonts w:eastAsiaTheme="minorEastAsia" w:cs="Times New Roman"/>
              <w:noProof/>
              <w:sz w:val="22"/>
              <w:szCs w:val="22"/>
            </w:rPr>
          </w:pPr>
          <w:hyperlink w:anchor="_Toc483414852" w:history="1">
            <w:r w:rsidR="00F74E51" w:rsidRPr="00F74E51">
              <w:rPr>
                <w:rStyle w:val="Hyperlink"/>
                <w:rFonts w:eastAsiaTheme="majorEastAsia" w:cs="Times New Roman"/>
                <w:bCs/>
                <w:caps/>
                <w:noProof/>
              </w:rPr>
              <w:t>ECONOMIC COMPETITIVENESS</w:t>
            </w:r>
            <w:r w:rsidR="00F74E51" w:rsidRPr="00F74E51">
              <w:rPr>
                <w:rFonts w:cs="Times New Roman"/>
                <w:noProof/>
                <w:webHidden/>
              </w:rPr>
              <w:tab/>
            </w:r>
            <w:r w:rsidR="00F74E51" w:rsidRPr="00F74E51">
              <w:rPr>
                <w:rFonts w:cs="Times New Roman"/>
                <w:noProof/>
                <w:webHidden/>
              </w:rPr>
              <w:fldChar w:fldCharType="begin"/>
            </w:r>
            <w:r w:rsidR="00F74E51" w:rsidRPr="00F74E51">
              <w:rPr>
                <w:rFonts w:cs="Times New Roman"/>
                <w:noProof/>
                <w:webHidden/>
              </w:rPr>
              <w:instrText xml:space="preserve"> PAGEREF _Toc483414852 \h </w:instrText>
            </w:r>
            <w:r w:rsidR="00F74E51" w:rsidRPr="00F74E51">
              <w:rPr>
                <w:rFonts w:cs="Times New Roman"/>
                <w:noProof/>
                <w:webHidden/>
              </w:rPr>
            </w:r>
            <w:r w:rsidR="00F74E51" w:rsidRPr="00F74E51">
              <w:rPr>
                <w:rFonts w:cs="Times New Roman"/>
                <w:noProof/>
                <w:webHidden/>
              </w:rPr>
              <w:fldChar w:fldCharType="separate"/>
            </w:r>
            <w:r w:rsidR="00F74E51" w:rsidRPr="00F74E51">
              <w:rPr>
                <w:rFonts w:cs="Times New Roman"/>
                <w:noProof/>
                <w:webHidden/>
              </w:rPr>
              <w:t>6</w:t>
            </w:r>
            <w:r w:rsidR="00F74E51" w:rsidRPr="00F74E51">
              <w:rPr>
                <w:rFonts w:cs="Times New Roman"/>
                <w:noProof/>
                <w:webHidden/>
              </w:rPr>
              <w:fldChar w:fldCharType="end"/>
            </w:r>
          </w:hyperlink>
        </w:p>
        <w:p w14:paraId="15CE385A" w14:textId="77777777" w:rsidR="00F74E51" w:rsidRPr="00F74E51" w:rsidRDefault="007667E3">
          <w:pPr>
            <w:pStyle w:val="TOC2"/>
            <w:tabs>
              <w:tab w:val="right" w:leader="dot" w:pos="9350"/>
            </w:tabs>
            <w:rPr>
              <w:rFonts w:eastAsiaTheme="minorEastAsia" w:cs="Times New Roman"/>
              <w:noProof/>
              <w:sz w:val="22"/>
              <w:szCs w:val="22"/>
            </w:rPr>
          </w:pPr>
          <w:hyperlink w:anchor="_Toc483414853" w:history="1">
            <w:r w:rsidR="00F74E51" w:rsidRPr="00F74E51">
              <w:rPr>
                <w:rStyle w:val="Hyperlink"/>
                <w:rFonts w:eastAsia="Cambria" w:cs="Times New Roman"/>
                <w:bCs/>
                <w:noProof/>
                <w:spacing w:val="-1"/>
              </w:rPr>
              <w:t>ENVIRONMENTAL SUSTAINABILITY</w:t>
            </w:r>
            <w:r w:rsidR="00F74E51" w:rsidRPr="00F74E51">
              <w:rPr>
                <w:rFonts w:cs="Times New Roman"/>
                <w:noProof/>
                <w:webHidden/>
              </w:rPr>
              <w:tab/>
            </w:r>
            <w:r w:rsidR="00F74E51" w:rsidRPr="00F74E51">
              <w:rPr>
                <w:rFonts w:cs="Times New Roman"/>
                <w:noProof/>
                <w:webHidden/>
              </w:rPr>
              <w:fldChar w:fldCharType="begin"/>
            </w:r>
            <w:r w:rsidR="00F74E51" w:rsidRPr="00F74E51">
              <w:rPr>
                <w:rFonts w:cs="Times New Roman"/>
                <w:noProof/>
                <w:webHidden/>
              </w:rPr>
              <w:instrText xml:space="preserve"> PAGEREF _Toc483414853 \h </w:instrText>
            </w:r>
            <w:r w:rsidR="00F74E51" w:rsidRPr="00F74E51">
              <w:rPr>
                <w:rFonts w:cs="Times New Roman"/>
                <w:noProof/>
                <w:webHidden/>
              </w:rPr>
            </w:r>
            <w:r w:rsidR="00F74E51" w:rsidRPr="00F74E51">
              <w:rPr>
                <w:rFonts w:cs="Times New Roman"/>
                <w:noProof/>
                <w:webHidden/>
              </w:rPr>
              <w:fldChar w:fldCharType="separate"/>
            </w:r>
            <w:r w:rsidR="00F74E51" w:rsidRPr="00F74E51">
              <w:rPr>
                <w:rFonts w:cs="Times New Roman"/>
                <w:noProof/>
                <w:webHidden/>
              </w:rPr>
              <w:t>7</w:t>
            </w:r>
            <w:r w:rsidR="00F74E51" w:rsidRPr="00F74E51">
              <w:rPr>
                <w:rFonts w:cs="Times New Roman"/>
                <w:noProof/>
                <w:webHidden/>
              </w:rPr>
              <w:fldChar w:fldCharType="end"/>
            </w:r>
          </w:hyperlink>
        </w:p>
        <w:p w14:paraId="23549C67" w14:textId="77777777" w:rsidR="00F74E51" w:rsidRDefault="007667E3">
          <w:pPr>
            <w:pStyle w:val="TOC2"/>
            <w:tabs>
              <w:tab w:val="right" w:leader="dot" w:pos="9350"/>
            </w:tabs>
            <w:rPr>
              <w:rFonts w:asciiTheme="minorHAnsi" w:eastAsiaTheme="minorEastAsia" w:hAnsiTheme="minorHAnsi"/>
              <w:noProof/>
              <w:sz w:val="22"/>
              <w:szCs w:val="22"/>
            </w:rPr>
          </w:pPr>
          <w:hyperlink w:anchor="_Toc483414854" w:history="1">
            <w:r w:rsidR="00F74E51" w:rsidRPr="00F74E51">
              <w:rPr>
                <w:rStyle w:val="Hyperlink"/>
                <w:rFonts w:eastAsia="Cambria" w:cs="Times New Roman"/>
                <w:bCs/>
                <w:noProof/>
                <w:spacing w:val="-1"/>
              </w:rPr>
              <w:t>NATIONAL SECURITY AND PREPAREDNESS (MARAD)</w:t>
            </w:r>
            <w:r w:rsidR="00F74E51" w:rsidRPr="00F74E51">
              <w:rPr>
                <w:rFonts w:cs="Times New Roman"/>
                <w:noProof/>
                <w:webHidden/>
              </w:rPr>
              <w:tab/>
            </w:r>
            <w:r w:rsidR="00F74E51" w:rsidRPr="00F74E51">
              <w:rPr>
                <w:rFonts w:cs="Times New Roman"/>
                <w:noProof/>
                <w:webHidden/>
              </w:rPr>
              <w:fldChar w:fldCharType="begin"/>
            </w:r>
            <w:r w:rsidR="00F74E51" w:rsidRPr="00F74E51">
              <w:rPr>
                <w:rFonts w:cs="Times New Roman"/>
                <w:noProof/>
                <w:webHidden/>
              </w:rPr>
              <w:instrText xml:space="preserve"> PAGEREF _Toc483414854 \h </w:instrText>
            </w:r>
            <w:r w:rsidR="00F74E51" w:rsidRPr="00F74E51">
              <w:rPr>
                <w:rFonts w:cs="Times New Roman"/>
                <w:noProof/>
                <w:webHidden/>
              </w:rPr>
            </w:r>
            <w:r w:rsidR="00F74E51" w:rsidRPr="00F74E51">
              <w:rPr>
                <w:rFonts w:cs="Times New Roman"/>
                <w:noProof/>
                <w:webHidden/>
              </w:rPr>
              <w:fldChar w:fldCharType="separate"/>
            </w:r>
            <w:r w:rsidR="00F74E51" w:rsidRPr="00F74E51">
              <w:rPr>
                <w:rFonts w:cs="Times New Roman"/>
                <w:noProof/>
                <w:webHidden/>
              </w:rPr>
              <w:t>7</w:t>
            </w:r>
            <w:r w:rsidR="00F74E51" w:rsidRPr="00F74E51">
              <w:rPr>
                <w:rFonts w:cs="Times New Roman"/>
                <w:noProof/>
                <w:webHidden/>
              </w:rPr>
              <w:fldChar w:fldCharType="end"/>
            </w:r>
          </w:hyperlink>
        </w:p>
        <w:p w14:paraId="0000EEBE" w14:textId="77777777" w:rsidR="00F74E51" w:rsidRDefault="007667E3">
          <w:pPr>
            <w:pStyle w:val="TOC1"/>
            <w:tabs>
              <w:tab w:val="right" w:leader="dot" w:pos="9350"/>
            </w:tabs>
            <w:rPr>
              <w:rFonts w:asciiTheme="minorHAnsi" w:eastAsiaTheme="minorEastAsia" w:hAnsiTheme="minorHAnsi"/>
              <w:noProof/>
              <w:sz w:val="22"/>
              <w:szCs w:val="22"/>
            </w:rPr>
          </w:pPr>
          <w:hyperlink w:anchor="_Toc483414855" w:history="1">
            <w:r w:rsidR="00F74E51" w:rsidRPr="009C5BCC">
              <w:rPr>
                <w:rStyle w:val="Hyperlink"/>
                <w:noProof/>
              </w:rPr>
              <w:t>Improve the Safety of the Transportation System</w:t>
            </w:r>
            <w:r w:rsidR="00F74E51">
              <w:rPr>
                <w:noProof/>
                <w:webHidden/>
              </w:rPr>
              <w:tab/>
            </w:r>
            <w:r w:rsidR="00F74E51">
              <w:rPr>
                <w:noProof/>
                <w:webHidden/>
              </w:rPr>
              <w:fldChar w:fldCharType="begin"/>
            </w:r>
            <w:r w:rsidR="00F74E51">
              <w:rPr>
                <w:noProof/>
                <w:webHidden/>
              </w:rPr>
              <w:instrText xml:space="preserve"> PAGEREF _Toc483414855 \h </w:instrText>
            </w:r>
            <w:r w:rsidR="00F74E51">
              <w:rPr>
                <w:noProof/>
                <w:webHidden/>
              </w:rPr>
            </w:r>
            <w:r w:rsidR="00F74E51">
              <w:rPr>
                <w:noProof/>
                <w:webHidden/>
              </w:rPr>
              <w:fldChar w:fldCharType="separate"/>
            </w:r>
            <w:r w:rsidR="00F74E51">
              <w:rPr>
                <w:noProof/>
                <w:webHidden/>
              </w:rPr>
              <w:t>9</w:t>
            </w:r>
            <w:r w:rsidR="00F74E51">
              <w:rPr>
                <w:noProof/>
                <w:webHidden/>
              </w:rPr>
              <w:fldChar w:fldCharType="end"/>
            </w:r>
          </w:hyperlink>
        </w:p>
        <w:p w14:paraId="3ED3A1E6" w14:textId="77777777" w:rsidR="00F74E51" w:rsidRDefault="007667E3">
          <w:pPr>
            <w:pStyle w:val="TOC2"/>
            <w:tabs>
              <w:tab w:val="right" w:leader="dot" w:pos="9350"/>
            </w:tabs>
            <w:rPr>
              <w:rFonts w:asciiTheme="minorHAnsi" w:eastAsiaTheme="minorEastAsia" w:hAnsiTheme="minorHAnsi"/>
              <w:noProof/>
              <w:sz w:val="22"/>
              <w:szCs w:val="22"/>
            </w:rPr>
          </w:pPr>
          <w:hyperlink w:anchor="_Toc483414856" w:history="1">
            <w:r w:rsidR="00F74E51" w:rsidRPr="009C5BCC">
              <w:rPr>
                <w:rStyle w:val="Hyperlink"/>
                <w:noProof/>
              </w:rPr>
              <w:t>Roadway Safety (FHWA, FMCSA, NHTSA)</w:t>
            </w:r>
            <w:r w:rsidR="00F74E51">
              <w:rPr>
                <w:noProof/>
                <w:webHidden/>
              </w:rPr>
              <w:tab/>
            </w:r>
            <w:r w:rsidR="00F74E51">
              <w:rPr>
                <w:noProof/>
                <w:webHidden/>
              </w:rPr>
              <w:fldChar w:fldCharType="begin"/>
            </w:r>
            <w:r w:rsidR="00F74E51">
              <w:rPr>
                <w:noProof/>
                <w:webHidden/>
              </w:rPr>
              <w:instrText xml:space="preserve"> PAGEREF _Toc483414856 \h </w:instrText>
            </w:r>
            <w:r w:rsidR="00F74E51">
              <w:rPr>
                <w:noProof/>
                <w:webHidden/>
              </w:rPr>
            </w:r>
            <w:r w:rsidR="00F74E51">
              <w:rPr>
                <w:noProof/>
                <w:webHidden/>
              </w:rPr>
              <w:fldChar w:fldCharType="separate"/>
            </w:r>
            <w:r w:rsidR="00F74E51">
              <w:rPr>
                <w:noProof/>
                <w:webHidden/>
              </w:rPr>
              <w:t>9</w:t>
            </w:r>
            <w:r w:rsidR="00F74E51">
              <w:rPr>
                <w:noProof/>
                <w:webHidden/>
              </w:rPr>
              <w:fldChar w:fldCharType="end"/>
            </w:r>
          </w:hyperlink>
        </w:p>
        <w:p w14:paraId="57F6DB35" w14:textId="77777777" w:rsidR="00F74E51" w:rsidRDefault="007667E3">
          <w:pPr>
            <w:pStyle w:val="TOC2"/>
            <w:tabs>
              <w:tab w:val="right" w:leader="dot" w:pos="9350"/>
            </w:tabs>
            <w:rPr>
              <w:rFonts w:asciiTheme="minorHAnsi" w:eastAsiaTheme="minorEastAsia" w:hAnsiTheme="minorHAnsi"/>
              <w:noProof/>
              <w:sz w:val="22"/>
              <w:szCs w:val="22"/>
            </w:rPr>
          </w:pPr>
          <w:hyperlink w:anchor="_Toc483414857" w:history="1">
            <w:r w:rsidR="00F74E51" w:rsidRPr="009C5BCC">
              <w:rPr>
                <w:rStyle w:val="Hyperlink"/>
                <w:noProof/>
              </w:rPr>
              <w:t>Aviation Safety (FAA)</w:t>
            </w:r>
            <w:r w:rsidR="00F74E51">
              <w:rPr>
                <w:noProof/>
                <w:webHidden/>
              </w:rPr>
              <w:tab/>
            </w:r>
            <w:r w:rsidR="00F74E51">
              <w:rPr>
                <w:noProof/>
                <w:webHidden/>
              </w:rPr>
              <w:fldChar w:fldCharType="begin"/>
            </w:r>
            <w:r w:rsidR="00F74E51">
              <w:rPr>
                <w:noProof/>
                <w:webHidden/>
              </w:rPr>
              <w:instrText xml:space="preserve"> PAGEREF _Toc483414857 \h </w:instrText>
            </w:r>
            <w:r w:rsidR="00F74E51">
              <w:rPr>
                <w:noProof/>
                <w:webHidden/>
              </w:rPr>
            </w:r>
            <w:r w:rsidR="00F74E51">
              <w:rPr>
                <w:noProof/>
                <w:webHidden/>
              </w:rPr>
              <w:fldChar w:fldCharType="separate"/>
            </w:r>
            <w:r w:rsidR="00F74E51">
              <w:rPr>
                <w:noProof/>
                <w:webHidden/>
              </w:rPr>
              <w:t>13</w:t>
            </w:r>
            <w:r w:rsidR="00F74E51">
              <w:rPr>
                <w:noProof/>
                <w:webHidden/>
              </w:rPr>
              <w:fldChar w:fldCharType="end"/>
            </w:r>
          </w:hyperlink>
        </w:p>
        <w:p w14:paraId="34446209" w14:textId="77777777" w:rsidR="00F74E51" w:rsidRDefault="007667E3">
          <w:pPr>
            <w:pStyle w:val="TOC2"/>
            <w:tabs>
              <w:tab w:val="right" w:leader="dot" w:pos="9350"/>
            </w:tabs>
            <w:rPr>
              <w:rFonts w:asciiTheme="minorHAnsi" w:eastAsiaTheme="minorEastAsia" w:hAnsiTheme="minorHAnsi"/>
              <w:noProof/>
              <w:sz w:val="22"/>
              <w:szCs w:val="22"/>
            </w:rPr>
          </w:pPr>
          <w:hyperlink w:anchor="_Toc483414858" w:history="1">
            <w:r w:rsidR="00F74E51" w:rsidRPr="009C5BCC">
              <w:rPr>
                <w:rStyle w:val="Hyperlink"/>
                <w:noProof/>
              </w:rPr>
              <w:t>Railroad Safety (FRA)</w:t>
            </w:r>
            <w:r w:rsidR="00F74E51">
              <w:rPr>
                <w:noProof/>
                <w:webHidden/>
              </w:rPr>
              <w:tab/>
            </w:r>
            <w:r w:rsidR="00F74E51">
              <w:rPr>
                <w:noProof/>
                <w:webHidden/>
              </w:rPr>
              <w:fldChar w:fldCharType="begin"/>
            </w:r>
            <w:r w:rsidR="00F74E51">
              <w:rPr>
                <w:noProof/>
                <w:webHidden/>
              </w:rPr>
              <w:instrText xml:space="preserve"> PAGEREF _Toc483414858 \h </w:instrText>
            </w:r>
            <w:r w:rsidR="00F74E51">
              <w:rPr>
                <w:noProof/>
                <w:webHidden/>
              </w:rPr>
            </w:r>
            <w:r w:rsidR="00F74E51">
              <w:rPr>
                <w:noProof/>
                <w:webHidden/>
              </w:rPr>
              <w:fldChar w:fldCharType="separate"/>
            </w:r>
            <w:r w:rsidR="00F74E51">
              <w:rPr>
                <w:noProof/>
                <w:webHidden/>
              </w:rPr>
              <w:t>16</w:t>
            </w:r>
            <w:r w:rsidR="00F74E51">
              <w:rPr>
                <w:noProof/>
                <w:webHidden/>
              </w:rPr>
              <w:fldChar w:fldCharType="end"/>
            </w:r>
          </w:hyperlink>
        </w:p>
        <w:p w14:paraId="3E71CEAF" w14:textId="77777777" w:rsidR="00F74E51" w:rsidRDefault="007667E3">
          <w:pPr>
            <w:pStyle w:val="TOC2"/>
            <w:tabs>
              <w:tab w:val="right" w:leader="dot" w:pos="9350"/>
            </w:tabs>
            <w:rPr>
              <w:rFonts w:asciiTheme="minorHAnsi" w:eastAsiaTheme="minorEastAsia" w:hAnsiTheme="minorHAnsi"/>
              <w:noProof/>
              <w:sz w:val="22"/>
              <w:szCs w:val="22"/>
            </w:rPr>
          </w:pPr>
          <w:hyperlink w:anchor="_Toc483414859" w:history="1">
            <w:r w:rsidR="00F74E51" w:rsidRPr="009C5BCC">
              <w:rPr>
                <w:rStyle w:val="Hyperlink"/>
                <w:noProof/>
              </w:rPr>
              <w:t>Transit Safety (FTA)</w:t>
            </w:r>
            <w:r w:rsidR="00F74E51">
              <w:rPr>
                <w:noProof/>
                <w:webHidden/>
              </w:rPr>
              <w:tab/>
            </w:r>
            <w:r w:rsidR="00F74E51">
              <w:rPr>
                <w:noProof/>
                <w:webHidden/>
              </w:rPr>
              <w:fldChar w:fldCharType="begin"/>
            </w:r>
            <w:r w:rsidR="00F74E51">
              <w:rPr>
                <w:noProof/>
                <w:webHidden/>
              </w:rPr>
              <w:instrText xml:space="preserve"> PAGEREF _Toc483414859 \h </w:instrText>
            </w:r>
            <w:r w:rsidR="00F74E51">
              <w:rPr>
                <w:noProof/>
                <w:webHidden/>
              </w:rPr>
            </w:r>
            <w:r w:rsidR="00F74E51">
              <w:rPr>
                <w:noProof/>
                <w:webHidden/>
              </w:rPr>
              <w:fldChar w:fldCharType="separate"/>
            </w:r>
            <w:r w:rsidR="00F74E51">
              <w:rPr>
                <w:noProof/>
                <w:webHidden/>
              </w:rPr>
              <w:t>20</w:t>
            </w:r>
            <w:r w:rsidR="00F74E51">
              <w:rPr>
                <w:noProof/>
                <w:webHidden/>
              </w:rPr>
              <w:fldChar w:fldCharType="end"/>
            </w:r>
          </w:hyperlink>
        </w:p>
        <w:p w14:paraId="2F12DA21" w14:textId="77777777" w:rsidR="00F74E51" w:rsidRDefault="007667E3">
          <w:pPr>
            <w:pStyle w:val="TOC2"/>
            <w:tabs>
              <w:tab w:val="right" w:leader="dot" w:pos="9350"/>
            </w:tabs>
            <w:rPr>
              <w:rFonts w:asciiTheme="minorHAnsi" w:eastAsiaTheme="minorEastAsia" w:hAnsiTheme="minorHAnsi"/>
              <w:noProof/>
              <w:sz w:val="22"/>
              <w:szCs w:val="22"/>
            </w:rPr>
          </w:pPr>
          <w:hyperlink w:anchor="_Toc483414860" w:history="1">
            <w:r w:rsidR="00F74E51" w:rsidRPr="009C5BCC">
              <w:rPr>
                <w:rStyle w:val="Hyperlink"/>
                <w:noProof/>
              </w:rPr>
              <w:t>Hazardous Materials Safety (PHMSA)</w:t>
            </w:r>
            <w:r w:rsidR="00F74E51">
              <w:rPr>
                <w:noProof/>
                <w:webHidden/>
              </w:rPr>
              <w:tab/>
            </w:r>
            <w:r w:rsidR="00F74E51">
              <w:rPr>
                <w:noProof/>
                <w:webHidden/>
              </w:rPr>
              <w:fldChar w:fldCharType="begin"/>
            </w:r>
            <w:r w:rsidR="00F74E51">
              <w:rPr>
                <w:noProof/>
                <w:webHidden/>
              </w:rPr>
              <w:instrText xml:space="preserve"> PAGEREF _Toc483414860 \h </w:instrText>
            </w:r>
            <w:r w:rsidR="00F74E51">
              <w:rPr>
                <w:noProof/>
                <w:webHidden/>
              </w:rPr>
            </w:r>
            <w:r w:rsidR="00F74E51">
              <w:rPr>
                <w:noProof/>
                <w:webHidden/>
              </w:rPr>
              <w:fldChar w:fldCharType="separate"/>
            </w:r>
            <w:r w:rsidR="00F74E51">
              <w:rPr>
                <w:noProof/>
                <w:webHidden/>
              </w:rPr>
              <w:t>21</w:t>
            </w:r>
            <w:r w:rsidR="00F74E51">
              <w:rPr>
                <w:noProof/>
                <w:webHidden/>
              </w:rPr>
              <w:fldChar w:fldCharType="end"/>
            </w:r>
          </w:hyperlink>
        </w:p>
        <w:p w14:paraId="0146F391" w14:textId="77777777" w:rsidR="00F74E51" w:rsidRDefault="007667E3">
          <w:pPr>
            <w:pStyle w:val="TOC2"/>
            <w:tabs>
              <w:tab w:val="right" w:leader="dot" w:pos="9350"/>
            </w:tabs>
            <w:rPr>
              <w:rFonts w:asciiTheme="minorHAnsi" w:eastAsiaTheme="minorEastAsia" w:hAnsiTheme="minorHAnsi"/>
              <w:noProof/>
              <w:sz w:val="22"/>
              <w:szCs w:val="22"/>
            </w:rPr>
          </w:pPr>
          <w:hyperlink w:anchor="_Toc483414861" w:history="1">
            <w:r w:rsidR="00F74E51" w:rsidRPr="009C5BCC">
              <w:rPr>
                <w:rStyle w:val="Hyperlink"/>
                <w:noProof/>
              </w:rPr>
              <w:t>Pipeline Safety (PHMSA)</w:t>
            </w:r>
            <w:r w:rsidR="00F74E51">
              <w:rPr>
                <w:noProof/>
                <w:webHidden/>
              </w:rPr>
              <w:tab/>
            </w:r>
            <w:r w:rsidR="00F74E51">
              <w:rPr>
                <w:noProof/>
                <w:webHidden/>
              </w:rPr>
              <w:fldChar w:fldCharType="begin"/>
            </w:r>
            <w:r w:rsidR="00F74E51">
              <w:rPr>
                <w:noProof/>
                <w:webHidden/>
              </w:rPr>
              <w:instrText xml:space="preserve"> PAGEREF _Toc483414861 \h </w:instrText>
            </w:r>
            <w:r w:rsidR="00F74E51">
              <w:rPr>
                <w:noProof/>
                <w:webHidden/>
              </w:rPr>
            </w:r>
            <w:r w:rsidR="00F74E51">
              <w:rPr>
                <w:noProof/>
                <w:webHidden/>
              </w:rPr>
              <w:fldChar w:fldCharType="separate"/>
            </w:r>
            <w:r w:rsidR="00F74E51">
              <w:rPr>
                <w:noProof/>
                <w:webHidden/>
              </w:rPr>
              <w:t>24</w:t>
            </w:r>
            <w:r w:rsidR="00F74E51">
              <w:rPr>
                <w:noProof/>
                <w:webHidden/>
              </w:rPr>
              <w:fldChar w:fldCharType="end"/>
            </w:r>
          </w:hyperlink>
        </w:p>
        <w:p w14:paraId="39B5969B" w14:textId="4063FCF8" w:rsidR="00F336A4" w:rsidRDefault="00F336A4">
          <w:r>
            <w:rPr>
              <w:b/>
              <w:bCs/>
              <w:noProof/>
            </w:rPr>
            <w:fldChar w:fldCharType="end"/>
          </w:r>
        </w:p>
      </w:sdtContent>
    </w:sdt>
    <w:p w14:paraId="147F857E" w14:textId="4373A0EA" w:rsidR="00F86AB7" w:rsidRDefault="00F86AB7" w:rsidP="00F86AB7"/>
    <w:p w14:paraId="18E6C032" w14:textId="702EFC58" w:rsidR="00F86AB7" w:rsidRPr="00F86AB7" w:rsidRDefault="00F86AB7" w:rsidP="00F86AB7">
      <w:r>
        <w:br w:type="page"/>
      </w:r>
    </w:p>
    <w:p w14:paraId="3A545C2D" w14:textId="4DEE7385" w:rsidR="00486767" w:rsidRPr="00BF1576" w:rsidRDefault="00486767" w:rsidP="0065262B">
      <w:pPr>
        <w:pStyle w:val="Title"/>
        <w:spacing w:before="480"/>
      </w:pPr>
      <w:r>
        <w:lastRenderedPageBreak/>
        <w:t>EXECUTIVE SUMMARY</w:t>
      </w:r>
    </w:p>
    <w:p w14:paraId="51610FB0" w14:textId="77777777" w:rsidR="0069041F" w:rsidRPr="00486767" w:rsidRDefault="0069041F" w:rsidP="0065262B">
      <w:pPr>
        <w:pStyle w:val="Heading1"/>
        <w:spacing w:before="240"/>
        <w:rPr>
          <w:color w:val="172BE9"/>
        </w:rPr>
      </w:pPr>
      <w:bookmarkStart w:id="1" w:name="_Toc480802953"/>
      <w:bookmarkStart w:id="2" w:name="_Toc483414847"/>
      <w:r w:rsidRPr="00486767">
        <w:rPr>
          <w:color w:val="172BE9"/>
        </w:rPr>
        <w:t>INTRODUCTION</w:t>
      </w:r>
      <w:bookmarkEnd w:id="1"/>
      <w:bookmarkEnd w:id="2"/>
    </w:p>
    <w:p w14:paraId="13A3B34C" w14:textId="77777777" w:rsidR="0069041F" w:rsidRPr="00517C69" w:rsidRDefault="0069041F" w:rsidP="00C02BE5">
      <w:pPr>
        <w:tabs>
          <w:tab w:val="left" w:pos="5444"/>
        </w:tabs>
        <w:spacing w:after="0" w:line="240" w:lineRule="auto"/>
        <w:rPr>
          <w:rFonts w:cs="Times New Roman"/>
          <w:szCs w:val="24"/>
        </w:rPr>
      </w:pPr>
    </w:p>
    <w:p w14:paraId="32FD0407" w14:textId="740214E7" w:rsidR="0069041F" w:rsidRPr="00D453FB" w:rsidRDefault="00517C69" w:rsidP="00B03B7A">
      <w:pPr>
        <w:tabs>
          <w:tab w:val="left" w:pos="5444"/>
        </w:tabs>
        <w:spacing w:after="0" w:line="240" w:lineRule="auto"/>
        <w:rPr>
          <w:rFonts w:cs="Times New Roman"/>
        </w:rPr>
      </w:pPr>
      <w:r>
        <w:rPr>
          <w:rFonts w:cs="Times New Roman"/>
          <w:szCs w:val="24"/>
        </w:rPr>
        <w:t xml:space="preserve">The U.S. Department of Transportation (DOT) is responsible for ensuring the movement of people and goods throughout the United States as well as to and from our Nation’s borders. </w:t>
      </w:r>
    </w:p>
    <w:p w14:paraId="2F9041B1" w14:textId="77777777" w:rsidR="00517C69" w:rsidRPr="00D453FB" w:rsidRDefault="00517C69" w:rsidP="00C02BE5">
      <w:pPr>
        <w:pStyle w:val="ListParagraph"/>
        <w:ind w:left="0"/>
        <w:rPr>
          <w:rFonts w:cs="Times New Roman"/>
        </w:rPr>
      </w:pPr>
    </w:p>
    <w:p w14:paraId="4C34F6E2" w14:textId="6928A377" w:rsidR="00517C69" w:rsidRDefault="0069041F" w:rsidP="00C02BE5">
      <w:pPr>
        <w:pStyle w:val="ListParagraph"/>
        <w:ind w:left="0"/>
        <w:rPr>
          <w:rFonts w:cs="Times New Roman"/>
        </w:rPr>
      </w:pPr>
      <w:r w:rsidRPr="00D453FB">
        <w:rPr>
          <w:rFonts w:cs="Times New Roman"/>
        </w:rPr>
        <w:t>Th</w:t>
      </w:r>
      <w:r w:rsidR="00040484" w:rsidRPr="00D453FB">
        <w:rPr>
          <w:rFonts w:cs="Times New Roman"/>
        </w:rPr>
        <w:t>is document</w:t>
      </w:r>
      <w:r w:rsidR="00AD3A55">
        <w:rPr>
          <w:rFonts w:cs="Times New Roman"/>
        </w:rPr>
        <w:t xml:space="preserve"> is based on the current DOT Strategic Plan which covers 2014-2018. It</w:t>
      </w:r>
      <w:r w:rsidR="00040484" w:rsidRPr="00D453FB">
        <w:rPr>
          <w:rFonts w:cs="Times New Roman"/>
        </w:rPr>
        <w:t xml:space="preserve"> reports DOT </w:t>
      </w:r>
      <w:r w:rsidR="001F6F3B">
        <w:rPr>
          <w:rFonts w:cs="Times New Roman"/>
        </w:rPr>
        <w:t xml:space="preserve">key </w:t>
      </w:r>
      <w:r w:rsidR="00040484" w:rsidRPr="00D453FB">
        <w:rPr>
          <w:rFonts w:cs="Times New Roman"/>
        </w:rPr>
        <w:t>performance</w:t>
      </w:r>
      <w:r w:rsidR="001F6F3B">
        <w:rPr>
          <w:rFonts w:cs="Times New Roman"/>
        </w:rPr>
        <w:t xml:space="preserve"> metrics</w:t>
      </w:r>
      <w:r w:rsidR="00040484" w:rsidRPr="00D453FB">
        <w:rPr>
          <w:rFonts w:cs="Times New Roman"/>
        </w:rPr>
        <w:t xml:space="preserve"> </w:t>
      </w:r>
      <w:r w:rsidR="00B03B7A">
        <w:rPr>
          <w:rFonts w:cs="Times New Roman"/>
        </w:rPr>
        <w:t>durin</w:t>
      </w:r>
      <w:r w:rsidR="00AD3A55">
        <w:rPr>
          <w:rFonts w:cs="Times New Roman"/>
        </w:rPr>
        <w:t>g FY 2016 and</w:t>
      </w:r>
      <w:r w:rsidRPr="00D453FB">
        <w:rPr>
          <w:rFonts w:cs="Times New Roman"/>
        </w:rPr>
        <w:t xml:space="preserve"> sets forth </w:t>
      </w:r>
      <w:r w:rsidR="001F6F3B">
        <w:rPr>
          <w:rFonts w:cs="Times New Roman"/>
        </w:rPr>
        <w:t>a basic performance plan for Fiscal Years 2017 and</w:t>
      </w:r>
      <w:r w:rsidR="00B03B7A">
        <w:rPr>
          <w:rFonts w:cs="Times New Roman"/>
        </w:rPr>
        <w:t xml:space="preserve"> 2018</w:t>
      </w:r>
      <w:r w:rsidR="001F6F3B">
        <w:rPr>
          <w:rFonts w:cs="Times New Roman"/>
        </w:rPr>
        <w:t xml:space="preserve">. </w:t>
      </w:r>
    </w:p>
    <w:p w14:paraId="7078E651" w14:textId="77777777" w:rsidR="001F6F3B" w:rsidRDefault="001F6F3B" w:rsidP="00C02BE5">
      <w:pPr>
        <w:pStyle w:val="ListParagraph"/>
        <w:ind w:left="0"/>
        <w:rPr>
          <w:rFonts w:cs="Times New Roman"/>
        </w:rPr>
      </w:pPr>
    </w:p>
    <w:p w14:paraId="5713F79A" w14:textId="340EB3F3" w:rsidR="001F6F3B" w:rsidRDefault="001F6F3B" w:rsidP="00C02BE5">
      <w:pPr>
        <w:pStyle w:val="ListParagraph"/>
        <w:ind w:left="0"/>
        <w:rPr>
          <w:rFonts w:cs="Times New Roman"/>
        </w:rPr>
      </w:pPr>
      <w:r>
        <w:rPr>
          <w:rFonts w:cs="Times New Roman"/>
        </w:rPr>
        <w:t>DOT is developing a new strategic plan, which will re-structure the performance reporting and planning framework beginning in FY 2019.</w:t>
      </w:r>
    </w:p>
    <w:p w14:paraId="02F92BD4" w14:textId="77777777" w:rsidR="006336D9" w:rsidRDefault="006336D9">
      <w:pPr>
        <w:rPr>
          <w:rFonts w:cs="Times New Roman"/>
          <w:szCs w:val="24"/>
        </w:rPr>
      </w:pPr>
      <w:r>
        <w:rPr>
          <w:rFonts w:cs="Times New Roman"/>
        </w:rPr>
        <w:br w:type="page"/>
      </w:r>
    </w:p>
    <w:p w14:paraId="3DC61C1D" w14:textId="59288813" w:rsidR="00B03B7A" w:rsidRDefault="00985688" w:rsidP="00C02BE5">
      <w:pPr>
        <w:pStyle w:val="ListParagraph"/>
        <w:ind w:left="0"/>
        <w:rPr>
          <w:rFonts w:cs="Times New Roman"/>
        </w:rPr>
      </w:pPr>
      <w:r>
        <w:rPr>
          <w:rFonts w:cs="Times New Roman"/>
        </w:rPr>
        <w:lastRenderedPageBreak/>
        <w:br/>
      </w:r>
    </w:p>
    <w:p w14:paraId="22A2B5B5" w14:textId="77777777" w:rsidR="00B03B7A" w:rsidRPr="00D453FB" w:rsidRDefault="00B03B7A" w:rsidP="00C02BE5">
      <w:pPr>
        <w:pStyle w:val="ListParagraph"/>
        <w:ind w:left="0"/>
        <w:rPr>
          <w:rFonts w:cs="Times New Roman"/>
        </w:rPr>
      </w:pPr>
    </w:p>
    <w:p w14:paraId="5C1F40C8" w14:textId="77777777" w:rsidR="007770EE" w:rsidRDefault="007770EE">
      <w:pPr>
        <w:sectPr w:rsidR="007770EE" w:rsidSect="006336D9">
          <w:headerReference w:type="default" r:id="rId17"/>
          <w:headerReference w:type="first" r:id="rId18"/>
          <w:pgSz w:w="12240" w:h="15840"/>
          <w:pgMar w:top="1440" w:right="1440" w:bottom="1440" w:left="1440" w:header="576" w:footer="720" w:gutter="0"/>
          <w:cols w:space="720"/>
          <w:docGrid w:linePitch="360"/>
        </w:sectPr>
      </w:pPr>
      <w:r>
        <w:br w:type="page"/>
      </w:r>
    </w:p>
    <w:p w14:paraId="6FE0B69C" w14:textId="7752398A" w:rsidR="0047739C" w:rsidRPr="0047739C" w:rsidRDefault="0047739C" w:rsidP="00F86AB7">
      <w:pPr>
        <w:pStyle w:val="Title"/>
      </w:pPr>
      <w:r w:rsidRPr="0047739C">
        <w:lastRenderedPageBreak/>
        <w:t>FY 2016 Performance Report</w:t>
      </w:r>
    </w:p>
    <w:p w14:paraId="191AA105" w14:textId="5701FD83" w:rsidR="0047739C" w:rsidRPr="0047739C" w:rsidRDefault="0047739C" w:rsidP="0047739C">
      <w:r>
        <w:t xml:space="preserve">The tables that follow summarize key goals based on the previous DOT Strategic Plan structure. </w:t>
      </w:r>
    </w:p>
    <w:p w14:paraId="639DA913" w14:textId="1152E1E7" w:rsidR="008B3D5E" w:rsidRDefault="008B3D5E" w:rsidP="008B3D5E">
      <w:pPr>
        <w:pStyle w:val="Heading2"/>
        <w:shd w:val="clear" w:color="auto" w:fill="4F81BD" w:themeFill="accent1"/>
        <w:rPr>
          <w:color w:val="FFFFFF" w:themeColor="background1"/>
        </w:rPr>
      </w:pPr>
      <w:bookmarkStart w:id="3" w:name="_Toc483414848"/>
      <w:r w:rsidRPr="008B3D5E">
        <w:rPr>
          <w:color w:val="FFFFFF" w:themeColor="background1"/>
        </w:rPr>
        <w:t>ROADWAY SAFETY</w:t>
      </w:r>
      <w:r w:rsidR="00487D63">
        <w:rPr>
          <w:color w:val="FFFFFF" w:themeColor="background1"/>
        </w:rPr>
        <w:t xml:space="preserve"> (FHWA, NHTSA, FMCSA)</w:t>
      </w:r>
      <w:bookmarkEnd w:id="3"/>
    </w:p>
    <w:tbl>
      <w:tblPr>
        <w:tblStyle w:val="MediumShading1-Accent1"/>
        <w:tblW w:w="10350" w:type="dxa"/>
        <w:tblInd w:w="115" w:type="dxa"/>
        <w:tblLayout w:type="fixed"/>
        <w:tblCellMar>
          <w:left w:w="115" w:type="dxa"/>
          <w:right w:w="115" w:type="dxa"/>
        </w:tblCellMar>
        <w:tblLook w:val="04A0" w:firstRow="1" w:lastRow="0" w:firstColumn="1" w:lastColumn="0" w:noHBand="0" w:noVBand="1"/>
        <w:tblCaption w:val="Roadway Safety"/>
        <w:tblDescription w:val="Summary Performance Report"/>
      </w:tblPr>
      <w:tblGrid>
        <w:gridCol w:w="2963"/>
        <w:gridCol w:w="900"/>
        <w:gridCol w:w="720"/>
        <w:gridCol w:w="990"/>
        <w:gridCol w:w="900"/>
        <w:gridCol w:w="888"/>
        <w:gridCol w:w="912"/>
        <w:gridCol w:w="990"/>
        <w:gridCol w:w="1087"/>
      </w:tblGrid>
      <w:tr w:rsidR="00996C0B" w14:paraId="22A91D97" w14:textId="77777777" w:rsidTr="007770EE">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000" w:firstRow="0" w:lastRow="0" w:firstColumn="1" w:lastColumn="0" w:oddVBand="0" w:evenVBand="0" w:oddHBand="0" w:evenHBand="0" w:firstRowFirstColumn="0" w:firstRowLastColumn="0" w:lastRowFirstColumn="0" w:lastRowLastColumn="0"/>
            <w:tcW w:w="2963" w:type="dxa"/>
            <w:tcBorders>
              <w:top w:val="none" w:sz="0" w:space="0" w:color="auto"/>
              <w:left w:val="none" w:sz="0" w:space="0" w:color="auto"/>
              <w:bottom w:val="nil"/>
              <w:right w:val="none" w:sz="0" w:space="0" w:color="auto"/>
            </w:tcBorders>
            <w:vAlign w:val="center"/>
          </w:tcPr>
          <w:p w14:paraId="326C1A71" w14:textId="77777777" w:rsidR="003E734B" w:rsidRPr="003D45D0" w:rsidRDefault="003E734B" w:rsidP="003E734B">
            <w:pPr>
              <w:jc w:val="center"/>
              <w:rPr>
                <w:sz w:val="20"/>
                <w:szCs w:val="20"/>
              </w:rPr>
            </w:pPr>
            <w:r w:rsidRPr="003D45D0">
              <w:rPr>
                <w:sz w:val="20"/>
                <w:szCs w:val="20"/>
              </w:rPr>
              <w:t>Performance Measure</w:t>
            </w:r>
          </w:p>
        </w:tc>
        <w:tc>
          <w:tcPr>
            <w:tcW w:w="900" w:type="dxa"/>
            <w:tcBorders>
              <w:top w:val="none" w:sz="0" w:space="0" w:color="auto"/>
              <w:left w:val="none" w:sz="0" w:space="0" w:color="auto"/>
              <w:bottom w:val="nil"/>
              <w:right w:val="none" w:sz="0" w:space="0" w:color="auto"/>
            </w:tcBorders>
            <w:vAlign w:val="center"/>
          </w:tcPr>
          <w:p w14:paraId="783F2109" w14:textId="77777777" w:rsidR="003E734B" w:rsidRPr="003D45D0" w:rsidRDefault="002642C6" w:rsidP="003E734B">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2011</w:t>
            </w:r>
          </w:p>
        </w:tc>
        <w:tc>
          <w:tcPr>
            <w:tcW w:w="720" w:type="dxa"/>
            <w:tcBorders>
              <w:top w:val="none" w:sz="0" w:space="0" w:color="auto"/>
              <w:left w:val="none" w:sz="0" w:space="0" w:color="auto"/>
              <w:bottom w:val="nil"/>
              <w:right w:val="none" w:sz="0" w:space="0" w:color="auto"/>
            </w:tcBorders>
            <w:vAlign w:val="center"/>
          </w:tcPr>
          <w:p w14:paraId="28E35B1E" w14:textId="77777777" w:rsidR="003E734B" w:rsidRPr="003D45D0" w:rsidRDefault="002642C6" w:rsidP="002642C6">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2012</w:t>
            </w:r>
          </w:p>
        </w:tc>
        <w:tc>
          <w:tcPr>
            <w:tcW w:w="990" w:type="dxa"/>
            <w:tcBorders>
              <w:top w:val="none" w:sz="0" w:space="0" w:color="auto"/>
              <w:left w:val="none" w:sz="0" w:space="0" w:color="auto"/>
              <w:bottom w:val="nil"/>
              <w:right w:val="none" w:sz="0" w:space="0" w:color="auto"/>
            </w:tcBorders>
            <w:vAlign w:val="center"/>
          </w:tcPr>
          <w:p w14:paraId="352B69B0" w14:textId="77777777" w:rsidR="003E734B" w:rsidRPr="003D45D0" w:rsidRDefault="002642C6" w:rsidP="003E734B">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2013</w:t>
            </w:r>
          </w:p>
        </w:tc>
        <w:tc>
          <w:tcPr>
            <w:tcW w:w="900" w:type="dxa"/>
            <w:tcBorders>
              <w:top w:val="none" w:sz="0" w:space="0" w:color="auto"/>
              <w:left w:val="none" w:sz="0" w:space="0" w:color="auto"/>
              <w:bottom w:val="nil"/>
              <w:right w:val="none" w:sz="0" w:space="0" w:color="auto"/>
            </w:tcBorders>
            <w:vAlign w:val="center"/>
          </w:tcPr>
          <w:p w14:paraId="5D824BF8" w14:textId="77777777" w:rsidR="003E734B" w:rsidRPr="003D45D0" w:rsidRDefault="002642C6" w:rsidP="003E734B">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2014</w:t>
            </w:r>
          </w:p>
        </w:tc>
        <w:tc>
          <w:tcPr>
            <w:tcW w:w="888" w:type="dxa"/>
            <w:tcBorders>
              <w:top w:val="none" w:sz="0" w:space="0" w:color="auto"/>
              <w:left w:val="none" w:sz="0" w:space="0" w:color="auto"/>
              <w:bottom w:val="nil"/>
              <w:right w:val="none" w:sz="0" w:space="0" w:color="auto"/>
            </w:tcBorders>
            <w:vAlign w:val="center"/>
          </w:tcPr>
          <w:p w14:paraId="6AA94A6C" w14:textId="77777777" w:rsidR="003E734B" w:rsidRPr="003D45D0" w:rsidRDefault="002642C6" w:rsidP="003E734B">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2015</w:t>
            </w:r>
          </w:p>
        </w:tc>
        <w:tc>
          <w:tcPr>
            <w:tcW w:w="912" w:type="dxa"/>
            <w:tcBorders>
              <w:top w:val="none" w:sz="0" w:space="0" w:color="auto"/>
              <w:left w:val="none" w:sz="0" w:space="0" w:color="auto"/>
              <w:bottom w:val="nil"/>
              <w:right w:val="none" w:sz="0" w:space="0" w:color="auto"/>
            </w:tcBorders>
            <w:vAlign w:val="center"/>
          </w:tcPr>
          <w:p w14:paraId="7B990F8F" w14:textId="77777777" w:rsidR="003E734B" w:rsidRPr="003D45D0" w:rsidRDefault="002642C6" w:rsidP="003E734B">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2016</w:t>
            </w:r>
            <w:r w:rsidR="003E734B" w:rsidRPr="003D45D0">
              <w:rPr>
                <w:sz w:val="20"/>
                <w:szCs w:val="20"/>
              </w:rPr>
              <w:t xml:space="preserve"> Target</w:t>
            </w:r>
          </w:p>
        </w:tc>
        <w:tc>
          <w:tcPr>
            <w:tcW w:w="990" w:type="dxa"/>
            <w:tcBorders>
              <w:top w:val="none" w:sz="0" w:space="0" w:color="auto"/>
              <w:left w:val="none" w:sz="0" w:space="0" w:color="auto"/>
              <w:bottom w:val="nil"/>
              <w:right w:val="none" w:sz="0" w:space="0" w:color="auto"/>
            </w:tcBorders>
            <w:vAlign w:val="center"/>
          </w:tcPr>
          <w:p w14:paraId="39F6EA98" w14:textId="77777777" w:rsidR="003E734B" w:rsidRPr="003D45D0" w:rsidRDefault="002642C6" w:rsidP="003E734B">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2016 </w:t>
            </w:r>
            <w:r w:rsidR="003E734B" w:rsidRPr="003D45D0">
              <w:rPr>
                <w:sz w:val="20"/>
                <w:szCs w:val="20"/>
              </w:rPr>
              <w:t>Actual</w:t>
            </w:r>
          </w:p>
        </w:tc>
        <w:tc>
          <w:tcPr>
            <w:tcW w:w="1087" w:type="dxa"/>
            <w:tcBorders>
              <w:top w:val="none" w:sz="0" w:space="0" w:color="auto"/>
              <w:left w:val="none" w:sz="0" w:space="0" w:color="auto"/>
              <w:bottom w:val="nil"/>
              <w:right w:val="none" w:sz="0" w:space="0" w:color="auto"/>
            </w:tcBorders>
            <w:vAlign w:val="center"/>
          </w:tcPr>
          <w:p w14:paraId="5092969E" w14:textId="1AE5FB2C" w:rsidR="003E734B" w:rsidRPr="003D45D0" w:rsidRDefault="00187330" w:rsidP="003E734B">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Results</w:t>
            </w:r>
          </w:p>
        </w:tc>
      </w:tr>
      <w:tr w:rsidR="00996C0B" w14:paraId="42D819A8" w14:textId="77777777" w:rsidTr="007770E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963" w:type="dxa"/>
            <w:tcBorders>
              <w:top w:val="nil"/>
              <w:left w:val="nil"/>
              <w:bottom w:val="nil"/>
              <w:right w:val="none" w:sz="0" w:space="0" w:color="auto"/>
            </w:tcBorders>
          </w:tcPr>
          <w:p w14:paraId="4CE0FCCD" w14:textId="77B6E00C" w:rsidR="008B3D5E" w:rsidRPr="00996C0B" w:rsidRDefault="008B3D5E" w:rsidP="0007415A">
            <w:pPr>
              <w:spacing w:before="120"/>
              <w:rPr>
                <w:b w:val="0"/>
                <w:sz w:val="20"/>
                <w:szCs w:val="20"/>
              </w:rPr>
            </w:pPr>
            <w:r w:rsidRPr="00996C0B">
              <w:rPr>
                <w:b w:val="0"/>
                <w:sz w:val="20"/>
                <w:szCs w:val="20"/>
              </w:rPr>
              <w:t>Highway fatality rate per 100 million vehicle-miles traveled (VMT).</w:t>
            </w:r>
            <w:r w:rsidR="00187330">
              <w:rPr>
                <w:b w:val="0"/>
                <w:sz w:val="20"/>
                <w:szCs w:val="20"/>
              </w:rPr>
              <w:br/>
              <w:t>(r) – Revised from previous years</w:t>
            </w:r>
          </w:p>
        </w:tc>
        <w:tc>
          <w:tcPr>
            <w:tcW w:w="900" w:type="dxa"/>
            <w:tcBorders>
              <w:top w:val="nil"/>
              <w:left w:val="none" w:sz="0" w:space="0" w:color="auto"/>
              <w:bottom w:val="nil"/>
              <w:right w:val="none" w:sz="0" w:space="0" w:color="auto"/>
            </w:tcBorders>
            <w:vAlign w:val="center"/>
          </w:tcPr>
          <w:p w14:paraId="6E4F213B" w14:textId="77777777" w:rsidR="008B3D5E" w:rsidRPr="00996C0B" w:rsidRDefault="002642C6" w:rsidP="0007415A">
            <w:pPr>
              <w:tabs>
                <w:tab w:val="left" w:pos="0"/>
              </w:tabs>
              <w:spacing w:before="120"/>
              <w:ind w:left="-2088" w:firstLine="2088"/>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1.10</w:t>
            </w:r>
          </w:p>
        </w:tc>
        <w:tc>
          <w:tcPr>
            <w:tcW w:w="720" w:type="dxa"/>
            <w:tcBorders>
              <w:top w:val="nil"/>
              <w:left w:val="none" w:sz="0" w:space="0" w:color="auto"/>
              <w:bottom w:val="nil"/>
              <w:right w:val="none" w:sz="0" w:space="0" w:color="auto"/>
            </w:tcBorders>
            <w:vAlign w:val="center"/>
          </w:tcPr>
          <w:p w14:paraId="6CBACFB0" w14:textId="77777777" w:rsidR="008B3D5E" w:rsidRPr="00996C0B" w:rsidRDefault="002642C6"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1.14</w:t>
            </w:r>
          </w:p>
        </w:tc>
        <w:tc>
          <w:tcPr>
            <w:tcW w:w="990" w:type="dxa"/>
            <w:tcBorders>
              <w:top w:val="nil"/>
              <w:left w:val="none" w:sz="0" w:space="0" w:color="auto"/>
              <w:bottom w:val="nil"/>
              <w:right w:val="none" w:sz="0" w:space="0" w:color="auto"/>
            </w:tcBorders>
            <w:vAlign w:val="center"/>
          </w:tcPr>
          <w:p w14:paraId="55BE8B7F" w14:textId="77777777" w:rsidR="008B3D5E" w:rsidRPr="00996C0B" w:rsidRDefault="002642C6"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1.10 (r)</w:t>
            </w:r>
          </w:p>
        </w:tc>
        <w:tc>
          <w:tcPr>
            <w:tcW w:w="900" w:type="dxa"/>
            <w:tcBorders>
              <w:top w:val="nil"/>
              <w:left w:val="none" w:sz="0" w:space="0" w:color="auto"/>
              <w:bottom w:val="nil"/>
              <w:right w:val="none" w:sz="0" w:space="0" w:color="auto"/>
            </w:tcBorders>
            <w:vAlign w:val="center"/>
          </w:tcPr>
          <w:p w14:paraId="09FA6B05" w14:textId="77777777" w:rsidR="008B3D5E" w:rsidRPr="00996C0B" w:rsidRDefault="00344A80"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1.08</w:t>
            </w:r>
            <w:r w:rsidR="008B3D5E" w:rsidRPr="00996C0B">
              <w:rPr>
                <w:sz w:val="20"/>
                <w:szCs w:val="20"/>
              </w:rPr>
              <w:t xml:space="preserve"> (r)</w:t>
            </w:r>
          </w:p>
        </w:tc>
        <w:tc>
          <w:tcPr>
            <w:tcW w:w="888" w:type="dxa"/>
            <w:tcBorders>
              <w:top w:val="nil"/>
              <w:left w:val="none" w:sz="0" w:space="0" w:color="auto"/>
              <w:bottom w:val="nil"/>
              <w:right w:val="none" w:sz="0" w:space="0" w:color="auto"/>
            </w:tcBorders>
            <w:vAlign w:val="center"/>
          </w:tcPr>
          <w:p w14:paraId="66E85729" w14:textId="77777777" w:rsidR="008B3D5E" w:rsidRPr="00996C0B" w:rsidRDefault="00344A80"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1.13</w:t>
            </w:r>
          </w:p>
        </w:tc>
        <w:tc>
          <w:tcPr>
            <w:tcW w:w="912" w:type="dxa"/>
            <w:tcBorders>
              <w:top w:val="nil"/>
              <w:left w:val="none" w:sz="0" w:space="0" w:color="auto"/>
              <w:bottom w:val="nil"/>
              <w:right w:val="none" w:sz="0" w:space="0" w:color="auto"/>
            </w:tcBorders>
            <w:vAlign w:val="center"/>
          </w:tcPr>
          <w:p w14:paraId="7A64B082" w14:textId="77777777" w:rsidR="008B3D5E" w:rsidRPr="00996C0B" w:rsidRDefault="008B3D5E"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996C0B">
              <w:rPr>
                <w:sz w:val="20"/>
                <w:szCs w:val="20"/>
              </w:rPr>
              <w:t>1.02</w:t>
            </w:r>
          </w:p>
        </w:tc>
        <w:tc>
          <w:tcPr>
            <w:tcW w:w="990" w:type="dxa"/>
            <w:tcBorders>
              <w:top w:val="nil"/>
              <w:left w:val="none" w:sz="0" w:space="0" w:color="auto"/>
              <w:bottom w:val="nil"/>
              <w:right w:val="none" w:sz="0" w:space="0" w:color="auto"/>
            </w:tcBorders>
            <w:vAlign w:val="center"/>
          </w:tcPr>
          <w:p w14:paraId="03D46BA8" w14:textId="77777777" w:rsidR="008B3D5E" w:rsidRPr="00996C0B" w:rsidRDefault="008B3D5E"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996C0B">
              <w:rPr>
                <w:sz w:val="20"/>
                <w:szCs w:val="20"/>
              </w:rPr>
              <w:t>N/A</w:t>
            </w:r>
          </w:p>
        </w:tc>
        <w:tc>
          <w:tcPr>
            <w:tcW w:w="1087" w:type="dxa"/>
            <w:tcBorders>
              <w:top w:val="nil"/>
              <w:left w:val="none" w:sz="0" w:space="0" w:color="auto"/>
              <w:bottom w:val="nil"/>
              <w:right w:val="nil"/>
            </w:tcBorders>
            <w:vAlign w:val="center"/>
          </w:tcPr>
          <w:p w14:paraId="0732CC66" w14:textId="77777777" w:rsidR="008B3D5E" w:rsidRPr="00996C0B" w:rsidRDefault="002642C6"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Not Met (2015</w:t>
            </w:r>
            <w:r w:rsidR="008B3D5E" w:rsidRPr="00996C0B">
              <w:rPr>
                <w:sz w:val="20"/>
                <w:szCs w:val="20"/>
              </w:rPr>
              <w:t>)</w:t>
            </w:r>
          </w:p>
        </w:tc>
      </w:tr>
      <w:tr w:rsidR="003D45D0" w14:paraId="7B566973" w14:textId="77777777" w:rsidTr="007770EE">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963" w:type="dxa"/>
            <w:tcBorders>
              <w:top w:val="nil"/>
              <w:left w:val="nil"/>
              <w:bottom w:val="nil"/>
              <w:right w:val="none" w:sz="0" w:space="0" w:color="auto"/>
            </w:tcBorders>
          </w:tcPr>
          <w:p w14:paraId="775D0923" w14:textId="77777777" w:rsidR="003E734B" w:rsidRPr="00996C0B" w:rsidRDefault="008B3D5E" w:rsidP="0007415A">
            <w:pPr>
              <w:spacing w:before="120"/>
              <w:rPr>
                <w:b w:val="0"/>
                <w:sz w:val="20"/>
                <w:szCs w:val="20"/>
              </w:rPr>
            </w:pPr>
            <w:r w:rsidRPr="00996C0B">
              <w:rPr>
                <w:b w:val="0"/>
                <w:sz w:val="20"/>
                <w:szCs w:val="20"/>
              </w:rPr>
              <w:t>Passenger vehicle occupant fatality rate per 100 million VMT.</w:t>
            </w:r>
          </w:p>
        </w:tc>
        <w:tc>
          <w:tcPr>
            <w:tcW w:w="900" w:type="dxa"/>
            <w:tcBorders>
              <w:top w:val="nil"/>
              <w:left w:val="none" w:sz="0" w:space="0" w:color="auto"/>
              <w:bottom w:val="nil"/>
              <w:right w:val="none" w:sz="0" w:space="0" w:color="auto"/>
            </w:tcBorders>
            <w:vAlign w:val="center"/>
          </w:tcPr>
          <w:p w14:paraId="47346C04" w14:textId="77777777" w:rsidR="003E734B" w:rsidRPr="00996C0B" w:rsidRDefault="008B3D5E"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sidRPr="00996C0B">
              <w:rPr>
                <w:sz w:val="20"/>
                <w:szCs w:val="20"/>
              </w:rPr>
              <w:t>0.8</w:t>
            </w:r>
            <w:r w:rsidR="005074F7">
              <w:rPr>
                <w:sz w:val="20"/>
                <w:szCs w:val="20"/>
              </w:rPr>
              <w:t>4</w:t>
            </w:r>
          </w:p>
        </w:tc>
        <w:tc>
          <w:tcPr>
            <w:tcW w:w="720" w:type="dxa"/>
            <w:tcBorders>
              <w:top w:val="nil"/>
              <w:left w:val="none" w:sz="0" w:space="0" w:color="auto"/>
              <w:bottom w:val="nil"/>
              <w:right w:val="none" w:sz="0" w:space="0" w:color="auto"/>
            </w:tcBorders>
            <w:vAlign w:val="center"/>
          </w:tcPr>
          <w:p w14:paraId="4120A94C" w14:textId="77777777" w:rsidR="003E734B" w:rsidRPr="00996C0B" w:rsidRDefault="005074F7"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0.81</w:t>
            </w:r>
          </w:p>
        </w:tc>
        <w:tc>
          <w:tcPr>
            <w:tcW w:w="990" w:type="dxa"/>
            <w:tcBorders>
              <w:top w:val="nil"/>
              <w:left w:val="none" w:sz="0" w:space="0" w:color="auto"/>
              <w:bottom w:val="nil"/>
              <w:right w:val="none" w:sz="0" w:space="0" w:color="auto"/>
            </w:tcBorders>
            <w:vAlign w:val="center"/>
          </w:tcPr>
          <w:p w14:paraId="1D0BAC44" w14:textId="77777777" w:rsidR="003E734B" w:rsidRPr="00996C0B" w:rsidRDefault="005074F7"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0.79</w:t>
            </w:r>
          </w:p>
        </w:tc>
        <w:tc>
          <w:tcPr>
            <w:tcW w:w="900" w:type="dxa"/>
            <w:tcBorders>
              <w:top w:val="nil"/>
              <w:left w:val="none" w:sz="0" w:space="0" w:color="auto"/>
              <w:bottom w:val="nil"/>
              <w:right w:val="none" w:sz="0" w:space="0" w:color="auto"/>
            </w:tcBorders>
            <w:vAlign w:val="center"/>
          </w:tcPr>
          <w:p w14:paraId="63DC7681" w14:textId="77777777" w:rsidR="003E734B" w:rsidRPr="00996C0B" w:rsidRDefault="005074F7"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0.78</w:t>
            </w:r>
          </w:p>
        </w:tc>
        <w:tc>
          <w:tcPr>
            <w:tcW w:w="888" w:type="dxa"/>
            <w:tcBorders>
              <w:top w:val="nil"/>
              <w:left w:val="none" w:sz="0" w:space="0" w:color="auto"/>
              <w:bottom w:val="nil"/>
              <w:right w:val="none" w:sz="0" w:space="0" w:color="auto"/>
            </w:tcBorders>
            <w:vAlign w:val="center"/>
          </w:tcPr>
          <w:p w14:paraId="1BBB2FD9" w14:textId="77777777" w:rsidR="003E734B" w:rsidRPr="00996C0B" w:rsidRDefault="005074F7"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0.81</w:t>
            </w:r>
          </w:p>
        </w:tc>
        <w:tc>
          <w:tcPr>
            <w:tcW w:w="912" w:type="dxa"/>
            <w:tcBorders>
              <w:top w:val="nil"/>
              <w:left w:val="none" w:sz="0" w:space="0" w:color="auto"/>
              <w:bottom w:val="nil"/>
              <w:right w:val="none" w:sz="0" w:space="0" w:color="auto"/>
            </w:tcBorders>
            <w:vAlign w:val="center"/>
          </w:tcPr>
          <w:p w14:paraId="77274A68" w14:textId="77777777" w:rsidR="003E734B" w:rsidRPr="00996C0B" w:rsidRDefault="001E584C"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sidRPr="00996C0B">
              <w:rPr>
                <w:sz w:val="20"/>
                <w:szCs w:val="20"/>
              </w:rPr>
              <w:t>0.82</w:t>
            </w:r>
          </w:p>
        </w:tc>
        <w:tc>
          <w:tcPr>
            <w:tcW w:w="990" w:type="dxa"/>
            <w:tcBorders>
              <w:top w:val="nil"/>
              <w:left w:val="none" w:sz="0" w:space="0" w:color="auto"/>
              <w:bottom w:val="nil"/>
              <w:right w:val="none" w:sz="0" w:space="0" w:color="auto"/>
            </w:tcBorders>
            <w:vAlign w:val="center"/>
          </w:tcPr>
          <w:p w14:paraId="395E68EC" w14:textId="77777777" w:rsidR="003E734B" w:rsidRPr="00996C0B" w:rsidRDefault="001E584C"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sidRPr="00996C0B">
              <w:rPr>
                <w:sz w:val="20"/>
                <w:szCs w:val="20"/>
              </w:rPr>
              <w:t>N/A</w:t>
            </w:r>
          </w:p>
        </w:tc>
        <w:tc>
          <w:tcPr>
            <w:tcW w:w="1087" w:type="dxa"/>
            <w:tcBorders>
              <w:top w:val="nil"/>
              <w:left w:val="none" w:sz="0" w:space="0" w:color="auto"/>
              <w:bottom w:val="nil"/>
              <w:right w:val="nil"/>
            </w:tcBorders>
            <w:vAlign w:val="center"/>
          </w:tcPr>
          <w:p w14:paraId="75EC0A5C" w14:textId="77777777" w:rsidR="003E734B" w:rsidRPr="00996C0B" w:rsidRDefault="005074F7"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Met (2015</w:t>
            </w:r>
            <w:r w:rsidR="001E584C" w:rsidRPr="00996C0B">
              <w:rPr>
                <w:sz w:val="20"/>
                <w:szCs w:val="20"/>
              </w:rPr>
              <w:t>)</w:t>
            </w:r>
          </w:p>
        </w:tc>
      </w:tr>
      <w:tr w:rsidR="00996C0B" w14:paraId="682E65D4" w14:textId="77777777" w:rsidTr="007770EE">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963" w:type="dxa"/>
            <w:tcBorders>
              <w:top w:val="nil"/>
              <w:left w:val="nil"/>
              <w:bottom w:val="nil"/>
              <w:right w:val="none" w:sz="0" w:space="0" w:color="auto"/>
            </w:tcBorders>
          </w:tcPr>
          <w:p w14:paraId="3D184EB3" w14:textId="77777777" w:rsidR="003E734B" w:rsidRPr="00996C0B" w:rsidRDefault="001E584C" w:rsidP="0007415A">
            <w:pPr>
              <w:spacing w:before="120"/>
              <w:rPr>
                <w:b w:val="0"/>
                <w:sz w:val="20"/>
                <w:szCs w:val="20"/>
              </w:rPr>
            </w:pPr>
            <w:r w:rsidRPr="00996C0B">
              <w:rPr>
                <w:b w:val="0"/>
                <w:sz w:val="20"/>
                <w:szCs w:val="20"/>
              </w:rPr>
              <w:t>Motorcyclist rider fatality rate per 100,000 motorcycle registrations</w:t>
            </w:r>
          </w:p>
        </w:tc>
        <w:tc>
          <w:tcPr>
            <w:tcW w:w="900" w:type="dxa"/>
            <w:tcBorders>
              <w:top w:val="nil"/>
              <w:left w:val="none" w:sz="0" w:space="0" w:color="auto"/>
              <w:bottom w:val="nil"/>
              <w:right w:val="none" w:sz="0" w:space="0" w:color="auto"/>
            </w:tcBorders>
            <w:vAlign w:val="center"/>
          </w:tcPr>
          <w:p w14:paraId="688FEE7C" w14:textId="77777777" w:rsidR="003E734B" w:rsidRPr="00996C0B" w:rsidRDefault="005074F7"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5074F7">
              <w:rPr>
                <w:sz w:val="20"/>
                <w:szCs w:val="20"/>
              </w:rPr>
              <w:t>54.82</w:t>
            </w:r>
          </w:p>
        </w:tc>
        <w:tc>
          <w:tcPr>
            <w:tcW w:w="720" w:type="dxa"/>
            <w:tcBorders>
              <w:top w:val="nil"/>
              <w:left w:val="none" w:sz="0" w:space="0" w:color="auto"/>
              <w:bottom w:val="nil"/>
              <w:right w:val="none" w:sz="0" w:space="0" w:color="auto"/>
            </w:tcBorders>
            <w:vAlign w:val="center"/>
          </w:tcPr>
          <w:p w14:paraId="74BCF37E" w14:textId="77777777" w:rsidR="003E734B" w:rsidRPr="00996C0B" w:rsidRDefault="005074F7"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5074F7">
              <w:rPr>
                <w:sz w:val="20"/>
                <w:szCs w:val="20"/>
              </w:rPr>
              <w:t>54.66</w:t>
            </w:r>
          </w:p>
        </w:tc>
        <w:tc>
          <w:tcPr>
            <w:tcW w:w="990" w:type="dxa"/>
            <w:tcBorders>
              <w:top w:val="nil"/>
              <w:left w:val="none" w:sz="0" w:space="0" w:color="auto"/>
              <w:bottom w:val="nil"/>
              <w:right w:val="none" w:sz="0" w:space="0" w:color="auto"/>
            </w:tcBorders>
            <w:vAlign w:val="center"/>
          </w:tcPr>
          <w:p w14:paraId="0FD630EC" w14:textId="77777777" w:rsidR="003E734B" w:rsidRPr="00996C0B" w:rsidRDefault="005074F7"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5074F7">
              <w:rPr>
                <w:sz w:val="20"/>
                <w:szCs w:val="20"/>
              </w:rPr>
              <w:t>55.54</w:t>
            </w:r>
          </w:p>
        </w:tc>
        <w:tc>
          <w:tcPr>
            <w:tcW w:w="900" w:type="dxa"/>
            <w:tcBorders>
              <w:top w:val="nil"/>
              <w:left w:val="none" w:sz="0" w:space="0" w:color="auto"/>
              <w:bottom w:val="nil"/>
              <w:right w:val="none" w:sz="0" w:space="0" w:color="auto"/>
            </w:tcBorders>
            <w:vAlign w:val="center"/>
          </w:tcPr>
          <w:p w14:paraId="271F82DC" w14:textId="77777777" w:rsidR="003E734B" w:rsidRPr="00996C0B" w:rsidRDefault="005074F7"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54.58</w:t>
            </w:r>
          </w:p>
        </w:tc>
        <w:tc>
          <w:tcPr>
            <w:tcW w:w="888" w:type="dxa"/>
            <w:tcBorders>
              <w:top w:val="nil"/>
              <w:left w:val="none" w:sz="0" w:space="0" w:color="auto"/>
              <w:bottom w:val="nil"/>
              <w:right w:val="none" w:sz="0" w:space="0" w:color="auto"/>
            </w:tcBorders>
            <w:vAlign w:val="center"/>
          </w:tcPr>
          <w:p w14:paraId="7EEC0371" w14:textId="77777777" w:rsidR="003E734B" w:rsidRPr="00996C0B" w:rsidRDefault="005074F7"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57.58</w:t>
            </w:r>
          </w:p>
        </w:tc>
        <w:tc>
          <w:tcPr>
            <w:tcW w:w="912" w:type="dxa"/>
            <w:tcBorders>
              <w:top w:val="nil"/>
              <w:left w:val="none" w:sz="0" w:space="0" w:color="auto"/>
              <w:bottom w:val="nil"/>
              <w:right w:val="none" w:sz="0" w:space="0" w:color="auto"/>
            </w:tcBorders>
            <w:vAlign w:val="center"/>
          </w:tcPr>
          <w:p w14:paraId="3F4CF7DE" w14:textId="77777777" w:rsidR="003E734B" w:rsidRPr="00996C0B" w:rsidRDefault="001E584C"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996C0B">
              <w:rPr>
                <w:sz w:val="20"/>
                <w:szCs w:val="20"/>
              </w:rPr>
              <w:t>62</w:t>
            </w:r>
          </w:p>
        </w:tc>
        <w:tc>
          <w:tcPr>
            <w:tcW w:w="990" w:type="dxa"/>
            <w:tcBorders>
              <w:top w:val="nil"/>
              <w:left w:val="none" w:sz="0" w:space="0" w:color="auto"/>
              <w:bottom w:val="nil"/>
              <w:right w:val="none" w:sz="0" w:space="0" w:color="auto"/>
            </w:tcBorders>
            <w:vAlign w:val="center"/>
          </w:tcPr>
          <w:p w14:paraId="06CDD632" w14:textId="77777777" w:rsidR="003E734B" w:rsidRPr="00996C0B" w:rsidRDefault="001E584C"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996C0B">
              <w:rPr>
                <w:sz w:val="20"/>
                <w:szCs w:val="20"/>
              </w:rPr>
              <w:t>N/A</w:t>
            </w:r>
          </w:p>
        </w:tc>
        <w:tc>
          <w:tcPr>
            <w:tcW w:w="1087" w:type="dxa"/>
            <w:tcBorders>
              <w:top w:val="nil"/>
              <w:left w:val="none" w:sz="0" w:space="0" w:color="auto"/>
              <w:bottom w:val="nil"/>
              <w:right w:val="nil"/>
            </w:tcBorders>
            <w:vAlign w:val="center"/>
          </w:tcPr>
          <w:p w14:paraId="219EE7C6" w14:textId="77777777" w:rsidR="003E734B" w:rsidRPr="00996C0B" w:rsidRDefault="005074F7"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Met (2015</w:t>
            </w:r>
            <w:r w:rsidR="001E584C" w:rsidRPr="00996C0B">
              <w:rPr>
                <w:sz w:val="20"/>
                <w:szCs w:val="20"/>
              </w:rPr>
              <w:t>)</w:t>
            </w:r>
          </w:p>
        </w:tc>
      </w:tr>
      <w:tr w:rsidR="003D45D0" w14:paraId="50167489" w14:textId="77777777" w:rsidTr="007770EE">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963" w:type="dxa"/>
            <w:tcBorders>
              <w:top w:val="nil"/>
              <w:left w:val="nil"/>
              <w:bottom w:val="nil"/>
              <w:right w:val="none" w:sz="0" w:space="0" w:color="auto"/>
            </w:tcBorders>
          </w:tcPr>
          <w:p w14:paraId="57055A1E" w14:textId="77777777" w:rsidR="003E734B" w:rsidRPr="00996C0B" w:rsidRDefault="001E584C" w:rsidP="0007415A">
            <w:pPr>
              <w:spacing w:before="120"/>
              <w:rPr>
                <w:b w:val="0"/>
                <w:sz w:val="20"/>
                <w:szCs w:val="20"/>
              </w:rPr>
            </w:pPr>
            <w:r w:rsidRPr="00996C0B">
              <w:rPr>
                <w:b w:val="0"/>
                <w:sz w:val="20"/>
                <w:szCs w:val="20"/>
              </w:rPr>
              <w:t>Non-occupant fatality rate per 100 million VMT.</w:t>
            </w:r>
          </w:p>
        </w:tc>
        <w:tc>
          <w:tcPr>
            <w:tcW w:w="900" w:type="dxa"/>
            <w:tcBorders>
              <w:top w:val="nil"/>
              <w:left w:val="none" w:sz="0" w:space="0" w:color="auto"/>
              <w:bottom w:val="nil"/>
              <w:right w:val="none" w:sz="0" w:space="0" w:color="auto"/>
            </w:tcBorders>
            <w:vAlign w:val="center"/>
          </w:tcPr>
          <w:p w14:paraId="035F2484" w14:textId="77777777" w:rsidR="003E734B" w:rsidRPr="00996C0B" w:rsidRDefault="001E584C"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sidRPr="00996C0B">
              <w:rPr>
                <w:sz w:val="20"/>
                <w:szCs w:val="20"/>
              </w:rPr>
              <w:t>0.17</w:t>
            </w:r>
          </w:p>
        </w:tc>
        <w:tc>
          <w:tcPr>
            <w:tcW w:w="720" w:type="dxa"/>
            <w:tcBorders>
              <w:top w:val="nil"/>
              <w:left w:val="none" w:sz="0" w:space="0" w:color="auto"/>
              <w:bottom w:val="nil"/>
              <w:right w:val="none" w:sz="0" w:space="0" w:color="auto"/>
            </w:tcBorders>
            <w:vAlign w:val="center"/>
          </w:tcPr>
          <w:p w14:paraId="740899D7" w14:textId="77777777" w:rsidR="003E734B" w:rsidRPr="00996C0B" w:rsidRDefault="001E584C"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sidRPr="00996C0B">
              <w:rPr>
                <w:sz w:val="20"/>
                <w:szCs w:val="20"/>
              </w:rPr>
              <w:t>0.17</w:t>
            </w:r>
          </w:p>
        </w:tc>
        <w:tc>
          <w:tcPr>
            <w:tcW w:w="990" w:type="dxa"/>
            <w:tcBorders>
              <w:top w:val="nil"/>
              <w:left w:val="none" w:sz="0" w:space="0" w:color="auto"/>
              <w:bottom w:val="nil"/>
              <w:right w:val="none" w:sz="0" w:space="0" w:color="auto"/>
            </w:tcBorders>
            <w:vAlign w:val="center"/>
          </w:tcPr>
          <w:p w14:paraId="0902CEA9" w14:textId="77777777" w:rsidR="003E734B" w:rsidRPr="00996C0B" w:rsidRDefault="001E584C"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sidRPr="00996C0B">
              <w:rPr>
                <w:sz w:val="20"/>
                <w:szCs w:val="20"/>
              </w:rPr>
              <w:t>0.19</w:t>
            </w:r>
          </w:p>
        </w:tc>
        <w:tc>
          <w:tcPr>
            <w:tcW w:w="900" w:type="dxa"/>
            <w:tcBorders>
              <w:top w:val="nil"/>
              <w:left w:val="none" w:sz="0" w:space="0" w:color="auto"/>
              <w:bottom w:val="nil"/>
              <w:right w:val="none" w:sz="0" w:space="0" w:color="auto"/>
            </w:tcBorders>
            <w:vAlign w:val="center"/>
          </w:tcPr>
          <w:p w14:paraId="4BBEDF1E" w14:textId="77777777" w:rsidR="003E734B" w:rsidRPr="00996C0B" w:rsidRDefault="001E584C"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sidRPr="00996C0B">
              <w:rPr>
                <w:sz w:val="20"/>
                <w:szCs w:val="20"/>
              </w:rPr>
              <w:t>0.19</w:t>
            </w:r>
          </w:p>
        </w:tc>
        <w:tc>
          <w:tcPr>
            <w:tcW w:w="888" w:type="dxa"/>
            <w:tcBorders>
              <w:top w:val="nil"/>
              <w:left w:val="none" w:sz="0" w:space="0" w:color="auto"/>
              <w:bottom w:val="nil"/>
              <w:right w:val="none" w:sz="0" w:space="0" w:color="auto"/>
            </w:tcBorders>
            <w:vAlign w:val="center"/>
          </w:tcPr>
          <w:p w14:paraId="748264CD" w14:textId="77777777" w:rsidR="003E734B" w:rsidRPr="00996C0B" w:rsidRDefault="005A1B23"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0.21</w:t>
            </w:r>
          </w:p>
        </w:tc>
        <w:tc>
          <w:tcPr>
            <w:tcW w:w="912" w:type="dxa"/>
            <w:tcBorders>
              <w:top w:val="nil"/>
              <w:left w:val="none" w:sz="0" w:space="0" w:color="auto"/>
              <w:bottom w:val="nil"/>
              <w:right w:val="none" w:sz="0" w:space="0" w:color="auto"/>
            </w:tcBorders>
            <w:vAlign w:val="center"/>
          </w:tcPr>
          <w:p w14:paraId="496203AF" w14:textId="77777777" w:rsidR="003E734B" w:rsidRPr="00996C0B" w:rsidRDefault="001E584C"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sidRPr="00996C0B">
              <w:rPr>
                <w:sz w:val="20"/>
                <w:szCs w:val="20"/>
              </w:rPr>
              <w:t>0.15</w:t>
            </w:r>
          </w:p>
        </w:tc>
        <w:tc>
          <w:tcPr>
            <w:tcW w:w="990" w:type="dxa"/>
            <w:tcBorders>
              <w:top w:val="nil"/>
              <w:left w:val="none" w:sz="0" w:space="0" w:color="auto"/>
              <w:bottom w:val="nil"/>
              <w:right w:val="none" w:sz="0" w:space="0" w:color="auto"/>
            </w:tcBorders>
            <w:vAlign w:val="center"/>
          </w:tcPr>
          <w:p w14:paraId="50342A1D" w14:textId="77777777" w:rsidR="003E734B" w:rsidRPr="00996C0B" w:rsidRDefault="001E584C"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sidRPr="00996C0B">
              <w:rPr>
                <w:sz w:val="20"/>
                <w:szCs w:val="20"/>
              </w:rPr>
              <w:t>N/A</w:t>
            </w:r>
          </w:p>
        </w:tc>
        <w:tc>
          <w:tcPr>
            <w:tcW w:w="1087" w:type="dxa"/>
            <w:tcBorders>
              <w:top w:val="nil"/>
              <w:left w:val="none" w:sz="0" w:space="0" w:color="auto"/>
              <w:bottom w:val="nil"/>
              <w:right w:val="nil"/>
            </w:tcBorders>
            <w:vAlign w:val="center"/>
          </w:tcPr>
          <w:p w14:paraId="7C4076B2" w14:textId="77777777" w:rsidR="003E734B" w:rsidRPr="00996C0B" w:rsidRDefault="005A1B23"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Not Met (2015</w:t>
            </w:r>
            <w:r w:rsidR="001E584C" w:rsidRPr="00996C0B">
              <w:rPr>
                <w:sz w:val="20"/>
                <w:szCs w:val="20"/>
              </w:rPr>
              <w:t>)</w:t>
            </w:r>
          </w:p>
        </w:tc>
      </w:tr>
      <w:tr w:rsidR="00996C0B" w14:paraId="0DB504F8" w14:textId="77777777" w:rsidTr="007770EE">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963" w:type="dxa"/>
            <w:tcBorders>
              <w:top w:val="nil"/>
              <w:left w:val="nil"/>
              <w:bottom w:val="nil"/>
              <w:right w:val="none" w:sz="0" w:space="0" w:color="auto"/>
            </w:tcBorders>
          </w:tcPr>
          <w:p w14:paraId="08819EF0" w14:textId="77777777" w:rsidR="003E734B" w:rsidRPr="00996C0B" w:rsidRDefault="001E584C" w:rsidP="0007415A">
            <w:pPr>
              <w:spacing w:before="120"/>
              <w:rPr>
                <w:b w:val="0"/>
                <w:sz w:val="20"/>
                <w:szCs w:val="20"/>
              </w:rPr>
            </w:pPr>
            <w:r w:rsidRPr="00996C0B">
              <w:rPr>
                <w:b w:val="0"/>
                <w:sz w:val="20"/>
                <w:szCs w:val="20"/>
              </w:rPr>
              <w:t>Large truck and bus fatality rate per 100 million VMT.</w:t>
            </w:r>
          </w:p>
        </w:tc>
        <w:tc>
          <w:tcPr>
            <w:tcW w:w="900" w:type="dxa"/>
            <w:tcBorders>
              <w:top w:val="nil"/>
              <w:left w:val="none" w:sz="0" w:space="0" w:color="auto"/>
              <w:bottom w:val="nil"/>
              <w:right w:val="none" w:sz="0" w:space="0" w:color="auto"/>
            </w:tcBorders>
            <w:vAlign w:val="center"/>
          </w:tcPr>
          <w:p w14:paraId="6FBB17A1" w14:textId="09318A9E" w:rsidR="003E734B" w:rsidRPr="00996C0B" w:rsidRDefault="00187330"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0.137</w:t>
            </w:r>
          </w:p>
        </w:tc>
        <w:tc>
          <w:tcPr>
            <w:tcW w:w="720" w:type="dxa"/>
            <w:tcBorders>
              <w:top w:val="nil"/>
              <w:left w:val="none" w:sz="0" w:space="0" w:color="auto"/>
              <w:bottom w:val="nil"/>
              <w:right w:val="none" w:sz="0" w:space="0" w:color="auto"/>
            </w:tcBorders>
            <w:vAlign w:val="center"/>
          </w:tcPr>
          <w:p w14:paraId="77866F66" w14:textId="77777777" w:rsidR="003E734B" w:rsidRPr="00996C0B" w:rsidRDefault="0072189D"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0.142</w:t>
            </w:r>
          </w:p>
        </w:tc>
        <w:tc>
          <w:tcPr>
            <w:tcW w:w="990" w:type="dxa"/>
            <w:tcBorders>
              <w:top w:val="nil"/>
              <w:left w:val="none" w:sz="0" w:space="0" w:color="auto"/>
              <w:bottom w:val="nil"/>
              <w:right w:val="none" w:sz="0" w:space="0" w:color="auto"/>
            </w:tcBorders>
            <w:vAlign w:val="center"/>
          </w:tcPr>
          <w:p w14:paraId="7B6C9C41" w14:textId="77777777" w:rsidR="003E734B" w:rsidRPr="00996C0B" w:rsidRDefault="001E584C"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996C0B">
              <w:rPr>
                <w:sz w:val="20"/>
                <w:szCs w:val="20"/>
              </w:rPr>
              <w:t>0.142</w:t>
            </w:r>
          </w:p>
        </w:tc>
        <w:tc>
          <w:tcPr>
            <w:tcW w:w="900" w:type="dxa"/>
            <w:tcBorders>
              <w:top w:val="nil"/>
              <w:left w:val="none" w:sz="0" w:space="0" w:color="auto"/>
              <w:bottom w:val="nil"/>
              <w:right w:val="none" w:sz="0" w:space="0" w:color="auto"/>
            </w:tcBorders>
            <w:vAlign w:val="center"/>
          </w:tcPr>
          <w:p w14:paraId="10B361BA" w14:textId="77777777" w:rsidR="003E734B" w:rsidRPr="00996C0B" w:rsidRDefault="005A1B23"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0.138</w:t>
            </w:r>
          </w:p>
        </w:tc>
        <w:tc>
          <w:tcPr>
            <w:tcW w:w="888" w:type="dxa"/>
            <w:tcBorders>
              <w:top w:val="nil"/>
              <w:left w:val="none" w:sz="0" w:space="0" w:color="auto"/>
              <w:bottom w:val="nil"/>
              <w:right w:val="none" w:sz="0" w:space="0" w:color="auto"/>
            </w:tcBorders>
            <w:vAlign w:val="center"/>
          </w:tcPr>
          <w:p w14:paraId="4CB8D6A4" w14:textId="77777777" w:rsidR="003E734B" w:rsidRPr="00996C0B" w:rsidRDefault="005A1B23"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0.140</w:t>
            </w:r>
          </w:p>
        </w:tc>
        <w:tc>
          <w:tcPr>
            <w:tcW w:w="912" w:type="dxa"/>
            <w:tcBorders>
              <w:top w:val="nil"/>
              <w:left w:val="none" w:sz="0" w:space="0" w:color="auto"/>
              <w:bottom w:val="nil"/>
              <w:right w:val="none" w:sz="0" w:space="0" w:color="auto"/>
            </w:tcBorders>
            <w:vAlign w:val="center"/>
          </w:tcPr>
          <w:p w14:paraId="6A0F22A6" w14:textId="77777777" w:rsidR="003E734B" w:rsidRPr="00996C0B" w:rsidRDefault="001E584C"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996C0B">
              <w:rPr>
                <w:sz w:val="20"/>
                <w:szCs w:val="20"/>
              </w:rPr>
              <w:t>0.114</w:t>
            </w:r>
          </w:p>
        </w:tc>
        <w:tc>
          <w:tcPr>
            <w:tcW w:w="990" w:type="dxa"/>
            <w:tcBorders>
              <w:top w:val="nil"/>
              <w:left w:val="none" w:sz="0" w:space="0" w:color="auto"/>
              <w:bottom w:val="nil"/>
              <w:right w:val="none" w:sz="0" w:space="0" w:color="auto"/>
            </w:tcBorders>
            <w:vAlign w:val="center"/>
          </w:tcPr>
          <w:p w14:paraId="61B128AC" w14:textId="77777777" w:rsidR="003E734B" w:rsidRPr="00996C0B" w:rsidRDefault="001E584C"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996C0B">
              <w:rPr>
                <w:sz w:val="20"/>
                <w:szCs w:val="20"/>
              </w:rPr>
              <w:t>N/A</w:t>
            </w:r>
          </w:p>
        </w:tc>
        <w:tc>
          <w:tcPr>
            <w:tcW w:w="1087" w:type="dxa"/>
            <w:tcBorders>
              <w:top w:val="nil"/>
              <w:left w:val="none" w:sz="0" w:space="0" w:color="auto"/>
              <w:bottom w:val="nil"/>
              <w:right w:val="nil"/>
            </w:tcBorders>
            <w:vAlign w:val="center"/>
          </w:tcPr>
          <w:p w14:paraId="64723DAD" w14:textId="77777777" w:rsidR="003E734B" w:rsidRPr="00996C0B" w:rsidRDefault="001E584C"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996C0B">
              <w:rPr>
                <w:sz w:val="20"/>
                <w:szCs w:val="20"/>
              </w:rPr>
              <w:t>Not Met</w:t>
            </w:r>
            <w:r w:rsidR="005A1B23">
              <w:rPr>
                <w:sz w:val="20"/>
                <w:szCs w:val="20"/>
              </w:rPr>
              <w:t xml:space="preserve"> (2015)</w:t>
            </w:r>
          </w:p>
        </w:tc>
      </w:tr>
    </w:tbl>
    <w:p w14:paraId="748C5FE1" w14:textId="33B1081A" w:rsidR="001E584C" w:rsidRPr="008B3D5E" w:rsidRDefault="001E584C" w:rsidP="001E584C">
      <w:pPr>
        <w:pStyle w:val="Heading2"/>
        <w:shd w:val="clear" w:color="auto" w:fill="4F81BD" w:themeFill="accent1"/>
        <w:rPr>
          <w:color w:val="FFFFFF" w:themeColor="background1"/>
        </w:rPr>
      </w:pPr>
      <w:bookmarkStart w:id="4" w:name="_Toc483414849"/>
      <w:r>
        <w:rPr>
          <w:color w:val="FFFFFF" w:themeColor="background1"/>
        </w:rPr>
        <w:t>AVIATION</w:t>
      </w:r>
      <w:r w:rsidRPr="008B3D5E">
        <w:rPr>
          <w:color w:val="FFFFFF" w:themeColor="background1"/>
        </w:rPr>
        <w:t xml:space="preserve"> SAFETY</w:t>
      </w:r>
      <w:r w:rsidR="00487D63">
        <w:rPr>
          <w:color w:val="FFFFFF" w:themeColor="background1"/>
        </w:rPr>
        <w:t xml:space="preserve"> (FAA)</w:t>
      </w:r>
      <w:bookmarkEnd w:id="4"/>
    </w:p>
    <w:tbl>
      <w:tblPr>
        <w:tblStyle w:val="MediumShading1-Accent1"/>
        <w:tblW w:w="10350" w:type="dxa"/>
        <w:tblInd w:w="108" w:type="dxa"/>
        <w:tblLayout w:type="fixed"/>
        <w:tblLook w:val="04A0" w:firstRow="1" w:lastRow="0" w:firstColumn="1" w:lastColumn="0" w:noHBand="0" w:noVBand="1"/>
        <w:tblCaption w:val="Aviation Safety"/>
        <w:tblDescription w:val="Performance Summary Report"/>
      </w:tblPr>
      <w:tblGrid>
        <w:gridCol w:w="3060"/>
        <w:gridCol w:w="810"/>
        <w:gridCol w:w="720"/>
        <w:gridCol w:w="990"/>
        <w:gridCol w:w="900"/>
        <w:gridCol w:w="888"/>
        <w:gridCol w:w="912"/>
        <w:gridCol w:w="900"/>
        <w:gridCol w:w="1170"/>
      </w:tblGrid>
      <w:tr w:rsidR="00996C0B" w14:paraId="7FFAA3B0" w14:textId="77777777" w:rsidTr="007770EE">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000" w:firstRow="0" w:lastRow="0" w:firstColumn="1" w:lastColumn="0" w:oddVBand="0" w:evenVBand="0" w:oddHBand="0" w:evenHBand="0" w:firstRowFirstColumn="0" w:firstRowLastColumn="0" w:lastRowFirstColumn="0" w:lastRowLastColumn="0"/>
            <w:tcW w:w="3060" w:type="dxa"/>
            <w:tcBorders>
              <w:top w:val="none" w:sz="0" w:space="0" w:color="auto"/>
              <w:left w:val="none" w:sz="0" w:space="0" w:color="auto"/>
              <w:bottom w:val="nil"/>
              <w:right w:val="none" w:sz="0" w:space="0" w:color="auto"/>
            </w:tcBorders>
            <w:vAlign w:val="center"/>
          </w:tcPr>
          <w:p w14:paraId="48472702" w14:textId="77777777" w:rsidR="00996C0B" w:rsidRPr="003D45D0" w:rsidRDefault="00996C0B" w:rsidP="00D256E8">
            <w:pPr>
              <w:jc w:val="center"/>
              <w:rPr>
                <w:sz w:val="20"/>
                <w:szCs w:val="20"/>
              </w:rPr>
            </w:pPr>
            <w:r w:rsidRPr="003D45D0">
              <w:rPr>
                <w:sz w:val="20"/>
                <w:szCs w:val="20"/>
              </w:rPr>
              <w:t>Performance Measure</w:t>
            </w:r>
          </w:p>
        </w:tc>
        <w:tc>
          <w:tcPr>
            <w:tcW w:w="810" w:type="dxa"/>
            <w:tcBorders>
              <w:top w:val="none" w:sz="0" w:space="0" w:color="auto"/>
              <w:left w:val="none" w:sz="0" w:space="0" w:color="auto"/>
              <w:bottom w:val="nil"/>
              <w:right w:val="none" w:sz="0" w:space="0" w:color="auto"/>
            </w:tcBorders>
            <w:vAlign w:val="center"/>
          </w:tcPr>
          <w:p w14:paraId="6CB063B2" w14:textId="09E68C28" w:rsidR="00996C0B" w:rsidRPr="003D45D0" w:rsidRDefault="00DA0B5E" w:rsidP="00D256E8">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2011</w:t>
            </w:r>
          </w:p>
        </w:tc>
        <w:tc>
          <w:tcPr>
            <w:tcW w:w="720" w:type="dxa"/>
            <w:tcBorders>
              <w:top w:val="none" w:sz="0" w:space="0" w:color="auto"/>
              <w:left w:val="none" w:sz="0" w:space="0" w:color="auto"/>
              <w:bottom w:val="nil"/>
              <w:right w:val="none" w:sz="0" w:space="0" w:color="auto"/>
            </w:tcBorders>
            <w:vAlign w:val="center"/>
          </w:tcPr>
          <w:p w14:paraId="45ED9A0D" w14:textId="52B40431" w:rsidR="00996C0B" w:rsidRPr="003D45D0" w:rsidRDefault="00DA0B5E" w:rsidP="00D256E8">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2012</w:t>
            </w:r>
          </w:p>
        </w:tc>
        <w:tc>
          <w:tcPr>
            <w:tcW w:w="990" w:type="dxa"/>
            <w:tcBorders>
              <w:top w:val="none" w:sz="0" w:space="0" w:color="auto"/>
              <w:left w:val="none" w:sz="0" w:space="0" w:color="auto"/>
              <w:bottom w:val="nil"/>
              <w:right w:val="none" w:sz="0" w:space="0" w:color="auto"/>
            </w:tcBorders>
            <w:vAlign w:val="center"/>
          </w:tcPr>
          <w:p w14:paraId="473BBE43" w14:textId="2DEEA57C" w:rsidR="00996C0B" w:rsidRPr="003D45D0" w:rsidRDefault="00DA0B5E" w:rsidP="00D256E8">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2013</w:t>
            </w:r>
          </w:p>
        </w:tc>
        <w:tc>
          <w:tcPr>
            <w:tcW w:w="900" w:type="dxa"/>
            <w:tcBorders>
              <w:top w:val="none" w:sz="0" w:space="0" w:color="auto"/>
              <w:left w:val="none" w:sz="0" w:space="0" w:color="auto"/>
              <w:bottom w:val="nil"/>
              <w:right w:val="none" w:sz="0" w:space="0" w:color="auto"/>
            </w:tcBorders>
            <w:vAlign w:val="center"/>
          </w:tcPr>
          <w:p w14:paraId="59FEEC80" w14:textId="750BB0A1" w:rsidR="00996C0B" w:rsidRPr="003D45D0" w:rsidRDefault="00DA0B5E" w:rsidP="00D256E8">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2014</w:t>
            </w:r>
          </w:p>
        </w:tc>
        <w:tc>
          <w:tcPr>
            <w:tcW w:w="888" w:type="dxa"/>
            <w:tcBorders>
              <w:top w:val="none" w:sz="0" w:space="0" w:color="auto"/>
              <w:left w:val="none" w:sz="0" w:space="0" w:color="auto"/>
              <w:bottom w:val="nil"/>
              <w:right w:val="none" w:sz="0" w:space="0" w:color="auto"/>
            </w:tcBorders>
            <w:vAlign w:val="center"/>
          </w:tcPr>
          <w:p w14:paraId="23C3D460" w14:textId="31E82C0A" w:rsidR="00996C0B" w:rsidRPr="003D45D0" w:rsidRDefault="00DA0B5E" w:rsidP="00DA0B5E">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2015</w:t>
            </w:r>
          </w:p>
        </w:tc>
        <w:tc>
          <w:tcPr>
            <w:tcW w:w="912" w:type="dxa"/>
            <w:tcBorders>
              <w:top w:val="none" w:sz="0" w:space="0" w:color="auto"/>
              <w:left w:val="none" w:sz="0" w:space="0" w:color="auto"/>
              <w:bottom w:val="nil"/>
              <w:right w:val="none" w:sz="0" w:space="0" w:color="auto"/>
            </w:tcBorders>
            <w:vAlign w:val="center"/>
          </w:tcPr>
          <w:p w14:paraId="2AB7339A" w14:textId="186C36A5" w:rsidR="00996C0B" w:rsidRPr="003D45D0" w:rsidRDefault="00DA0B5E" w:rsidP="00D256E8">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2016</w:t>
            </w:r>
            <w:r w:rsidR="00996C0B" w:rsidRPr="003D45D0">
              <w:rPr>
                <w:sz w:val="20"/>
                <w:szCs w:val="20"/>
              </w:rPr>
              <w:t xml:space="preserve"> Target</w:t>
            </w:r>
          </w:p>
        </w:tc>
        <w:tc>
          <w:tcPr>
            <w:tcW w:w="900" w:type="dxa"/>
            <w:tcBorders>
              <w:top w:val="none" w:sz="0" w:space="0" w:color="auto"/>
              <w:left w:val="none" w:sz="0" w:space="0" w:color="auto"/>
              <w:bottom w:val="nil"/>
              <w:right w:val="none" w:sz="0" w:space="0" w:color="auto"/>
            </w:tcBorders>
            <w:vAlign w:val="center"/>
          </w:tcPr>
          <w:p w14:paraId="514374C9" w14:textId="5FA5084E" w:rsidR="00996C0B" w:rsidRPr="003D45D0" w:rsidRDefault="00DA0B5E" w:rsidP="00D256E8">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2016</w:t>
            </w:r>
            <w:r w:rsidR="00996C0B" w:rsidRPr="003D45D0">
              <w:rPr>
                <w:sz w:val="20"/>
                <w:szCs w:val="20"/>
              </w:rPr>
              <w:t xml:space="preserve"> Actual</w:t>
            </w:r>
          </w:p>
        </w:tc>
        <w:tc>
          <w:tcPr>
            <w:tcW w:w="1170" w:type="dxa"/>
            <w:tcBorders>
              <w:top w:val="none" w:sz="0" w:space="0" w:color="auto"/>
              <w:left w:val="none" w:sz="0" w:space="0" w:color="auto"/>
              <w:bottom w:val="nil"/>
              <w:right w:val="none" w:sz="0" w:space="0" w:color="auto"/>
            </w:tcBorders>
            <w:vAlign w:val="center"/>
          </w:tcPr>
          <w:p w14:paraId="23E414B2" w14:textId="3DBE2BDA" w:rsidR="00996C0B" w:rsidRPr="003D45D0" w:rsidRDefault="00187330" w:rsidP="00D256E8">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Results</w:t>
            </w:r>
          </w:p>
        </w:tc>
      </w:tr>
      <w:tr w:rsidR="00DA0B5E" w14:paraId="03E08415" w14:textId="77777777" w:rsidTr="007770E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060" w:type="dxa"/>
            <w:tcBorders>
              <w:top w:val="nil"/>
              <w:left w:val="nil"/>
              <w:bottom w:val="nil"/>
              <w:right w:val="none" w:sz="0" w:space="0" w:color="auto"/>
            </w:tcBorders>
          </w:tcPr>
          <w:p w14:paraId="4D668B87" w14:textId="77777777" w:rsidR="00DA0B5E" w:rsidRPr="00996C0B" w:rsidRDefault="00DA0B5E" w:rsidP="0007415A">
            <w:pPr>
              <w:spacing w:before="120"/>
              <w:rPr>
                <w:b w:val="0"/>
                <w:sz w:val="20"/>
                <w:szCs w:val="20"/>
              </w:rPr>
            </w:pPr>
            <w:r>
              <w:rPr>
                <w:b w:val="0"/>
                <w:sz w:val="20"/>
                <w:szCs w:val="20"/>
              </w:rPr>
              <w:t>Number of U.S.-registered, commercial air carrier fatalities per 100 million persons on board.</w:t>
            </w:r>
          </w:p>
        </w:tc>
        <w:tc>
          <w:tcPr>
            <w:tcW w:w="810" w:type="dxa"/>
            <w:tcBorders>
              <w:top w:val="nil"/>
              <w:left w:val="none" w:sz="0" w:space="0" w:color="auto"/>
              <w:bottom w:val="nil"/>
              <w:right w:val="none" w:sz="0" w:space="0" w:color="auto"/>
            </w:tcBorders>
            <w:vAlign w:val="center"/>
          </w:tcPr>
          <w:p w14:paraId="720385CB" w14:textId="64552F84" w:rsidR="00DA0B5E" w:rsidRPr="00996C0B" w:rsidRDefault="00DA0B5E" w:rsidP="0007415A">
            <w:pPr>
              <w:tabs>
                <w:tab w:val="left" w:pos="0"/>
              </w:tabs>
              <w:spacing w:before="120"/>
              <w:ind w:left="-2088" w:firstLine="2088"/>
              <w:jc w:val="center"/>
              <w:cnfStyle w:val="000000100000" w:firstRow="0" w:lastRow="0" w:firstColumn="0" w:lastColumn="0" w:oddVBand="0" w:evenVBand="0" w:oddHBand="1" w:evenHBand="0" w:firstRowFirstColumn="0" w:firstRowLastColumn="0" w:lastRowFirstColumn="0" w:lastRowLastColumn="0"/>
              <w:rPr>
                <w:sz w:val="20"/>
                <w:szCs w:val="20"/>
              </w:rPr>
            </w:pPr>
            <w:r w:rsidRPr="00D55CD5">
              <w:rPr>
                <w:sz w:val="20"/>
                <w:szCs w:val="20"/>
              </w:rPr>
              <w:t>0.0</w:t>
            </w:r>
          </w:p>
        </w:tc>
        <w:tc>
          <w:tcPr>
            <w:tcW w:w="720" w:type="dxa"/>
            <w:tcBorders>
              <w:top w:val="nil"/>
              <w:left w:val="none" w:sz="0" w:space="0" w:color="auto"/>
              <w:bottom w:val="nil"/>
              <w:right w:val="none" w:sz="0" w:space="0" w:color="auto"/>
            </w:tcBorders>
            <w:vAlign w:val="center"/>
          </w:tcPr>
          <w:p w14:paraId="0C30AF17" w14:textId="0BDC4643" w:rsidR="00DA0B5E" w:rsidRPr="00996C0B" w:rsidRDefault="00DA0B5E"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D55CD5">
              <w:rPr>
                <w:sz w:val="20"/>
                <w:szCs w:val="20"/>
              </w:rPr>
              <w:t>0.0</w:t>
            </w:r>
          </w:p>
        </w:tc>
        <w:tc>
          <w:tcPr>
            <w:tcW w:w="990" w:type="dxa"/>
            <w:tcBorders>
              <w:top w:val="nil"/>
              <w:left w:val="none" w:sz="0" w:space="0" w:color="auto"/>
              <w:bottom w:val="nil"/>
              <w:right w:val="none" w:sz="0" w:space="0" w:color="auto"/>
            </w:tcBorders>
            <w:vAlign w:val="center"/>
          </w:tcPr>
          <w:p w14:paraId="42B9C006" w14:textId="7E962624" w:rsidR="00DA0B5E" w:rsidRPr="00996C0B" w:rsidRDefault="00DA0B5E"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D55CD5">
              <w:rPr>
                <w:sz w:val="20"/>
                <w:szCs w:val="20"/>
              </w:rPr>
              <w:t>0.1</w:t>
            </w:r>
          </w:p>
        </w:tc>
        <w:tc>
          <w:tcPr>
            <w:tcW w:w="900" w:type="dxa"/>
            <w:tcBorders>
              <w:top w:val="nil"/>
              <w:left w:val="none" w:sz="0" w:space="0" w:color="auto"/>
              <w:bottom w:val="nil"/>
              <w:right w:val="none" w:sz="0" w:space="0" w:color="auto"/>
            </w:tcBorders>
            <w:vAlign w:val="center"/>
          </w:tcPr>
          <w:p w14:paraId="6B0888A2" w14:textId="45C14B5E" w:rsidR="00DA0B5E" w:rsidRPr="00996C0B" w:rsidRDefault="00DA0B5E"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D55CD5">
              <w:rPr>
                <w:sz w:val="20"/>
                <w:szCs w:val="20"/>
              </w:rPr>
              <w:t>0.6</w:t>
            </w:r>
          </w:p>
        </w:tc>
        <w:tc>
          <w:tcPr>
            <w:tcW w:w="888" w:type="dxa"/>
            <w:tcBorders>
              <w:top w:val="nil"/>
              <w:left w:val="none" w:sz="0" w:space="0" w:color="auto"/>
              <w:bottom w:val="nil"/>
              <w:right w:val="none" w:sz="0" w:space="0" w:color="auto"/>
            </w:tcBorders>
            <w:vAlign w:val="center"/>
          </w:tcPr>
          <w:p w14:paraId="416EA29E" w14:textId="5F67EACD" w:rsidR="00DA0B5E" w:rsidRPr="00996C0B" w:rsidRDefault="00DA0B5E"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D55CD5">
              <w:rPr>
                <w:sz w:val="20"/>
                <w:szCs w:val="20"/>
              </w:rPr>
              <w:t>0.1</w:t>
            </w:r>
          </w:p>
        </w:tc>
        <w:tc>
          <w:tcPr>
            <w:tcW w:w="912" w:type="dxa"/>
            <w:tcBorders>
              <w:top w:val="nil"/>
              <w:left w:val="none" w:sz="0" w:space="0" w:color="auto"/>
              <w:bottom w:val="nil"/>
              <w:right w:val="none" w:sz="0" w:space="0" w:color="auto"/>
            </w:tcBorders>
            <w:vAlign w:val="center"/>
          </w:tcPr>
          <w:p w14:paraId="4C61534D" w14:textId="2792B701" w:rsidR="00DA0B5E" w:rsidRPr="00DA0B5E" w:rsidRDefault="00DA0B5E"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DA0B5E">
              <w:rPr>
                <w:sz w:val="20"/>
                <w:szCs w:val="20"/>
              </w:rPr>
              <w:t>6.7</w:t>
            </w:r>
          </w:p>
        </w:tc>
        <w:tc>
          <w:tcPr>
            <w:tcW w:w="900" w:type="dxa"/>
            <w:tcBorders>
              <w:top w:val="nil"/>
              <w:left w:val="none" w:sz="0" w:space="0" w:color="auto"/>
              <w:bottom w:val="nil"/>
              <w:right w:val="none" w:sz="0" w:space="0" w:color="auto"/>
            </w:tcBorders>
            <w:vAlign w:val="center"/>
          </w:tcPr>
          <w:p w14:paraId="4CC58AE3" w14:textId="02C08E50" w:rsidR="00DA0B5E" w:rsidRPr="00187330" w:rsidRDefault="00DA0B5E"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187330">
              <w:rPr>
                <w:sz w:val="20"/>
                <w:szCs w:val="20"/>
              </w:rPr>
              <w:t>0.6</w:t>
            </w:r>
          </w:p>
        </w:tc>
        <w:tc>
          <w:tcPr>
            <w:tcW w:w="1170" w:type="dxa"/>
            <w:tcBorders>
              <w:top w:val="nil"/>
              <w:left w:val="none" w:sz="0" w:space="0" w:color="auto"/>
              <w:bottom w:val="nil"/>
              <w:right w:val="nil"/>
            </w:tcBorders>
            <w:vAlign w:val="center"/>
          </w:tcPr>
          <w:p w14:paraId="516DFF1B" w14:textId="429C6328" w:rsidR="00DA0B5E" w:rsidRPr="00DA0B5E" w:rsidRDefault="00DA0B5E"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DA0B5E">
              <w:rPr>
                <w:sz w:val="20"/>
                <w:szCs w:val="20"/>
              </w:rPr>
              <w:t>Met</w:t>
            </w:r>
          </w:p>
        </w:tc>
      </w:tr>
      <w:tr w:rsidR="00DA0B5E" w14:paraId="09D7A341" w14:textId="77777777" w:rsidTr="007770EE">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060" w:type="dxa"/>
            <w:tcBorders>
              <w:top w:val="nil"/>
              <w:left w:val="nil"/>
              <w:bottom w:val="nil"/>
              <w:right w:val="none" w:sz="0" w:space="0" w:color="auto"/>
            </w:tcBorders>
          </w:tcPr>
          <w:p w14:paraId="5737C1DD" w14:textId="77777777" w:rsidR="00DA0B5E" w:rsidRPr="00996C0B" w:rsidRDefault="00DA0B5E" w:rsidP="0007415A">
            <w:pPr>
              <w:spacing w:before="120"/>
              <w:rPr>
                <w:b w:val="0"/>
                <w:sz w:val="20"/>
                <w:szCs w:val="20"/>
              </w:rPr>
            </w:pPr>
            <w:r w:rsidRPr="00996C0B">
              <w:rPr>
                <w:b w:val="0"/>
                <w:sz w:val="20"/>
                <w:szCs w:val="20"/>
              </w:rPr>
              <w:t>Number of fatal general aviation accidents per 100,000 flight hours.</w:t>
            </w:r>
          </w:p>
        </w:tc>
        <w:tc>
          <w:tcPr>
            <w:tcW w:w="810" w:type="dxa"/>
            <w:tcBorders>
              <w:top w:val="nil"/>
              <w:left w:val="none" w:sz="0" w:space="0" w:color="auto"/>
              <w:bottom w:val="nil"/>
              <w:right w:val="none" w:sz="0" w:space="0" w:color="auto"/>
            </w:tcBorders>
            <w:vAlign w:val="center"/>
          </w:tcPr>
          <w:p w14:paraId="111529E2" w14:textId="596EBD81" w:rsidR="00DA0B5E" w:rsidRPr="00996C0B" w:rsidRDefault="00DA0B5E"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sidRPr="00D55CD5">
              <w:rPr>
                <w:sz w:val="20"/>
                <w:szCs w:val="20"/>
              </w:rPr>
              <w:t>1.12</w:t>
            </w:r>
          </w:p>
        </w:tc>
        <w:tc>
          <w:tcPr>
            <w:tcW w:w="720" w:type="dxa"/>
            <w:tcBorders>
              <w:top w:val="nil"/>
              <w:left w:val="none" w:sz="0" w:space="0" w:color="auto"/>
              <w:bottom w:val="nil"/>
              <w:right w:val="none" w:sz="0" w:space="0" w:color="auto"/>
            </w:tcBorders>
            <w:vAlign w:val="center"/>
          </w:tcPr>
          <w:p w14:paraId="73F47A79" w14:textId="3C1BE40D" w:rsidR="00DA0B5E" w:rsidRPr="00996C0B" w:rsidRDefault="00DA0B5E"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sidRPr="00D55CD5">
              <w:rPr>
                <w:sz w:val="20"/>
                <w:szCs w:val="20"/>
              </w:rPr>
              <w:t>1.09</w:t>
            </w:r>
          </w:p>
        </w:tc>
        <w:tc>
          <w:tcPr>
            <w:tcW w:w="990" w:type="dxa"/>
            <w:tcBorders>
              <w:top w:val="nil"/>
              <w:left w:val="none" w:sz="0" w:space="0" w:color="auto"/>
              <w:bottom w:val="nil"/>
              <w:right w:val="none" w:sz="0" w:space="0" w:color="auto"/>
            </w:tcBorders>
            <w:vAlign w:val="center"/>
          </w:tcPr>
          <w:p w14:paraId="050B56B7" w14:textId="05807772" w:rsidR="00DA0B5E" w:rsidRPr="00996C0B" w:rsidRDefault="00DA0B5E"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sidRPr="00D55CD5">
              <w:rPr>
                <w:sz w:val="20"/>
                <w:szCs w:val="20"/>
              </w:rPr>
              <w:t>1.11</w:t>
            </w:r>
          </w:p>
        </w:tc>
        <w:tc>
          <w:tcPr>
            <w:tcW w:w="900" w:type="dxa"/>
            <w:tcBorders>
              <w:top w:val="nil"/>
              <w:left w:val="none" w:sz="0" w:space="0" w:color="auto"/>
              <w:bottom w:val="nil"/>
              <w:right w:val="none" w:sz="0" w:space="0" w:color="auto"/>
            </w:tcBorders>
            <w:vAlign w:val="center"/>
          </w:tcPr>
          <w:p w14:paraId="1F0A6D8B" w14:textId="563A930A" w:rsidR="00DA0B5E" w:rsidRPr="00996C0B" w:rsidRDefault="00DA0B5E"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sidRPr="00D55CD5">
              <w:rPr>
                <w:sz w:val="20"/>
                <w:szCs w:val="20"/>
              </w:rPr>
              <w:t>1.09</w:t>
            </w:r>
          </w:p>
        </w:tc>
        <w:tc>
          <w:tcPr>
            <w:tcW w:w="888" w:type="dxa"/>
            <w:tcBorders>
              <w:top w:val="nil"/>
              <w:left w:val="none" w:sz="0" w:space="0" w:color="auto"/>
              <w:bottom w:val="nil"/>
              <w:right w:val="none" w:sz="0" w:space="0" w:color="auto"/>
            </w:tcBorders>
            <w:vAlign w:val="center"/>
          </w:tcPr>
          <w:p w14:paraId="6E1936C6" w14:textId="303511F3" w:rsidR="00DA0B5E" w:rsidRPr="00996C0B" w:rsidRDefault="00DA0B5E"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sidRPr="00D55CD5">
              <w:rPr>
                <w:sz w:val="20"/>
                <w:szCs w:val="20"/>
              </w:rPr>
              <w:t>0.99</w:t>
            </w:r>
          </w:p>
        </w:tc>
        <w:tc>
          <w:tcPr>
            <w:tcW w:w="912" w:type="dxa"/>
            <w:tcBorders>
              <w:top w:val="nil"/>
              <w:left w:val="none" w:sz="0" w:space="0" w:color="auto"/>
              <w:bottom w:val="nil"/>
              <w:right w:val="none" w:sz="0" w:space="0" w:color="auto"/>
            </w:tcBorders>
            <w:vAlign w:val="center"/>
          </w:tcPr>
          <w:p w14:paraId="58573C7E" w14:textId="7FED9899" w:rsidR="00DA0B5E" w:rsidRPr="00DA0B5E" w:rsidRDefault="00DA0B5E"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sidRPr="00DA0B5E">
              <w:rPr>
                <w:sz w:val="20"/>
                <w:szCs w:val="20"/>
              </w:rPr>
              <w:t>1.02</w:t>
            </w:r>
          </w:p>
        </w:tc>
        <w:tc>
          <w:tcPr>
            <w:tcW w:w="900" w:type="dxa"/>
            <w:tcBorders>
              <w:top w:val="nil"/>
              <w:left w:val="none" w:sz="0" w:space="0" w:color="auto"/>
              <w:bottom w:val="nil"/>
              <w:right w:val="none" w:sz="0" w:space="0" w:color="auto"/>
            </w:tcBorders>
            <w:vAlign w:val="center"/>
          </w:tcPr>
          <w:p w14:paraId="25B8A3A3" w14:textId="2DD7EC5C" w:rsidR="00DA0B5E" w:rsidRPr="00187330" w:rsidRDefault="00DA0B5E"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sidRPr="00187330">
              <w:rPr>
                <w:sz w:val="20"/>
                <w:szCs w:val="20"/>
              </w:rPr>
              <w:t>0.91</w:t>
            </w:r>
          </w:p>
        </w:tc>
        <w:tc>
          <w:tcPr>
            <w:tcW w:w="1170" w:type="dxa"/>
            <w:tcBorders>
              <w:top w:val="nil"/>
              <w:left w:val="none" w:sz="0" w:space="0" w:color="auto"/>
              <w:bottom w:val="nil"/>
              <w:right w:val="nil"/>
            </w:tcBorders>
            <w:vAlign w:val="center"/>
          </w:tcPr>
          <w:p w14:paraId="376A7357" w14:textId="2076D06D" w:rsidR="00DA0B5E" w:rsidRPr="00DA0B5E" w:rsidRDefault="00DA0B5E"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sidRPr="00DA0B5E">
              <w:rPr>
                <w:sz w:val="20"/>
                <w:szCs w:val="20"/>
              </w:rPr>
              <w:t xml:space="preserve">Met </w:t>
            </w:r>
          </w:p>
        </w:tc>
      </w:tr>
      <w:tr w:rsidR="00DA0B5E" w14:paraId="348ED98B" w14:textId="77777777" w:rsidTr="007770EE">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060" w:type="dxa"/>
            <w:tcBorders>
              <w:top w:val="nil"/>
              <w:left w:val="nil"/>
              <w:bottom w:val="nil"/>
              <w:right w:val="none" w:sz="0" w:space="0" w:color="auto"/>
            </w:tcBorders>
          </w:tcPr>
          <w:p w14:paraId="309EB581" w14:textId="77777777" w:rsidR="00DA0B5E" w:rsidRPr="00996C0B" w:rsidRDefault="00DA0B5E" w:rsidP="0007415A">
            <w:pPr>
              <w:spacing w:before="120"/>
              <w:rPr>
                <w:b w:val="0"/>
                <w:sz w:val="20"/>
                <w:szCs w:val="20"/>
              </w:rPr>
            </w:pPr>
            <w:r w:rsidRPr="00996C0B">
              <w:rPr>
                <w:b w:val="0"/>
                <w:sz w:val="20"/>
                <w:szCs w:val="20"/>
              </w:rPr>
              <w:t>Category A&amp;B runway incursions per million operations.</w:t>
            </w:r>
          </w:p>
        </w:tc>
        <w:tc>
          <w:tcPr>
            <w:tcW w:w="810" w:type="dxa"/>
            <w:tcBorders>
              <w:top w:val="nil"/>
              <w:left w:val="none" w:sz="0" w:space="0" w:color="auto"/>
              <w:bottom w:val="nil"/>
              <w:right w:val="none" w:sz="0" w:space="0" w:color="auto"/>
            </w:tcBorders>
            <w:vAlign w:val="center"/>
          </w:tcPr>
          <w:p w14:paraId="53A5D4E1" w14:textId="2DF2A437" w:rsidR="00DA0B5E" w:rsidRPr="00996C0B" w:rsidRDefault="00DA0B5E"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D55CD5">
              <w:rPr>
                <w:sz w:val="20"/>
                <w:szCs w:val="20"/>
              </w:rPr>
              <w:t>0.138</w:t>
            </w:r>
          </w:p>
        </w:tc>
        <w:tc>
          <w:tcPr>
            <w:tcW w:w="720" w:type="dxa"/>
            <w:tcBorders>
              <w:top w:val="nil"/>
              <w:left w:val="none" w:sz="0" w:space="0" w:color="auto"/>
              <w:bottom w:val="nil"/>
              <w:right w:val="none" w:sz="0" w:space="0" w:color="auto"/>
            </w:tcBorders>
            <w:vAlign w:val="center"/>
          </w:tcPr>
          <w:p w14:paraId="1BE48C5D" w14:textId="2401DE0B" w:rsidR="00DA0B5E" w:rsidRPr="00996C0B" w:rsidRDefault="00DA0B5E"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D55CD5">
              <w:rPr>
                <w:sz w:val="20"/>
                <w:szCs w:val="20"/>
              </w:rPr>
              <w:t>0.356</w:t>
            </w:r>
          </w:p>
        </w:tc>
        <w:tc>
          <w:tcPr>
            <w:tcW w:w="990" w:type="dxa"/>
            <w:tcBorders>
              <w:top w:val="nil"/>
              <w:left w:val="none" w:sz="0" w:space="0" w:color="auto"/>
              <w:bottom w:val="nil"/>
              <w:right w:val="none" w:sz="0" w:space="0" w:color="auto"/>
            </w:tcBorders>
            <w:vAlign w:val="center"/>
          </w:tcPr>
          <w:p w14:paraId="29E99059" w14:textId="5BC595A6" w:rsidR="00DA0B5E" w:rsidRPr="00996C0B" w:rsidRDefault="00DA0B5E"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D55CD5">
              <w:rPr>
                <w:sz w:val="20"/>
                <w:szCs w:val="20"/>
              </w:rPr>
              <w:t>0.220</w:t>
            </w:r>
          </w:p>
        </w:tc>
        <w:tc>
          <w:tcPr>
            <w:tcW w:w="900" w:type="dxa"/>
            <w:tcBorders>
              <w:top w:val="nil"/>
              <w:left w:val="none" w:sz="0" w:space="0" w:color="auto"/>
              <w:bottom w:val="nil"/>
              <w:right w:val="none" w:sz="0" w:space="0" w:color="auto"/>
            </w:tcBorders>
            <w:vAlign w:val="center"/>
          </w:tcPr>
          <w:p w14:paraId="00536188" w14:textId="2CF5848B" w:rsidR="00DA0B5E" w:rsidRPr="00996C0B" w:rsidRDefault="00DA0B5E"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D55CD5">
              <w:rPr>
                <w:sz w:val="20"/>
                <w:szCs w:val="20"/>
              </w:rPr>
              <w:t>0.282</w:t>
            </w:r>
          </w:p>
        </w:tc>
        <w:tc>
          <w:tcPr>
            <w:tcW w:w="888" w:type="dxa"/>
            <w:tcBorders>
              <w:top w:val="nil"/>
              <w:left w:val="none" w:sz="0" w:space="0" w:color="auto"/>
              <w:bottom w:val="nil"/>
              <w:right w:val="none" w:sz="0" w:space="0" w:color="auto"/>
            </w:tcBorders>
            <w:vAlign w:val="center"/>
          </w:tcPr>
          <w:p w14:paraId="19D13E8E" w14:textId="7C4F495E" w:rsidR="00DA0B5E" w:rsidRPr="00996C0B" w:rsidRDefault="00DA0B5E"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D55CD5">
              <w:rPr>
                <w:sz w:val="20"/>
                <w:szCs w:val="20"/>
              </w:rPr>
              <w:t>0.302</w:t>
            </w:r>
          </w:p>
        </w:tc>
        <w:tc>
          <w:tcPr>
            <w:tcW w:w="912" w:type="dxa"/>
            <w:tcBorders>
              <w:top w:val="nil"/>
              <w:left w:val="none" w:sz="0" w:space="0" w:color="auto"/>
              <w:bottom w:val="nil"/>
              <w:right w:val="none" w:sz="0" w:space="0" w:color="auto"/>
            </w:tcBorders>
            <w:vAlign w:val="center"/>
          </w:tcPr>
          <w:p w14:paraId="0B597E25" w14:textId="10B9FBB5" w:rsidR="00DA0B5E" w:rsidRPr="00DA0B5E" w:rsidRDefault="00DA0B5E"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DA0B5E">
              <w:rPr>
                <w:sz w:val="20"/>
                <w:szCs w:val="20"/>
              </w:rPr>
              <w:t>0.395</w:t>
            </w:r>
          </w:p>
        </w:tc>
        <w:tc>
          <w:tcPr>
            <w:tcW w:w="900" w:type="dxa"/>
            <w:tcBorders>
              <w:top w:val="nil"/>
              <w:left w:val="none" w:sz="0" w:space="0" w:color="auto"/>
              <w:bottom w:val="nil"/>
              <w:right w:val="none" w:sz="0" w:space="0" w:color="auto"/>
            </w:tcBorders>
            <w:vAlign w:val="center"/>
          </w:tcPr>
          <w:p w14:paraId="034907E6" w14:textId="18F7AECE" w:rsidR="00DA0B5E" w:rsidRPr="00DA0B5E" w:rsidRDefault="00DA0B5E"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DA0B5E">
              <w:rPr>
                <w:sz w:val="20"/>
                <w:szCs w:val="20"/>
              </w:rPr>
              <w:t>0.380</w:t>
            </w:r>
          </w:p>
        </w:tc>
        <w:tc>
          <w:tcPr>
            <w:tcW w:w="1170" w:type="dxa"/>
            <w:tcBorders>
              <w:top w:val="nil"/>
              <w:left w:val="none" w:sz="0" w:space="0" w:color="auto"/>
              <w:bottom w:val="nil"/>
              <w:right w:val="nil"/>
            </w:tcBorders>
            <w:vAlign w:val="center"/>
          </w:tcPr>
          <w:p w14:paraId="23C0BFE7" w14:textId="4702083B" w:rsidR="00DA0B5E" w:rsidRPr="00DA0B5E" w:rsidRDefault="00DA0B5E"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DA0B5E">
              <w:rPr>
                <w:sz w:val="20"/>
                <w:szCs w:val="20"/>
              </w:rPr>
              <w:t>Met</w:t>
            </w:r>
          </w:p>
        </w:tc>
      </w:tr>
    </w:tbl>
    <w:p w14:paraId="673C773B" w14:textId="77777777" w:rsidR="00996C0B" w:rsidRPr="008B3D5E" w:rsidRDefault="003D45D0" w:rsidP="00996C0B">
      <w:pPr>
        <w:pStyle w:val="Heading2"/>
        <w:shd w:val="clear" w:color="auto" w:fill="4F81BD" w:themeFill="accent1"/>
        <w:rPr>
          <w:color w:val="FFFFFF" w:themeColor="background1"/>
        </w:rPr>
      </w:pPr>
      <w:bookmarkStart w:id="5" w:name="_Toc483414850"/>
      <w:r>
        <w:rPr>
          <w:color w:val="FFFFFF" w:themeColor="background1"/>
        </w:rPr>
        <w:t xml:space="preserve">RAIL, TRANSIT, </w:t>
      </w:r>
      <w:r w:rsidR="003A5864">
        <w:rPr>
          <w:color w:val="FFFFFF" w:themeColor="background1"/>
        </w:rPr>
        <w:t>PIPELINE, HAZMAT SAFETY AND SAFETY POLICY</w:t>
      </w:r>
      <w:bookmarkEnd w:id="5"/>
    </w:p>
    <w:tbl>
      <w:tblPr>
        <w:tblStyle w:val="MediumShading1-Accent1"/>
        <w:tblW w:w="10350" w:type="dxa"/>
        <w:tblInd w:w="108" w:type="dxa"/>
        <w:tblLayout w:type="fixed"/>
        <w:tblLook w:val="04A0" w:firstRow="1" w:lastRow="0" w:firstColumn="1" w:lastColumn="0" w:noHBand="0" w:noVBand="1"/>
        <w:tblCaption w:val="Rail, Transit, Pipeline, Hazmat Safety and Safety Policy"/>
        <w:tblDescription w:val="Summary Performance Report"/>
      </w:tblPr>
      <w:tblGrid>
        <w:gridCol w:w="2970"/>
        <w:gridCol w:w="900"/>
        <w:gridCol w:w="810"/>
        <w:gridCol w:w="900"/>
        <w:gridCol w:w="900"/>
        <w:gridCol w:w="888"/>
        <w:gridCol w:w="912"/>
        <w:gridCol w:w="900"/>
        <w:gridCol w:w="1170"/>
      </w:tblGrid>
      <w:tr w:rsidR="00ED5D74" w14:paraId="69633713" w14:textId="77777777" w:rsidTr="007770EE">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000" w:firstRow="0" w:lastRow="0" w:firstColumn="1" w:lastColumn="0" w:oddVBand="0" w:evenVBand="0" w:oddHBand="0" w:evenHBand="0" w:firstRowFirstColumn="0" w:firstRowLastColumn="0" w:lastRowFirstColumn="0" w:lastRowLastColumn="0"/>
            <w:tcW w:w="2970" w:type="dxa"/>
            <w:tcBorders>
              <w:top w:val="none" w:sz="0" w:space="0" w:color="auto"/>
              <w:left w:val="none" w:sz="0" w:space="0" w:color="auto"/>
              <w:bottom w:val="nil"/>
              <w:right w:val="none" w:sz="0" w:space="0" w:color="auto"/>
            </w:tcBorders>
            <w:vAlign w:val="center"/>
          </w:tcPr>
          <w:p w14:paraId="15B710CE" w14:textId="77777777" w:rsidR="00ED5D74" w:rsidRPr="003D45D0" w:rsidRDefault="00ED5D74" w:rsidP="00ED5D74">
            <w:pPr>
              <w:jc w:val="center"/>
              <w:rPr>
                <w:sz w:val="20"/>
                <w:szCs w:val="20"/>
              </w:rPr>
            </w:pPr>
            <w:r w:rsidRPr="003D45D0">
              <w:rPr>
                <w:sz w:val="20"/>
                <w:szCs w:val="20"/>
              </w:rPr>
              <w:t>Performance Measure</w:t>
            </w:r>
          </w:p>
        </w:tc>
        <w:tc>
          <w:tcPr>
            <w:tcW w:w="900" w:type="dxa"/>
            <w:tcBorders>
              <w:top w:val="none" w:sz="0" w:space="0" w:color="auto"/>
              <w:left w:val="none" w:sz="0" w:space="0" w:color="auto"/>
              <w:bottom w:val="nil"/>
              <w:right w:val="none" w:sz="0" w:space="0" w:color="auto"/>
            </w:tcBorders>
            <w:vAlign w:val="center"/>
          </w:tcPr>
          <w:p w14:paraId="2B0C5C18" w14:textId="77777777" w:rsidR="00ED5D74" w:rsidRPr="003D45D0" w:rsidRDefault="00ED5D74" w:rsidP="00ED5D74">
            <w:pPr>
              <w:jc w:val="center"/>
              <w:cnfStyle w:val="100000000000" w:firstRow="1" w:lastRow="0" w:firstColumn="0" w:lastColumn="0" w:oddVBand="0" w:evenVBand="0" w:oddHBand="0" w:evenHBand="0" w:firstRowFirstColumn="0" w:firstRowLastColumn="0" w:lastRowFirstColumn="0" w:lastRowLastColumn="0"/>
              <w:rPr>
                <w:sz w:val="20"/>
                <w:szCs w:val="20"/>
              </w:rPr>
            </w:pPr>
            <w:r w:rsidRPr="003D45D0">
              <w:rPr>
                <w:sz w:val="20"/>
                <w:szCs w:val="20"/>
              </w:rPr>
              <w:t>2011</w:t>
            </w:r>
          </w:p>
        </w:tc>
        <w:tc>
          <w:tcPr>
            <w:tcW w:w="810" w:type="dxa"/>
            <w:tcBorders>
              <w:top w:val="none" w:sz="0" w:space="0" w:color="auto"/>
              <w:left w:val="none" w:sz="0" w:space="0" w:color="auto"/>
              <w:bottom w:val="nil"/>
              <w:right w:val="none" w:sz="0" w:space="0" w:color="auto"/>
            </w:tcBorders>
            <w:vAlign w:val="center"/>
          </w:tcPr>
          <w:p w14:paraId="1435D379" w14:textId="77777777" w:rsidR="00ED5D74" w:rsidRPr="003D45D0" w:rsidRDefault="00ED5D74" w:rsidP="00ED5D74">
            <w:pPr>
              <w:jc w:val="center"/>
              <w:cnfStyle w:val="100000000000" w:firstRow="1" w:lastRow="0" w:firstColumn="0" w:lastColumn="0" w:oddVBand="0" w:evenVBand="0" w:oddHBand="0" w:evenHBand="0" w:firstRowFirstColumn="0" w:firstRowLastColumn="0" w:lastRowFirstColumn="0" w:lastRowLastColumn="0"/>
              <w:rPr>
                <w:sz w:val="20"/>
                <w:szCs w:val="20"/>
              </w:rPr>
            </w:pPr>
            <w:r w:rsidRPr="003D45D0">
              <w:rPr>
                <w:sz w:val="20"/>
                <w:szCs w:val="20"/>
              </w:rPr>
              <w:t>2012</w:t>
            </w:r>
          </w:p>
        </w:tc>
        <w:tc>
          <w:tcPr>
            <w:tcW w:w="900" w:type="dxa"/>
            <w:tcBorders>
              <w:top w:val="none" w:sz="0" w:space="0" w:color="auto"/>
              <w:left w:val="none" w:sz="0" w:space="0" w:color="auto"/>
              <w:bottom w:val="nil"/>
              <w:right w:val="none" w:sz="0" w:space="0" w:color="auto"/>
            </w:tcBorders>
            <w:vAlign w:val="center"/>
          </w:tcPr>
          <w:p w14:paraId="6FFE78C2" w14:textId="77777777" w:rsidR="00ED5D74" w:rsidRPr="003D45D0" w:rsidRDefault="00ED5D74" w:rsidP="00ED5D74">
            <w:pPr>
              <w:jc w:val="center"/>
              <w:cnfStyle w:val="100000000000" w:firstRow="1" w:lastRow="0" w:firstColumn="0" w:lastColumn="0" w:oddVBand="0" w:evenVBand="0" w:oddHBand="0" w:evenHBand="0" w:firstRowFirstColumn="0" w:firstRowLastColumn="0" w:lastRowFirstColumn="0" w:lastRowLastColumn="0"/>
              <w:rPr>
                <w:sz w:val="20"/>
                <w:szCs w:val="20"/>
              </w:rPr>
            </w:pPr>
            <w:r w:rsidRPr="003D45D0">
              <w:rPr>
                <w:sz w:val="20"/>
                <w:szCs w:val="20"/>
              </w:rPr>
              <w:t>2013</w:t>
            </w:r>
          </w:p>
        </w:tc>
        <w:tc>
          <w:tcPr>
            <w:tcW w:w="900" w:type="dxa"/>
            <w:tcBorders>
              <w:top w:val="none" w:sz="0" w:space="0" w:color="auto"/>
              <w:left w:val="none" w:sz="0" w:space="0" w:color="auto"/>
              <w:bottom w:val="nil"/>
              <w:right w:val="none" w:sz="0" w:space="0" w:color="auto"/>
            </w:tcBorders>
            <w:vAlign w:val="center"/>
          </w:tcPr>
          <w:p w14:paraId="106BA656" w14:textId="77777777" w:rsidR="00ED5D74" w:rsidRPr="003D45D0" w:rsidRDefault="00ED5D74" w:rsidP="00ED5D74">
            <w:pPr>
              <w:jc w:val="center"/>
              <w:cnfStyle w:val="100000000000" w:firstRow="1" w:lastRow="0" w:firstColumn="0" w:lastColumn="0" w:oddVBand="0" w:evenVBand="0" w:oddHBand="0" w:evenHBand="0" w:firstRowFirstColumn="0" w:firstRowLastColumn="0" w:lastRowFirstColumn="0" w:lastRowLastColumn="0"/>
              <w:rPr>
                <w:sz w:val="20"/>
                <w:szCs w:val="20"/>
              </w:rPr>
            </w:pPr>
            <w:r w:rsidRPr="003D45D0">
              <w:rPr>
                <w:sz w:val="20"/>
                <w:szCs w:val="20"/>
              </w:rPr>
              <w:t>2014</w:t>
            </w:r>
          </w:p>
        </w:tc>
        <w:tc>
          <w:tcPr>
            <w:tcW w:w="888" w:type="dxa"/>
            <w:tcBorders>
              <w:top w:val="none" w:sz="0" w:space="0" w:color="auto"/>
              <w:left w:val="none" w:sz="0" w:space="0" w:color="auto"/>
              <w:bottom w:val="nil"/>
              <w:right w:val="none" w:sz="0" w:space="0" w:color="auto"/>
            </w:tcBorders>
            <w:vAlign w:val="center"/>
          </w:tcPr>
          <w:p w14:paraId="0CD8EE76" w14:textId="77777777" w:rsidR="00ED5D74" w:rsidRPr="003D45D0" w:rsidRDefault="00ED5D74" w:rsidP="00ED5D7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2015</w:t>
            </w:r>
          </w:p>
        </w:tc>
        <w:tc>
          <w:tcPr>
            <w:tcW w:w="912" w:type="dxa"/>
            <w:tcBorders>
              <w:top w:val="none" w:sz="0" w:space="0" w:color="auto"/>
              <w:left w:val="none" w:sz="0" w:space="0" w:color="auto"/>
              <w:bottom w:val="nil"/>
              <w:right w:val="none" w:sz="0" w:space="0" w:color="auto"/>
            </w:tcBorders>
            <w:vAlign w:val="center"/>
          </w:tcPr>
          <w:p w14:paraId="7940E7B3" w14:textId="77777777" w:rsidR="00ED5D74" w:rsidRPr="003D45D0" w:rsidRDefault="00ED5D74" w:rsidP="00ED5D7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2016</w:t>
            </w:r>
            <w:r w:rsidRPr="003D45D0">
              <w:rPr>
                <w:sz w:val="20"/>
                <w:szCs w:val="20"/>
              </w:rPr>
              <w:t xml:space="preserve"> Target</w:t>
            </w:r>
          </w:p>
        </w:tc>
        <w:tc>
          <w:tcPr>
            <w:tcW w:w="900" w:type="dxa"/>
            <w:tcBorders>
              <w:top w:val="none" w:sz="0" w:space="0" w:color="auto"/>
              <w:left w:val="none" w:sz="0" w:space="0" w:color="auto"/>
              <w:bottom w:val="nil"/>
              <w:right w:val="none" w:sz="0" w:space="0" w:color="auto"/>
            </w:tcBorders>
            <w:vAlign w:val="center"/>
          </w:tcPr>
          <w:p w14:paraId="4A05BF21" w14:textId="77777777" w:rsidR="00ED5D74" w:rsidRDefault="00ED5D74" w:rsidP="00ED5D7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2016</w:t>
            </w:r>
          </w:p>
          <w:p w14:paraId="59822DA1" w14:textId="77777777" w:rsidR="00ED5D74" w:rsidRPr="003D45D0" w:rsidRDefault="00ED5D74" w:rsidP="00ED5D74">
            <w:pPr>
              <w:jc w:val="center"/>
              <w:cnfStyle w:val="100000000000" w:firstRow="1" w:lastRow="0" w:firstColumn="0" w:lastColumn="0" w:oddVBand="0" w:evenVBand="0" w:oddHBand="0" w:evenHBand="0" w:firstRowFirstColumn="0" w:firstRowLastColumn="0" w:lastRowFirstColumn="0" w:lastRowLastColumn="0"/>
              <w:rPr>
                <w:sz w:val="20"/>
                <w:szCs w:val="20"/>
              </w:rPr>
            </w:pPr>
            <w:r w:rsidRPr="003D45D0">
              <w:rPr>
                <w:sz w:val="20"/>
                <w:szCs w:val="20"/>
              </w:rPr>
              <w:t>Actual</w:t>
            </w:r>
          </w:p>
        </w:tc>
        <w:tc>
          <w:tcPr>
            <w:tcW w:w="1170" w:type="dxa"/>
            <w:tcBorders>
              <w:top w:val="none" w:sz="0" w:space="0" w:color="auto"/>
              <w:left w:val="none" w:sz="0" w:space="0" w:color="auto"/>
              <w:bottom w:val="nil"/>
              <w:right w:val="none" w:sz="0" w:space="0" w:color="auto"/>
            </w:tcBorders>
            <w:vAlign w:val="center"/>
          </w:tcPr>
          <w:p w14:paraId="721D4EC1" w14:textId="67356534" w:rsidR="00ED5D74" w:rsidRPr="003D45D0" w:rsidRDefault="00187330" w:rsidP="00ED5D7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Results</w:t>
            </w:r>
          </w:p>
        </w:tc>
      </w:tr>
      <w:tr w:rsidR="00BB1746" w14:paraId="4F41CC72" w14:textId="77777777" w:rsidTr="007770EE">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970" w:type="dxa"/>
            <w:tcBorders>
              <w:top w:val="nil"/>
              <w:left w:val="nil"/>
              <w:bottom w:val="nil"/>
              <w:right w:val="none" w:sz="0" w:space="0" w:color="auto"/>
            </w:tcBorders>
          </w:tcPr>
          <w:p w14:paraId="7146A2E4" w14:textId="1F39C838" w:rsidR="00BB1746" w:rsidRPr="003D45D0" w:rsidRDefault="00BB1746" w:rsidP="0007415A">
            <w:pPr>
              <w:spacing w:before="120"/>
              <w:rPr>
                <w:b w:val="0"/>
                <w:sz w:val="20"/>
                <w:szCs w:val="20"/>
              </w:rPr>
            </w:pPr>
            <w:r w:rsidRPr="003D45D0">
              <w:rPr>
                <w:b w:val="0"/>
                <w:sz w:val="20"/>
                <w:szCs w:val="20"/>
              </w:rPr>
              <w:t>Rail-related accidents and incidents per million train-miles.</w:t>
            </w:r>
            <w:r w:rsidR="00487D63">
              <w:rPr>
                <w:b w:val="0"/>
                <w:sz w:val="20"/>
                <w:szCs w:val="20"/>
              </w:rPr>
              <w:t xml:space="preserve"> (FRA)</w:t>
            </w:r>
          </w:p>
        </w:tc>
        <w:tc>
          <w:tcPr>
            <w:tcW w:w="900" w:type="dxa"/>
            <w:tcBorders>
              <w:top w:val="nil"/>
              <w:left w:val="none" w:sz="0" w:space="0" w:color="auto"/>
              <w:bottom w:val="nil"/>
              <w:right w:val="none" w:sz="0" w:space="0" w:color="auto"/>
            </w:tcBorders>
            <w:vAlign w:val="center"/>
          </w:tcPr>
          <w:p w14:paraId="3DE40076" w14:textId="77777777" w:rsidR="00BB1746" w:rsidRDefault="00BB1746"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16.072</w:t>
            </w:r>
          </w:p>
        </w:tc>
        <w:tc>
          <w:tcPr>
            <w:tcW w:w="810" w:type="dxa"/>
            <w:tcBorders>
              <w:top w:val="nil"/>
              <w:left w:val="none" w:sz="0" w:space="0" w:color="auto"/>
              <w:bottom w:val="nil"/>
              <w:right w:val="none" w:sz="0" w:space="0" w:color="auto"/>
            </w:tcBorders>
            <w:vAlign w:val="center"/>
          </w:tcPr>
          <w:p w14:paraId="6EF27D9D" w14:textId="77777777" w:rsidR="00BB1746" w:rsidRDefault="00BB1746"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15.194</w:t>
            </w:r>
          </w:p>
        </w:tc>
        <w:tc>
          <w:tcPr>
            <w:tcW w:w="900" w:type="dxa"/>
            <w:tcBorders>
              <w:top w:val="nil"/>
              <w:left w:val="none" w:sz="0" w:space="0" w:color="auto"/>
              <w:bottom w:val="nil"/>
              <w:right w:val="none" w:sz="0" w:space="0" w:color="auto"/>
            </w:tcBorders>
            <w:vAlign w:val="center"/>
          </w:tcPr>
          <w:p w14:paraId="67C9EC90" w14:textId="77777777" w:rsidR="00BB1746" w:rsidRDefault="00BB1746"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15.028</w:t>
            </w:r>
          </w:p>
        </w:tc>
        <w:tc>
          <w:tcPr>
            <w:tcW w:w="900" w:type="dxa"/>
            <w:tcBorders>
              <w:top w:val="nil"/>
              <w:left w:val="none" w:sz="0" w:space="0" w:color="auto"/>
              <w:bottom w:val="nil"/>
              <w:right w:val="none" w:sz="0" w:space="0" w:color="auto"/>
            </w:tcBorders>
            <w:vAlign w:val="center"/>
          </w:tcPr>
          <w:p w14:paraId="48854C52" w14:textId="77777777" w:rsidR="00BB1746" w:rsidRDefault="00BB1746"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16.160</w:t>
            </w:r>
          </w:p>
        </w:tc>
        <w:tc>
          <w:tcPr>
            <w:tcW w:w="888" w:type="dxa"/>
            <w:tcBorders>
              <w:top w:val="nil"/>
              <w:left w:val="none" w:sz="0" w:space="0" w:color="auto"/>
              <w:bottom w:val="nil"/>
              <w:right w:val="none" w:sz="0" w:space="0" w:color="auto"/>
            </w:tcBorders>
            <w:vAlign w:val="center"/>
          </w:tcPr>
          <w:p w14:paraId="3CCDB0DE" w14:textId="5DE01B0B" w:rsidR="00BB1746" w:rsidRDefault="00BB1746"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BB1746">
              <w:rPr>
                <w:sz w:val="20"/>
                <w:szCs w:val="20"/>
              </w:rPr>
              <w:t>15.808</w:t>
            </w:r>
          </w:p>
        </w:tc>
        <w:tc>
          <w:tcPr>
            <w:tcW w:w="912" w:type="dxa"/>
            <w:tcBorders>
              <w:top w:val="nil"/>
              <w:left w:val="none" w:sz="0" w:space="0" w:color="auto"/>
              <w:bottom w:val="nil"/>
              <w:right w:val="none" w:sz="0" w:space="0" w:color="auto"/>
            </w:tcBorders>
            <w:vAlign w:val="center"/>
          </w:tcPr>
          <w:p w14:paraId="3A070EA3" w14:textId="77777777" w:rsidR="00BB1746" w:rsidRDefault="00BB1746"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15.900</w:t>
            </w:r>
          </w:p>
        </w:tc>
        <w:tc>
          <w:tcPr>
            <w:tcW w:w="900" w:type="dxa"/>
            <w:tcBorders>
              <w:top w:val="nil"/>
              <w:left w:val="none" w:sz="0" w:space="0" w:color="auto"/>
              <w:bottom w:val="nil"/>
              <w:right w:val="none" w:sz="0" w:space="0" w:color="auto"/>
            </w:tcBorders>
            <w:vAlign w:val="center"/>
          </w:tcPr>
          <w:p w14:paraId="3BC962D3" w14:textId="6A1E57B0" w:rsidR="00BB1746" w:rsidRDefault="00187330"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187330">
              <w:rPr>
                <w:sz w:val="20"/>
                <w:szCs w:val="20"/>
              </w:rPr>
              <w:t>16.044</w:t>
            </w:r>
          </w:p>
        </w:tc>
        <w:tc>
          <w:tcPr>
            <w:tcW w:w="1170" w:type="dxa"/>
            <w:tcBorders>
              <w:top w:val="nil"/>
              <w:left w:val="none" w:sz="0" w:space="0" w:color="auto"/>
              <w:bottom w:val="nil"/>
              <w:right w:val="nil"/>
            </w:tcBorders>
            <w:vAlign w:val="center"/>
          </w:tcPr>
          <w:p w14:paraId="37E109CD" w14:textId="2916E08B" w:rsidR="00BB1746" w:rsidRDefault="00187330"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Not </w:t>
            </w:r>
            <w:r w:rsidR="00BB1746">
              <w:rPr>
                <w:sz w:val="20"/>
                <w:szCs w:val="20"/>
              </w:rPr>
              <w:t>Met</w:t>
            </w:r>
          </w:p>
        </w:tc>
      </w:tr>
      <w:tr w:rsidR="003D45D0" w14:paraId="2C84E0EA" w14:textId="77777777" w:rsidTr="007770EE">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970" w:type="dxa"/>
            <w:tcBorders>
              <w:top w:val="nil"/>
              <w:left w:val="nil"/>
              <w:bottom w:val="nil"/>
              <w:right w:val="none" w:sz="0" w:space="0" w:color="auto"/>
            </w:tcBorders>
          </w:tcPr>
          <w:p w14:paraId="2A4D1C7D" w14:textId="77D2B221" w:rsidR="003D45D0" w:rsidRPr="003D45D0" w:rsidRDefault="003D45D0" w:rsidP="0007415A">
            <w:pPr>
              <w:spacing w:before="120"/>
              <w:rPr>
                <w:b w:val="0"/>
                <w:sz w:val="20"/>
                <w:szCs w:val="20"/>
              </w:rPr>
            </w:pPr>
            <w:r w:rsidRPr="003D45D0">
              <w:rPr>
                <w:b w:val="0"/>
                <w:sz w:val="20"/>
                <w:szCs w:val="20"/>
              </w:rPr>
              <w:t>Transit fatalities per 100 million passenger-miles traveled.</w:t>
            </w:r>
            <w:r w:rsidR="00487D63">
              <w:rPr>
                <w:b w:val="0"/>
                <w:sz w:val="20"/>
                <w:szCs w:val="20"/>
              </w:rPr>
              <w:t xml:space="preserve"> (FTA)</w:t>
            </w:r>
            <w:r w:rsidR="00187330">
              <w:rPr>
                <w:b w:val="0"/>
                <w:sz w:val="20"/>
                <w:szCs w:val="20"/>
              </w:rPr>
              <w:br/>
              <w:t>* - Preliminary estimate</w:t>
            </w:r>
            <w:r w:rsidR="00487D63">
              <w:rPr>
                <w:b w:val="0"/>
                <w:sz w:val="20"/>
                <w:szCs w:val="20"/>
              </w:rPr>
              <w:t xml:space="preserve"> </w:t>
            </w:r>
          </w:p>
        </w:tc>
        <w:tc>
          <w:tcPr>
            <w:tcW w:w="900" w:type="dxa"/>
            <w:tcBorders>
              <w:top w:val="nil"/>
              <w:left w:val="none" w:sz="0" w:space="0" w:color="auto"/>
              <w:bottom w:val="nil"/>
              <w:right w:val="none" w:sz="0" w:space="0" w:color="auto"/>
            </w:tcBorders>
            <w:vAlign w:val="center"/>
          </w:tcPr>
          <w:p w14:paraId="6B4AB08A" w14:textId="0C166BD7" w:rsidR="003D45D0" w:rsidRDefault="00187330"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N/A</w:t>
            </w:r>
          </w:p>
        </w:tc>
        <w:tc>
          <w:tcPr>
            <w:tcW w:w="810" w:type="dxa"/>
            <w:tcBorders>
              <w:top w:val="nil"/>
              <w:left w:val="none" w:sz="0" w:space="0" w:color="auto"/>
              <w:bottom w:val="nil"/>
              <w:right w:val="none" w:sz="0" w:space="0" w:color="auto"/>
            </w:tcBorders>
            <w:vAlign w:val="center"/>
          </w:tcPr>
          <w:p w14:paraId="2B6382C3" w14:textId="77777777" w:rsidR="003D45D0" w:rsidRDefault="003D45D0"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0.533</w:t>
            </w:r>
          </w:p>
        </w:tc>
        <w:tc>
          <w:tcPr>
            <w:tcW w:w="900" w:type="dxa"/>
            <w:tcBorders>
              <w:top w:val="nil"/>
              <w:left w:val="none" w:sz="0" w:space="0" w:color="auto"/>
              <w:bottom w:val="nil"/>
              <w:right w:val="none" w:sz="0" w:space="0" w:color="auto"/>
            </w:tcBorders>
            <w:vAlign w:val="center"/>
          </w:tcPr>
          <w:p w14:paraId="239C4A95" w14:textId="77777777" w:rsidR="003D45D0" w:rsidRDefault="003D45D0"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0.547</w:t>
            </w:r>
          </w:p>
        </w:tc>
        <w:tc>
          <w:tcPr>
            <w:tcW w:w="900" w:type="dxa"/>
            <w:tcBorders>
              <w:top w:val="nil"/>
              <w:left w:val="none" w:sz="0" w:space="0" w:color="auto"/>
              <w:bottom w:val="nil"/>
              <w:right w:val="none" w:sz="0" w:space="0" w:color="auto"/>
            </w:tcBorders>
            <w:vAlign w:val="center"/>
          </w:tcPr>
          <w:p w14:paraId="3DE60481" w14:textId="77777777" w:rsidR="003D45D0" w:rsidRDefault="003D45D0"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0.613</w:t>
            </w:r>
          </w:p>
        </w:tc>
        <w:tc>
          <w:tcPr>
            <w:tcW w:w="888" w:type="dxa"/>
            <w:tcBorders>
              <w:top w:val="nil"/>
              <w:left w:val="none" w:sz="0" w:space="0" w:color="auto"/>
              <w:bottom w:val="nil"/>
              <w:right w:val="none" w:sz="0" w:space="0" w:color="auto"/>
            </w:tcBorders>
            <w:vAlign w:val="center"/>
          </w:tcPr>
          <w:p w14:paraId="3C47A28E" w14:textId="77777777" w:rsidR="003D45D0" w:rsidRDefault="003D45D0"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0.609*</w:t>
            </w:r>
          </w:p>
        </w:tc>
        <w:tc>
          <w:tcPr>
            <w:tcW w:w="912" w:type="dxa"/>
            <w:tcBorders>
              <w:top w:val="nil"/>
              <w:left w:val="none" w:sz="0" w:space="0" w:color="auto"/>
              <w:bottom w:val="nil"/>
              <w:right w:val="none" w:sz="0" w:space="0" w:color="auto"/>
            </w:tcBorders>
            <w:vAlign w:val="center"/>
          </w:tcPr>
          <w:p w14:paraId="2333E553" w14:textId="77777777" w:rsidR="003D45D0" w:rsidRDefault="003D45D0"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0.543</w:t>
            </w:r>
          </w:p>
        </w:tc>
        <w:tc>
          <w:tcPr>
            <w:tcW w:w="900" w:type="dxa"/>
            <w:tcBorders>
              <w:top w:val="nil"/>
              <w:left w:val="none" w:sz="0" w:space="0" w:color="auto"/>
              <w:bottom w:val="nil"/>
              <w:right w:val="none" w:sz="0" w:space="0" w:color="auto"/>
            </w:tcBorders>
            <w:vAlign w:val="center"/>
          </w:tcPr>
          <w:p w14:paraId="18F15C6C" w14:textId="77777777" w:rsidR="003D45D0" w:rsidRDefault="003D45D0"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0.487*</w:t>
            </w:r>
          </w:p>
        </w:tc>
        <w:tc>
          <w:tcPr>
            <w:tcW w:w="1170" w:type="dxa"/>
            <w:tcBorders>
              <w:top w:val="nil"/>
              <w:left w:val="none" w:sz="0" w:space="0" w:color="auto"/>
              <w:bottom w:val="nil"/>
              <w:right w:val="nil"/>
            </w:tcBorders>
            <w:vAlign w:val="center"/>
          </w:tcPr>
          <w:p w14:paraId="7E7368B5" w14:textId="77777777" w:rsidR="003D45D0" w:rsidRDefault="003D45D0"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Potentially Met</w:t>
            </w:r>
          </w:p>
        </w:tc>
      </w:tr>
      <w:tr w:rsidR="005D7711" w14:paraId="44875D55" w14:textId="77777777" w:rsidTr="007770EE">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970" w:type="dxa"/>
            <w:tcBorders>
              <w:top w:val="nil"/>
              <w:left w:val="nil"/>
              <w:bottom w:val="nil"/>
              <w:right w:val="none" w:sz="0" w:space="0" w:color="auto"/>
            </w:tcBorders>
          </w:tcPr>
          <w:p w14:paraId="00B53FE9" w14:textId="6908A721" w:rsidR="005D7711" w:rsidRPr="003D45D0" w:rsidRDefault="005D7711" w:rsidP="0007415A">
            <w:pPr>
              <w:spacing w:before="120"/>
              <w:rPr>
                <w:b w:val="0"/>
                <w:sz w:val="20"/>
                <w:szCs w:val="20"/>
              </w:rPr>
            </w:pPr>
            <w:r w:rsidRPr="003D45D0">
              <w:rPr>
                <w:b w:val="0"/>
                <w:sz w:val="20"/>
                <w:szCs w:val="20"/>
              </w:rPr>
              <w:t>Pipeline incidents involving death or major injury</w:t>
            </w:r>
            <w:r w:rsidR="00487D63">
              <w:rPr>
                <w:b w:val="0"/>
                <w:sz w:val="20"/>
                <w:szCs w:val="20"/>
              </w:rPr>
              <w:t xml:space="preserve"> (PHMSA)</w:t>
            </w:r>
            <w:r w:rsidR="00187330">
              <w:rPr>
                <w:b w:val="0"/>
                <w:sz w:val="20"/>
                <w:szCs w:val="20"/>
              </w:rPr>
              <w:br/>
              <w:t>(r) – Revised</w:t>
            </w:r>
            <w:r w:rsidR="00187330">
              <w:rPr>
                <w:b w:val="0"/>
                <w:sz w:val="20"/>
                <w:szCs w:val="20"/>
              </w:rPr>
              <w:br/>
              <w:t>* - Preliminary estimate</w:t>
            </w:r>
          </w:p>
        </w:tc>
        <w:tc>
          <w:tcPr>
            <w:tcW w:w="900" w:type="dxa"/>
            <w:tcBorders>
              <w:top w:val="nil"/>
              <w:left w:val="none" w:sz="0" w:space="0" w:color="auto"/>
              <w:bottom w:val="nil"/>
              <w:right w:val="none" w:sz="0" w:space="0" w:color="auto"/>
            </w:tcBorders>
            <w:shd w:val="clear" w:color="auto" w:fill="FFFFFF" w:themeFill="background1"/>
            <w:vAlign w:val="center"/>
          </w:tcPr>
          <w:p w14:paraId="44618B63" w14:textId="77777777" w:rsidR="005D7711" w:rsidRPr="004F5BAD" w:rsidRDefault="005D7711"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4F5BAD">
              <w:rPr>
                <w:sz w:val="20"/>
                <w:szCs w:val="20"/>
              </w:rPr>
              <w:t>32</w:t>
            </w:r>
          </w:p>
        </w:tc>
        <w:tc>
          <w:tcPr>
            <w:tcW w:w="810" w:type="dxa"/>
            <w:tcBorders>
              <w:top w:val="nil"/>
              <w:left w:val="none" w:sz="0" w:space="0" w:color="auto"/>
              <w:bottom w:val="nil"/>
              <w:right w:val="none" w:sz="0" w:space="0" w:color="auto"/>
            </w:tcBorders>
            <w:shd w:val="clear" w:color="auto" w:fill="FFFFFF" w:themeFill="background1"/>
            <w:vAlign w:val="center"/>
          </w:tcPr>
          <w:p w14:paraId="6D2D2237" w14:textId="77777777" w:rsidR="005D7711" w:rsidRPr="004F5BAD" w:rsidRDefault="005D7711"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4F5BAD">
              <w:rPr>
                <w:sz w:val="20"/>
                <w:szCs w:val="20"/>
              </w:rPr>
              <w:t>33(r)</w:t>
            </w:r>
          </w:p>
        </w:tc>
        <w:tc>
          <w:tcPr>
            <w:tcW w:w="900" w:type="dxa"/>
            <w:tcBorders>
              <w:top w:val="nil"/>
              <w:left w:val="none" w:sz="0" w:space="0" w:color="auto"/>
              <w:bottom w:val="nil"/>
              <w:right w:val="none" w:sz="0" w:space="0" w:color="auto"/>
            </w:tcBorders>
            <w:shd w:val="clear" w:color="auto" w:fill="FFFFFF" w:themeFill="background1"/>
            <w:vAlign w:val="center"/>
          </w:tcPr>
          <w:p w14:paraId="778687B2" w14:textId="77777777" w:rsidR="005D7711" w:rsidRPr="004F5BAD" w:rsidRDefault="005D7711"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4F5BAD">
              <w:rPr>
                <w:sz w:val="20"/>
                <w:szCs w:val="20"/>
              </w:rPr>
              <w:t>27(r)</w:t>
            </w:r>
          </w:p>
        </w:tc>
        <w:tc>
          <w:tcPr>
            <w:tcW w:w="900" w:type="dxa"/>
            <w:tcBorders>
              <w:top w:val="nil"/>
              <w:left w:val="none" w:sz="0" w:space="0" w:color="auto"/>
              <w:bottom w:val="nil"/>
              <w:right w:val="none" w:sz="0" w:space="0" w:color="auto"/>
            </w:tcBorders>
            <w:shd w:val="clear" w:color="auto" w:fill="FFFFFF" w:themeFill="background1"/>
            <w:vAlign w:val="center"/>
          </w:tcPr>
          <w:p w14:paraId="7F10B145" w14:textId="77777777" w:rsidR="005D7711" w:rsidRPr="004F5BAD" w:rsidRDefault="005D7711"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4F5BAD">
              <w:rPr>
                <w:sz w:val="20"/>
                <w:szCs w:val="20"/>
              </w:rPr>
              <w:t>24(r)</w:t>
            </w:r>
          </w:p>
        </w:tc>
        <w:tc>
          <w:tcPr>
            <w:tcW w:w="888" w:type="dxa"/>
            <w:tcBorders>
              <w:top w:val="nil"/>
              <w:left w:val="none" w:sz="0" w:space="0" w:color="auto"/>
              <w:bottom w:val="nil"/>
              <w:right w:val="none" w:sz="0" w:space="0" w:color="auto"/>
            </w:tcBorders>
            <w:shd w:val="clear" w:color="auto" w:fill="FFFFFF" w:themeFill="background1"/>
            <w:vAlign w:val="center"/>
          </w:tcPr>
          <w:p w14:paraId="3E6D9CC7" w14:textId="77777777" w:rsidR="005D7711" w:rsidRPr="004F5BAD" w:rsidRDefault="005D7711"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4F5BAD">
              <w:rPr>
                <w:sz w:val="20"/>
                <w:szCs w:val="20"/>
              </w:rPr>
              <w:t>39</w:t>
            </w:r>
          </w:p>
        </w:tc>
        <w:tc>
          <w:tcPr>
            <w:tcW w:w="912" w:type="dxa"/>
            <w:tcBorders>
              <w:top w:val="nil"/>
              <w:left w:val="none" w:sz="0" w:space="0" w:color="auto"/>
              <w:bottom w:val="nil"/>
              <w:right w:val="none" w:sz="0" w:space="0" w:color="auto"/>
            </w:tcBorders>
            <w:shd w:val="clear" w:color="auto" w:fill="FFFFFF" w:themeFill="background1"/>
            <w:vAlign w:val="center"/>
          </w:tcPr>
          <w:p w14:paraId="0E2449C0" w14:textId="77777777" w:rsidR="005D7711" w:rsidRPr="004F5BAD" w:rsidRDefault="005D7711"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4F5BAD">
              <w:rPr>
                <w:sz w:val="20"/>
                <w:szCs w:val="20"/>
              </w:rPr>
              <w:t>20-31</w:t>
            </w:r>
          </w:p>
        </w:tc>
        <w:tc>
          <w:tcPr>
            <w:tcW w:w="900" w:type="dxa"/>
            <w:tcBorders>
              <w:top w:val="nil"/>
              <w:left w:val="none" w:sz="0" w:space="0" w:color="auto"/>
              <w:bottom w:val="nil"/>
              <w:right w:val="none" w:sz="0" w:space="0" w:color="auto"/>
            </w:tcBorders>
            <w:shd w:val="clear" w:color="auto" w:fill="FFFFFF" w:themeFill="background1"/>
            <w:vAlign w:val="center"/>
          </w:tcPr>
          <w:p w14:paraId="212DFADB" w14:textId="77777777" w:rsidR="005D7711" w:rsidRPr="004F5BAD" w:rsidRDefault="005D7711"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4F5BAD">
              <w:rPr>
                <w:sz w:val="20"/>
                <w:szCs w:val="20"/>
              </w:rPr>
              <w:t>25*</w:t>
            </w:r>
          </w:p>
        </w:tc>
        <w:tc>
          <w:tcPr>
            <w:tcW w:w="1170" w:type="dxa"/>
            <w:tcBorders>
              <w:top w:val="nil"/>
              <w:left w:val="none" w:sz="0" w:space="0" w:color="auto"/>
              <w:bottom w:val="nil"/>
              <w:right w:val="nil"/>
            </w:tcBorders>
            <w:vAlign w:val="center"/>
          </w:tcPr>
          <w:p w14:paraId="7BFD6E8F" w14:textId="77777777" w:rsidR="005D7711" w:rsidRDefault="005D7711"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Met</w:t>
            </w:r>
          </w:p>
        </w:tc>
      </w:tr>
      <w:tr w:rsidR="003D45D0" w14:paraId="6F10E7D8" w14:textId="77777777" w:rsidTr="007770EE">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970" w:type="dxa"/>
            <w:tcBorders>
              <w:top w:val="nil"/>
              <w:left w:val="nil"/>
              <w:bottom w:val="nil"/>
              <w:right w:val="none" w:sz="0" w:space="0" w:color="auto"/>
            </w:tcBorders>
          </w:tcPr>
          <w:p w14:paraId="1814699C" w14:textId="0C0082AB" w:rsidR="003D45D0" w:rsidRPr="003D45D0" w:rsidRDefault="003D45D0" w:rsidP="0007415A">
            <w:pPr>
              <w:spacing w:before="120"/>
              <w:rPr>
                <w:b w:val="0"/>
                <w:sz w:val="20"/>
                <w:szCs w:val="20"/>
              </w:rPr>
            </w:pPr>
            <w:r w:rsidRPr="003D45D0">
              <w:rPr>
                <w:b w:val="0"/>
                <w:sz w:val="20"/>
                <w:szCs w:val="20"/>
              </w:rPr>
              <w:t xml:space="preserve">Hazardous materials incidents </w:t>
            </w:r>
            <w:r w:rsidRPr="003D45D0">
              <w:rPr>
                <w:b w:val="0"/>
                <w:sz w:val="20"/>
                <w:szCs w:val="20"/>
              </w:rPr>
              <w:lastRenderedPageBreak/>
              <w:t>involving death or major injury.</w:t>
            </w:r>
            <w:r w:rsidR="00487D63">
              <w:rPr>
                <w:b w:val="0"/>
                <w:sz w:val="20"/>
                <w:szCs w:val="20"/>
              </w:rPr>
              <w:t xml:space="preserve"> (PHMSA)</w:t>
            </w:r>
            <w:r w:rsidR="00187330">
              <w:rPr>
                <w:b w:val="0"/>
                <w:sz w:val="20"/>
                <w:szCs w:val="20"/>
              </w:rPr>
              <w:br/>
              <w:t>(r) – Revised</w:t>
            </w:r>
            <w:r w:rsidR="00187330">
              <w:rPr>
                <w:b w:val="0"/>
                <w:sz w:val="20"/>
                <w:szCs w:val="20"/>
              </w:rPr>
              <w:br/>
              <w:t>* - Preliminary estimate</w:t>
            </w:r>
          </w:p>
        </w:tc>
        <w:tc>
          <w:tcPr>
            <w:tcW w:w="900" w:type="dxa"/>
            <w:tcBorders>
              <w:top w:val="nil"/>
              <w:left w:val="none" w:sz="0" w:space="0" w:color="auto"/>
              <w:bottom w:val="nil"/>
              <w:right w:val="none" w:sz="0" w:space="0" w:color="auto"/>
            </w:tcBorders>
            <w:vAlign w:val="center"/>
          </w:tcPr>
          <w:p w14:paraId="62245671" w14:textId="77777777" w:rsidR="003D45D0" w:rsidRDefault="003D45D0"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lastRenderedPageBreak/>
              <w:t>23</w:t>
            </w:r>
          </w:p>
        </w:tc>
        <w:tc>
          <w:tcPr>
            <w:tcW w:w="810" w:type="dxa"/>
            <w:tcBorders>
              <w:top w:val="nil"/>
              <w:left w:val="none" w:sz="0" w:space="0" w:color="auto"/>
              <w:bottom w:val="nil"/>
              <w:right w:val="none" w:sz="0" w:space="0" w:color="auto"/>
            </w:tcBorders>
            <w:vAlign w:val="center"/>
          </w:tcPr>
          <w:p w14:paraId="271525E9" w14:textId="77777777" w:rsidR="003D45D0" w:rsidRDefault="003D45D0"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32</w:t>
            </w:r>
          </w:p>
        </w:tc>
        <w:tc>
          <w:tcPr>
            <w:tcW w:w="900" w:type="dxa"/>
            <w:tcBorders>
              <w:top w:val="nil"/>
              <w:left w:val="none" w:sz="0" w:space="0" w:color="auto"/>
              <w:bottom w:val="nil"/>
              <w:right w:val="none" w:sz="0" w:space="0" w:color="auto"/>
            </w:tcBorders>
            <w:vAlign w:val="center"/>
          </w:tcPr>
          <w:p w14:paraId="715C34F5" w14:textId="77777777" w:rsidR="003D45D0" w:rsidRDefault="003D45D0"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33(r)</w:t>
            </w:r>
          </w:p>
        </w:tc>
        <w:tc>
          <w:tcPr>
            <w:tcW w:w="900" w:type="dxa"/>
            <w:tcBorders>
              <w:top w:val="nil"/>
              <w:left w:val="none" w:sz="0" w:space="0" w:color="auto"/>
              <w:bottom w:val="nil"/>
              <w:right w:val="none" w:sz="0" w:space="0" w:color="auto"/>
            </w:tcBorders>
            <w:vAlign w:val="center"/>
          </w:tcPr>
          <w:p w14:paraId="7968889F" w14:textId="77777777" w:rsidR="003D45D0" w:rsidRDefault="003D45D0"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27(r)</w:t>
            </w:r>
          </w:p>
        </w:tc>
        <w:tc>
          <w:tcPr>
            <w:tcW w:w="888" w:type="dxa"/>
            <w:tcBorders>
              <w:top w:val="nil"/>
              <w:left w:val="none" w:sz="0" w:space="0" w:color="auto"/>
              <w:bottom w:val="nil"/>
              <w:right w:val="none" w:sz="0" w:space="0" w:color="auto"/>
            </w:tcBorders>
            <w:vAlign w:val="center"/>
          </w:tcPr>
          <w:p w14:paraId="3A4E3213" w14:textId="77777777" w:rsidR="003D45D0" w:rsidRDefault="003A5864"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23</w:t>
            </w:r>
          </w:p>
        </w:tc>
        <w:tc>
          <w:tcPr>
            <w:tcW w:w="912" w:type="dxa"/>
            <w:tcBorders>
              <w:top w:val="nil"/>
              <w:left w:val="none" w:sz="0" w:space="0" w:color="auto"/>
              <w:bottom w:val="nil"/>
              <w:right w:val="none" w:sz="0" w:space="0" w:color="auto"/>
            </w:tcBorders>
            <w:vAlign w:val="center"/>
          </w:tcPr>
          <w:p w14:paraId="64E3D58C" w14:textId="77777777" w:rsidR="003D45D0" w:rsidRDefault="003A5864"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31</w:t>
            </w:r>
          </w:p>
        </w:tc>
        <w:tc>
          <w:tcPr>
            <w:tcW w:w="900" w:type="dxa"/>
            <w:tcBorders>
              <w:top w:val="nil"/>
              <w:left w:val="none" w:sz="0" w:space="0" w:color="auto"/>
              <w:bottom w:val="nil"/>
              <w:right w:val="none" w:sz="0" w:space="0" w:color="auto"/>
            </w:tcBorders>
            <w:vAlign w:val="center"/>
          </w:tcPr>
          <w:p w14:paraId="1384431D" w14:textId="77777777" w:rsidR="003D45D0" w:rsidRDefault="003A5864"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22*</w:t>
            </w:r>
          </w:p>
        </w:tc>
        <w:tc>
          <w:tcPr>
            <w:tcW w:w="1170" w:type="dxa"/>
            <w:tcBorders>
              <w:top w:val="nil"/>
              <w:left w:val="none" w:sz="0" w:space="0" w:color="auto"/>
              <w:bottom w:val="nil"/>
              <w:right w:val="nil"/>
            </w:tcBorders>
            <w:vAlign w:val="center"/>
          </w:tcPr>
          <w:p w14:paraId="540F6E8D" w14:textId="77777777" w:rsidR="003D45D0" w:rsidRDefault="003A5864"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Met</w:t>
            </w:r>
          </w:p>
        </w:tc>
      </w:tr>
      <w:tr w:rsidR="003D45D0" w14:paraId="1EA9295E" w14:textId="77777777" w:rsidTr="007770EE">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970" w:type="dxa"/>
            <w:tcBorders>
              <w:top w:val="nil"/>
              <w:left w:val="nil"/>
              <w:bottom w:val="nil"/>
              <w:right w:val="none" w:sz="0" w:space="0" w:color="auto"/>
            </w:tcBorders>
          </w:tcPr>
          <w:p w14:paraId="769B3463" w14:textId="0AA1A042" w:rsidR="003D45D0" w:rsidRPr="003A5864" w:rsidRDefault="003A5864" w:rsidP="0007415A">
            <w:pPr>
              <w:spacing w:before="120"/>
              <w:rPr>
                <w:b w:val="0"/>
                <w:sz w:val="20"/>
                <w:szCs w:val="20"/>
              </w:rPr>
            </w:pPr>
            <w:r w:rsidRPr="003A5864">
              <w:rPr>
                <w:b w:val="0"/>
                <w:sz w:val="20"/>
                <w:szCs w:val="20"/>
              </w:rPr>
              <w:lastRenderedPageBreak/>
              <w:t>Number of States and localities that adopt roadway designs that accommodate all road users.</w:t>
            </w:r>
            <w:r w:rsidR="00487D63">
              <w:rPr>
                <w:b w:val="0"/>
                <w:sz w:val="20"/>
                <w:szCs w:val="20"/>
              </w:rPr>
              <w:t xml:space="preserve"> (FHWA)</w:t>
            </w:r>
            <w:r w:rsidR="00187330">
              <w:rPr>
                <w:b w:val="0"/>
                <w:sz w:val="20"/>
                <w:szCs w:val="20"/>
              </w:rPr>
              <w:br/>
              <w:t>(r) Revised</w:t>
            </w:r>
            <w:r w:rsidR="00187330">
              <w:rPr>
                <w:b w:val="0"/>
                <w:sz w:val="20"/>
                <w:szCs w:val="20"/>
              </w:rPr>
              <w:br/>
              <w:t>* - Preliminary estimate</w:t>
            </w:r>
          </w:p>
        </w:tc>
        <w:tc>
          <w:tcPr>
            <w:tcW w:w="900" w:type="dxa"/>
            <w:tcBorders>
              <w:top w:val="nil"/>
              <w:left w:val="none" w:sz="0" w:space="0" w:color="auto"/>
              <w:bottom w:val="nil"/>
              <w:right w:val="none" w:sz="0" w:space="0" w:color="auto"/>
            </w:tcBorders>
            <w:vAlign w:val="center"/>
          </w:tcPr>
          <w:p w14:paraId="3B35C1F6" w14:textId="77777777" w:rsidR="003D45D0" w:rsidRDefault="003A5864"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c>
          <w:tcPr>
            <w:tcW w:w="810" w:type="dxa"/>
            <w:tcBorders>
              <w:top w:val="nil"/>
              <w:left w:val="none" w:sz="0" w:space="0" w:color="auto"/>
              <w:bottom w:val="nil"/>
              <w:right w:val="none" w:sz="0" w:space="0" w:color="auto"/>
            </w:tcBorders>
            <w:vAlign w:val="center"/>
          </w:tcPr>
          <w:p w14:paraId="185EC7EC" w14:textId="77777777" w:rsidR="003D45D0" w:rsidRDefault="003A5864"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214(r)</w:t>
            </w:r>
          </w:p>
        </w:tc>
        <w:tc>
          <w:tcPr>
            <w:tcW w:w="900" w:type="dxa"/>
            <w:tcBorders>
              <w:top w:val="nil"/>
              <w:left w:val="none" w:sz="0" w:space="0" w:color="auto"/>
              <w:bottom w:val="nil"/>
              <w:right w:val="none" w:sz="0" w:space="0" w:color="auto"/>
            </w:tcBorders>
            <w:vAlign w:val="center"/>
          </w:tcPr>
          <w:p w14:paraId="07285C24" w14:textId="77777777" w:rsidR="003D45D0" w:rsidRDefault="003A5864"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246(r)</w:t>
            </w:r>
          </w:p>
        </w:tc>
        <w:tc>
          <w:tcPr>
            <w:tcW w:w="900" w:type="dxa"/>
            <w:tcBorders>
              <w:top w:val="nil"/>
              <w:left w:val="none" w:sz="0" w:space="0" w:color="auto"/>
              <w:bottom w:val="nil"/>
              <w:right w:val="none" w:sz="0" w:space="0" w:color="auto"/>
            </w:tcBorders>
            <w:vAlign w:val="center"/>
          </w:tcPr>
          <w:p w14:paraId="3263756B" w14:textId="77777777" w:rsidR="003D45D0" w:rsidRDefault="003A5864"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398(r)</w:t>
            </w:r>
          </w:p>
        </w:tc>
        <w:tc>
          <w:tcPr>
            <w:tcW w:w="888" w:type="dxa"/>
            <w:tcBorders>
              <w:top w:val="nil"/>
              <w:left w:val="none" w:sz="0" w:space="0" w:color="auto"/>
              <w:bottom w:val="nil"/>
              <w:right w:val="none" w:sz="0" w:space="0" w:color="auto"/>
            </w:tcBorders>
            <w:vAlign w:val="center"/>
          </w:tcPr>
          <w:p w14:paraId="2C9C6762" w14:textId="77777777" w:rsidR="003D45D0" w:rsidRDefault="003A5864"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652</w:t>
            </w:r>
          </w:p>
        </w:tc>
        <w:tc>
          <w:tcPr>
            <w:tcW w:w="912" w:type="dxa"/>
            <w:tcBorders>
              <w:top w:val="nil"/>
              <w:left w:val="none" w:sz="0" w:space="0" w:color="auto"/>
              <w:bottom w:val="nil"/>
              <w:right w:val="none" w:sz="0" w:space="0" w:color="auto"/>
            </w:tcBorders>
            <w:vAlign w:val="center"/>
          </w:tcPr>
          <w:p w14:paraId="0736E875" w14:textId="77777777" w:rsidR="003D45D0" w:rsidRDefault="003A5864"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270</w:t>
            </w:r>
          </w:p>
        </w:tc>
        <w:tc>
          <w:tcPr>
            <w:tcW w:w="900" w:type="dxa"/>
            <w:tcBorders>
              <w:top w:val="nil"/>
              <w:left w:val="none" w:sz="0" w:space="0" w:color="auto"/>
              <w:bottom w:val="nil"/>
              <w:right w:val="none" w:sz="0" w:space="0" w:color="auto"/>
            </w:tcBorders>
            <w:vAlign w:val="center"/>
          </w:tcPr>
          <w:p w14:paraId="6080796A" w14:textId="632AD17C" w:rsidR="003D45D0" w:rsidRDefault="00187330"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1170" w:type="dxa"/>
            <w:tcBorders>
              <w:top w:val="nil"/>
              <w:left w:val="none" w:sz="0" w:space="0" w:color="auto"/>
              <w:bottom w:val="nil"/>
              <w:right w:val="nil"/>
            </w:tcBorders>
            <w:vAlign w:val="center"/>
          </w:tcPr>
          <w:p w14:paraId="3BBEB817" w14:textId="77777777" w:rsidR="003D45D0" w:rsidRDefault="003A5864"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Met</w:t>
            </w:r>
          </w:p>
        </w:tc>
      </w:tr>
    </w:tbl>
    <w:p w14:paraId="7CA36C96" w14:textId="77777777" w:rsidR="003A5864" w:rsidRPr="003A5864" w:rsidRDefault="003A5864" w:rsidP="003A030B">
      <w:pPr>
        <w:keepNext/>
        <w:keepLines/>
        <w:shd w:val="clear" w:color="auto" w:fill="F79646" w:themeFill="accent6"/>
        <w:spacing w:before="200" w:after="0" w:line="240" w:lineRule="auto"/>
        <w:jc w:val="center"/>
        <w:outlineLvl w:val="1"/>
        <w:rPr>
          <w:rFonts w:asciiTheme="majorHAnsi" w:eastAsiaTheme="majorEastAsia" w:hAnsiTheme="majorHAnsi" w:cstheme="majorBidi"/>
          <w:b/>
          <w:bCs/>
          <w:caps/>
          <w:color w:val="FFFFFF" w:themeColor="background1"/>
          <w:sz w:val="28"/>
          <w:szCs w:val="28"/>
        </w:rPr>
      </w:pPr>
      <w:bookmarkStart w:id="6" w:name="_Toc483414851"/>
      <w:r>
        <w:rPr>
          <w:rFonts w:asciiTheme="majorHAnsi" w:eastAsiaTheme="majorEastAsia" w:hAnsiTheme="majorHAnsi" w:cstheme="majorBidi"/>
          <w:b/>
          <w:bCs/>
          <w:caps/>
          <w:color w:val="FFFFFF" w:themeColor="background1"/>
          <w:sz w:val="28"/>
          <w:szCs w:val="28"/>
        </w:rPr>
        <w:t>STATE OF GOOD REPAIR</w:t>
      </w:r>
      <w:bookmarkEnd w:id="6"/>
    </w:p>
    <w:tbl>
      <w:tblPr>
        <w:tblStyle w:val="MediumShading1-Accent6"/>
        <w:tblW w:w="10350" w:type="dxa"/>
        <w:tblInd w:w="108" w:type="dxa"/>
        <w:tblLayout w:type="fixed"/>
        <w:tblLook w:val="04A0" w:firstRow="1" w:lastRow="0" w:firstColumn="1" w:lastColumn="0" w:noHBand="0" w:noVBand="1"/>
        <w:tblCaption w:val="State of Good Repair"/>
        <w:tblDescription w:val="Summary Performance Report"/>
      </w:tblPr>
      <w:tblGrid>
        <w:gridCol w:w="3150"/>
        <w:gridCol w:w="900"/>
        <w:gridCol w:w="810"/>
        <w:gridCol w:w="900"/>
        <w:gridCol w:w="900"/>
        <w:gridCol w:w="900"/>
        <w:gridCol w:w="900"/>
        <w:gridCol w:w="810"/>
        <w:gridCol w:w="1080"/>
      </w:tblGrid>
      <w:tr w:rsidR="003A5864" w14:paraId="48E1EE4E" w14:textId="77777777" w:rsidTr="007770EE">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000" w:firstRow="0" w:lastRow="0" w:firstColumn="1" w:lastColumn="0" w:oddVBand="0" w:evenVBand="0" w:oddHBand="0" w:evenHBand="0" w:firstRowFirstColumn="0" w:firstRowLastColumn="0" w:lastRowFirstColumn="0" w:lastRowLastColumn="0"/>
            <w:tcW w:w="3150" w:type="dxa"/>
            <w:tcBorders>
              <w:top w:val="none" w:sz="0" w:space="0" w:color="auto"/>
              <w:left w:val="none" w:sz="0" w:space="0" w:color="auto"/>
              <w:bottom w:val="nil"/>
              <w:right w:val="none" w:sz="0" w:space="0" w:color="auto"/>
            </w:tcBorders>
            <w:vAlign w:val="center"/>
          </w:tcPr>
          <w:p w14:paraId="24899E92" w14:textId="77777777" w:rsidR="003A5864" w:rsidRPr="003D45D0" w:rsidRDefault="003A5864" w:rsidP="003A030B">
            <w:pPr>
              <w:jc w:val="center"/>
              <w:rPr>
                <w:sz w:val="20"/>
                <w:szCs w:val="20"/>
              </w:rPr>
            </w:pPr>
            <w:r w:rsidRPr="003D45D0">
              <w:rPr>
                <w:sz w:val="20"/>
                <w:szCs w:val="20"/>
              </w:rPr>
              <w:t>Performance Measure</w:t>
            </w:r>
          </w:p>
        </w:tc>
        <w:tc>
          <w:tcPr>
            <w:tcW w:w="900" w:type="dxa"/>
            <w:tcBorders>
              <w:top w:val="none" w:sz="0" w:space="0" w:color="auto"/>
              <w:left w:val="none" w:sz="0" w:space="0" w:color="auto"/>
              <w:bottom w:val="nil"/>
              <w:right w:val="none" w:sz="0" w:space="0" w:color="auto"/>
            </w:tcBorders>
            <w:vAlign w:val="center"/>
          </w:tcPr>
          <w:p w14:paraId="4E95060E" w14:textId="2F53B739" w:rsidR="003A5864" w:rsidRPr="003D45D0" w:rsidRDefault="004D6430" w:rsidP="003A030B">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2011</w:t>
            </w:r>
          </w:p>
        </w:tc>
        <w:tc>
          <w:tcPr>
            <w:tcW w:w="810" w:type="dxa"/>
            <w:tcBorders>
              <w:top w:val="none" w:sz="0" w:space="0" w:color="auto"/>
              <w:left w:val="none" w:sz="0" w:space="0" w:color="auto"/>
              <w:bottom w:val="nil"/>
              <w:right w:val="none" w:sz="0" w:space="0" w:color="auto"/>
            </w:tcBorders>
            <w:vAlign w:val="center"/>
          </w:tcPr>
          <w:p w14:paraId="461617B5" w14:textId="1C8B7399" w:rsidR="003A5864" w:rsidRPr="003D45D0" w:rsidRDefault="004D6430" w:rsidP="003A030B">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2012</w:t>
            </w:r>
          </w:p>
        </w:tc>
        <w:tc>
          <w:tcPr>
            <w:tcW w:w="900" w:type="dxa"/>
            <w:tcBorders>
              <w:top w:val="none" w:sz="0" w:space="0" w:color="auto"/>
              <w:left w:val="none" w:sz="0" w:space="0" w:color="auto"/>
              <w:bottom w:val="nil"/>
              <w:right w:val="none" w:sz="0" w:space="0" w:color="auto"/>
            </w:tcBorders>
            <w:vAlign w:val="center"/>
          </w:tcPr>
          <w:p w14:paraId="589865AD" w14:textId="650DC9A2" w:rsidR="003A5864" w:rsidRPr="003D45D0" w:rsidRDefault="004D6430" w:rsidP="003A030B">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2013</w:t>
            </w:r>
          </w:p>
        </w:tc>
        <w:tc>
          <w:tcPr>
            <w:tcW w:w="900" w:type="dxa"/>
            <w:tcBorders>
              <w:top w:val="none" w:sz="0" w:space="0" w:color="auto"/>
              <w:left w:val="none" w:sz="0" w:space="0" w:color="auto"/>
              <w:bottom w:val="nil"/>
              <w:right w:val="none" w:sz="0" w:space="0" w:color="auto"/>
            </w:tcBorders>
            <w:vAlign w:val="center"/>
          </w:tcPr>
          <w:p w14:paraId="69817F67" w14:textId="2079A7E8" w:rsidR="003A5864" w:rsidRPr="003D45D0" w:rsidRDefault="004D6430" w:rsidP="003A030B">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2014</w:t>
            </w:r>
          </w:p>
        </w:tc>
        <w:tc>
          <w:tcPr>
            <w:tcW w:w="900" w:type="dxa"/>
            <w:tcBorders>
              <w:top w:val="none" w:sz="0" w:space="0" w:color="auto"/>
              <w:left w:val="none" w:sz="0" w:space="0" w:color="auto"/>
              <w:bottom w:val="nil"/>
              <w:right w:val="none" w:sz="0" w:space="0" w:color="auto"/>
            </w:tcBorders>
            <w:vAlign w:val="center"/>
          </w:tcPr>
          <w:p w14:paraId="28017F4A" w14:textId="145AEF49" w:rsidR="003A5864" w:rsidRPr="003D45D0" w:rsidRDefault="004D6430" w:rsidP="003A030B">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2015</w:t>
            </w:r>
          </w:p>
        </w:tc>
        <w:tc>
          <w:tcPr>
            <w:tcW w:w="900" w:type="dxa"/>
            <w:tcBorders>
              <w:top w:val="none" w:sz="0" w:space="0" w:color="auto"/>
              <w:left w:val="none" w:sz="0" w:space="0" w:color="auto"/>
              <w:bottom w:val="nil"/>
              <w:right w:val="none" w:sz="0" w:space="0" w:color="auto"/>
            </w:tcBorders>
            <w:vAlign w:val="center"/>
          </w:tcPr>
          <w:p w14:paraId="5C7D10CC" w14:textId="5CB6A71A" w:rsidR="003A5864" w:rsidRPr="003D45D0" w:rsidRDefault="004D6430" w:rsidP="003A030B">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2016</w:t>
            </w:r>
            <w:r w:rsidR="003A5864" w:rsidRPr="003D45D0">
              <w:rPr>
                <w:sz w:val="20"/>
                <w:szCs w:val="20"/>
              </w:rPr>
              <w:t xml:space="preserve"> Target</w:t>
            </w:r>
          </w:p>
        </w:tc>
        <w:tc>
          <w:tcPr>
            <w:tcW w:w="810" w:type="dxa"/>
            <w:tcBorders>
              <w:top w:val="none" w:sz="0" w:space="0" w:color="auto"/>
              <w:left w:val="none" w:sz="0" w:space="0" w:color="auto"/>
              <w:bottom w:val="nil"/>
              <w:right w:val="none" w:sz="0" w:space="0" w:color="auto"/>
            </w:tcBorders>
            <w:vAlign w:val="center"/>
          </w:tcPr>
          <w:p w14:paraId="44FA56EC" w14:textId="3433F192" w:rsidR="003A5864" w:rsidRPr="003D45D0" w:rsidRDefault="004D6430" w:rsidP="003A030B">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2016</w:t>
            </w:r>
            <w:r w:rsidR="003A5864" w:rsidRPr="003D45D0">
              <w:rPr>
                <w:sz w:val="20"/>
                <w:szCs w:val="20"/>
              </w:rPr>
              <w:t xml:space="preserve"> Actual</w:t>
            </w:r>
          </w:p>
        </w:tc>
        <w:tc>
          <w:tcPr>
            <w:tcW w:w="1080" w:type="dxa"/>
            <w:tcBorders>
              <w:top w:val="none" w:sz="0" w:space="0" w:color="auto"/>
              <w:left w:val="none" w:sz="0" w:space="0" w:color="auto"/>
              <w:bottom w:val="nil"/>
              <w:right w:val="none" w:sz="0" w:space="0" w:color="auto"/>
            </w:tcBorders>
            <w:vAlign w:val="center"/>
          </w:tcPr>
          <w:p w14:paraId="52E57C64" w14:textId="477533B5" w:rsidR="003A5864" w:rsidRPr="003D45D0" w:rsidRDefault="0053497C" w:rsidP="003A030B">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Result</w:t>
            </w:r>
          </w:p>
        </w:tc>
      </w:tr>
      <w:tr w:rsidR="00AD3A55" w14:paraId="5C8B1D40" w14:textId="77777777" w:rsidTr="007770E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150" w:type="dxa"/>
            <w:tcBorders>
              <w:top w:val="nil"/>
              <w:left w:val="nil"/>
              <w:bottom w:val="nil"/>
              <w:right w:val="none" w:sz="0" w:space="0" w:color="auto"/>
            </w:tcBorders>
          </w:tcPr>
          <w:p w14:paraId="1E800858" w14:textId="758DB80C" w:rsidR="00AD3A55" w:rsidRPr="00996C0B" w:rsidRDefault="00AD3A55" w:rsidP="0007415A">
            <w:pPr>
              <w:spacing w:before="120"/>
              <w:rPr>
                <w:b w:val="0"/>
                <w:sz w:val="20"/>
                <w:szCs w:val="20"/>
              </w:rPr>
            </w:pPr>
            <w:r>
              <w:rPr>
                <w:b w:val="0"/>
                <w:sz w:val="20"/>
                <w:szCs w:val="20"/>
              </w:rPr>
              <w:t>Roadway: Percent of VMT on National Highway System (NHS) with good to vary good ride quality.</w:t>
            </w:r>
            <w:r w:rsidR="00487D63">
              <w:rPr>
                <w:b w:val="0"/>
                <w:sz w:val="20"/>
                <w:szCs w:val="20"/>
              </w:rPr>
              <w:t>(FHWA)</w:t>
            </w:r>
            <w:r w:rsidR="00187330">
              <w:rPr>
                <w:b w:val="0"/>
                <w:sz w:val="20"/>
                <w:szCs w:val="20"/>
              </w:rPr>
              <w:br/>
              <w:t>(r) Revised</w:t>
            </w:r>
          </w:p>
        </w:tc>
        <w:tc>
          <w:tcPr>
            <w:tcW w:w="900" w:type="dxa"/>
            <w:tcBorders>
              <w:top w:val="nil"/>
              <w:left w:val="none" w:sz="0" w:space="0" w:color="auto"/>
              <w:bottom w:val="nil"/>
              <w:right w:val="none" w:sz="0" w:space="0" w:color="auto"/>
            </w:tcBorders>
            <w:vAlign w:val="center"/>
          </w:tcPr>
          <w:p w14:paraId="30CCE1ED" w14:textId="6D85599D" w:rsidR="00AD3A55" w:rsidRPr="00996C0B" w:rsidRDefault="00AD3A55" w:rsidP="0007415A">
            <w:pPr>
              <w:spacing w:before="120"/>
              <w:ind w:left="-2088" w:firstLine="2088"/>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54.3% (r)</w:t>
            </w:r>
          </w:p>
        </w:tc>
        <w:tc>
          <w:tcPr>
            <w:tcW w:w="810" w:type="dxa"/>
            <w:tcBorders>
              <w:top w:val="nil"/>
              <w:left w:val="none" w:sz="0" w:space="0" w:color="auto"/>
              <w:bottom w:val="nil"/>
              <w:right w:val="none" w:sz="0" w:space="0" w:color="auto"/>
            </w:tcBorders>
            <w:vAlign w:val="center"/>
          </w:tcPr>
          <w:p w14:paraId="3F03FF4A" w14:textId="2FCBDAE4" w:rsidR="00AD3A55" w:rsidRPr="00996C0B" w:rsidRDefault="00AD3A55"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57.1% (r)</w:t>
            </w:r>
          </w:p>
        </w:tc>
        <w:tc>
          <w:tcPr>
            <w:tcW w:w="900" w:type="dxa"/>
            <w:tcBorders>
              <w:top w:val="nil"/>
              <w:left w:val="none" w:sz="0" w:space="0" w:color="auto"/>
              <w:bottom w:val="nil"/>
              <w:right w:val="none" w:sz="0" w:space="0" w:color="auto"/>
            </w:tcBorders>
            <w:vAlign w:val="center"/>
          </w:tcPr>
          <w:p w14:paraId="17658A95" w14:textId="3A99243C" w:rsidR="00AD3A55" w:rsidRPr="00996C0B" w:rsidRDefault="00AD3A55"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57.7% (r)</w:t>
            </w:r>
          </w:p>
        </w:tc>
        <w:tc>
          <w:tcPr>
            <w:tcW w:w="900" w:type="dxa"/>
            <w:tcBorders>
              <w:top w:val="nil"/>
              <w:left w:val="none" w:sz="0" w:space="0" w:color="auto"/>
              <w:bottom w:val="nil"/>
              <w:right w:val="none" w:sz="0" w:space="0" w:color="auto"/>
            </w:tcBorders>
            <w:vAlign w:val="center"/>
          </w:tcPr>
          <w:p w14:paraId="2D8241A8" w14:textId="200FEF9C" w:rsidR="00AD3A55" w:rsidRPr="00996C0B" w:rsidRDefault="00AD3A55"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58.7%</w:t>
            </w:r>
          </w:p>
        </w:tc>
        <w:tc>
          <w:tcPr>
            <w:tcW w:w="900" w:type="dxa"/>
            <w:tcBorders>
              <w:top w:val="nil"/>
              <w:left w:val="none" w:sz="0" w:space="0" w:color="auto"/>
              <w:bottom w:val="nil"/>
              <w:right w:val="none" w:sz="0" w:space="0" w:color="auto"/>
            </w:tcBorders>
            <w:vAlign w:val="center"/>
          </w:tcPr>
          <w:p w14:paraId="791DA777" w14:textId="6B631702" w:rsidR="00AD3A55" w:rsidRPr="00996C0B" w:rsidRDefault="004D6430"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60.3%</w:t>
            </w:r>
          </w:p>
        </w:tc>
        <w:tc>
          <w:tcPr>
            <w:tcW w:w="900" w:type="dxa"/>
            <w:tcBorders>
              <w:top w:val="nil"/>
              <w:left w:val="none" w:sz="0" w:space="0" w:color="auto"/>
              <w:bottom w:val="nil"/>
              <w:right w:val="none" w:sz="0" w:space="0" w:color="auto"/>
            </w:tcBorders>
            <w:vAlign w:val="center"/>
          </w:tcPr>
          <w:p w14:paraId="01AE6D7B" w14:textId="6E9E5DD8" w:rsidR="00AD3A55" w:rsidRPr="00996C0B" w:rsidRDefault="004D6430"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61.4%</w:t>
            </w:r>
          </w:p>
        </w:tc>
        <w:tc>
          <w:tcPr>
            <w:tcW w:w="810" w:type="dxa"/>
            <w:tcBorders>
              <w:top w:val="nil"/>
              <w:left w:val="none" w:sz="0" w:space="0" w:color="auto"/>
              <w:bottom w:val="nil"/>
              <w:right w:val="none" w:sz="0" w:space="0" w:color="auto"/>
            </w:tcBorders>
            <w:vAlign w:val="center"/>
          </w:tcPr>
          <w:p w14:paraId="1BAAB4DE" w14:textId="79234C4F" w:rsidR="00AD3A55" w:rsidRPr="00996C0B" w:rsidRDefault="004D6430"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62.8%</w:t>
            </w:r>
          </w:p>
        </w:tc>
        <w:tc>
          <w:tcPr>
            <w:tcW w:w="1080" w:type="dxa"/>
            <w:tcBorders>
              <w:top w:val="nil"/>
              <w:left w:val="none" w:sz="0" w:space="0" w:color="auto"/>
              <w:bottom w:val="nil"/>
              <w:right w:val="nil"/>
            </w:tcBorders>
            <w:vAlign w:val="center"/>
          </w:tcPr>
          <w:p w14:paraId="7EE9706E" w14:textId="11F344DF" w:rsidR="00AD3A55" w:rsidRPr="00996C0B" w:rsidRDefault="004D6430"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Met</w:t>
            </w:r>
          </w:p>
        </w:tc>
      </w:tr>
      <w:tr w:rsidR="00AD3A55" w14:paraId="4214BD6F" w14:textId="77777777" w:rsidTr="007770EE">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150" w:type="dxa"/>
            <w:tcBorders>
              <w:top w:val="nil"/>
              <w:left w:val="nil"/>
              <w:bottom w:val="nil"/>
              <w:right w:val="none" w:sz="0" w:space="0" w:color="auto"/>
            </w:tcBorders>
          </w:tcPr>
          <w:p w14:paraId="5FEE12AA" w14:textId="1842F27E" w:rsidR="00AD3A55" w:rsidRPr="00996C0B" w:rsidRDefault="00AD3A55" w:rsidP="0007415A">
            <w:pPr>
              <w:spacing w:before="120"/>
              <w:rPr>
                <w:b w:val="0"/>
                <w:sz w:val="20"/>
                <w:szCs w:val="20"/>
              </w:rPr>
            </w:pPr>
            <w:r>
              <w:rPr>
                <w:b w:val="0"/>
                <w:sz w:val="20"/>
                <w:szCs w:val="20"/>
              </w:rPr>
              <w:t xml:space="preserve">Roadway: </w:t>
            </w:r>
            <w:r w:rsidRPr="00F90609">
              <w:rPr>
                <w:b w:val="0"/>
                <w:sz w:val="20"/>
                <w:szCs w:val="20"/>
              </w:rPr>
              <w:t>Percent of Deck Area on NHS Structurally Deficient Bridges.</w:t>
            </w:r>
            <w:r w:rsidR="00D95848">
              <w:rPr>
                <w:b w:val="0"/>
                <w:sz w:val="20"/>
                <w:szCs w:val="20"/>
              </w:rPr>
              <w:t xml:space="preserve"> (FWHA)</w:t>
            </w:r>
          </w:p>
        </w:tc>
        <w:tc>
          <w:tcPr>
            <w:tcW w:w="900" w:type="dxa"/>
            <w:tcBorders>
              <w:top w:val="nil"/>
              <w:left w:val="none" w:sz="0" w:space="0" w:color="auto"/>
              <w:bottom w:val="nil"/>
              <w:right w:val="none" w:sz="0" w:space="0" w:color="auto"/>
            </w:tcBorders>
            <w:vAlign w:val="center"/>
          </w:tcPr>
          <w:p w14:paraId="4B4EEB9C" w14:textId="157CD310" w:rsidR="00AD3A55" w:rsidRPr="00EC2DFD" w:rsidRDefault="00AD3A55" w:rsidP="0007415A">
            <w:pPr>
              <w:spacing w:before="12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rPr>
            </w:pPr>
            <w:r w:rsidRPr="00EC2DFD">
              <w:rPr>
                <w:rFonts w:eastAsia="Times New Roman" w:cs="Times New Roman"/>
                <w:sz w:val="18"/>
                <w:szCs w:val="18"/>
              </w:rPr>
              <w:t>7.8%</w:t>
            </w:r>
          </w:p>
        </w:tc>
        <w:tc>
          <w:tcPr>
            <w:tcW w:w="810" w:type="dxa"/>
            <w:tcBorders>
              <w:top w:val="nil"/>
              <w:left w:val="none" w:sz="0" w:space="0" w:color="auto"/>
              <w:bottom w:val="nil"/>
              <w:right w:val="none" w:sz="0" w:space="0" w:color="auto"/>
            </w:tcBorders>
            <w:vAlign w:val="center"/>
          </w:tcPr>
          <w:p w14:paraId="2DB19012" w14:textId="70B9C887" w:rsidR="00AD3A55" w:rsidRPr="00EC2DFD" w:rsidRDefault="00AD3A55" w:rsidP="0007415A">
            <w:pPr>
              <w:spacing w:before="12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rPr>
            </w:pPr>
            <w:r w:rsidRPr="00EC2DFD">
              <w:rPr>
                <w:rFonts w:eastAsia="Times New Roman" w:cs="Times New Roman"/>
                <w:sz w:val="18"/>
                <w:szCs w:val="18"/>
              </w:rPr>
              <w:t>7.1%</w:t>
            </w:r>
          </w:p>
        </w:tc>
        <w:tc>
          <w:tcPr>
            <w:tcW w:w="900" w:type="dxa"/>
            <w:tcBorders>
              <w:top w:val="nil"/>
              <w:left w:val="none" w:sz="0" w:space="0" w:color="auto"/>
              <w:bottom w:val="nil"/>
              <w:right w:val="none" w:sz="0" w:space="0" w:color="auto"/>
            </w:tcBorders>
            <w:vAlign w:val="center"/>
          </w:tcPr>
          <w:p w14:paraId="0FF0D88F" w14:textId="6FB706CB" w:rsidR="00AD3A55" w:rsidRPr="00EC2DFD" w:rsidRDefault="00AD3A55" w:rsidP="0007415A">
            <w:pPr>
              <w:spacing w:before="12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rPr>
            </w:pPr>
            <w:r w:rsidRPr="00EC2DFD">
              <w:rPr>
                <w:rFonts w:eastAsia="Times New Roman" w:cs="Times New Roman"/>
                <w:sz w:val="18"/>
                <w:szCs w:val="18"/>
              </w:rPr>
              <w:t>6.8%</w:t>
            </w:r>
          </w:p>
        </w:tc>
        <w:tc>
          <w:tcPr>
            <w:tcW w:w="900" w:type="dxa"/>
            <w:tcBorders>
              <w:top w:val="nil"/>
              <w:left w:val="none" w:sz="0" w:space="0" w:color="auto"/>
              <w:bottom w:val="nil"/>
              <w:right w:val="none" w:sz="0" w:space="0" w:color="auto"/>
            </w:tcBorders>
            <w:vAlign w:val="center"/>
          </w:tcPr>
          <w:p w14:paraId="05FD199D" w14:textId="07D0435A" w:rsidR="00AD3A55" w:rsidRPr="00EC2DFD" w:rsidRDefault="00AD3A55" w:rsidP="0007415A">
            <w:pPr>
              <w:spacing w:before="12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rPr>
            </w:pPr>
            <w:r w:rsidRPr="00EC2DFD">
              <w:rPr>
                <w:rFonts w:eastAsia="Times New Roman" w:cs="Times New Roman"/>
                <w:sz w:val="18"/>
                <w:szCs w:val="18"/>
              </w:rPr>
              <w:t>6.0%</w:t>
            </w:r>
          </w:p>
        </w:tc>
        <w:tc>
          <w:tcPr>
            <w:tcW w:w="900" w:type="dxa"/>
            <w:tcBorders>
              <w:top w:val="nil"/>
              <w:left w:val="none" w:sz="0" w:space="0" w:color="auto"/>
              <w:bottom w:val="nil"/>
              <w:right w:val="none" w:sz="0" w:space="0" w:color="auto"/>
            </w:tcBorders>
            <w:vAlign w:val="center"/>
          </w:tcPr>
          <w:p w14:paraId="59CC5727" w14:textId="53AE9342" w:rsidR="00AD3A55" w:rsidRPr="00EC2DFD" w:rsidRDefault="004D6430" w:rsidP="0007415A">
            <w:pPr>
              <w:spacing w:before="12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rPr>
            </w:pPr>
            <w:r>
              <w:rPr>
                <w:rFonts w:eastAsia="Times New Roman" w:cs="Times New Roman"/>
                <w:sz w:val="18"/>
                <w:szCs w:val="18"/>
              </w:rPr>
              <w:t>5.9</w:t>
            </w:r>
            <w:r w:rsidR="00AD3A55" w:rsidRPr="00EC2DFD">
              <w:rPr>
                <w:rFonts w:eastAsia="Times New Roman" w:cs="Times New Roman"/>
                <w:sz w:val="18"/>
                <w:szCs w:val="18"/>
              </w:rPr>
              <w:t>%</w:t>
            </w:r>
          </w:p>
        </w:tc>
        <w:tc>
          <w:tcPr>
            <w:tcW w:w="900" w:type="dxa"/>
            <w:tcBorders>
              <w:top w:val="nil"/>
              <w:left w:val="none" w:sz="0" w:space="0" w:color="auto"/>
              <w:bottom w:val="nil"/>
              <w:right w:val="none" w:sz="0" w:space="0" w:color="auto"/>
            </w:tcBorders>
            <w:vAlign w:val="center"/>
          </w:tcPr>
          <w:p w14:paraId="0F385913" w14:textId="7BC9245F" w:rsidR="00AD3A55" w:rsidRPr="00EC2DFD" w:rsidRDefault="004D6430" w:rsidP="0007415A">
            <w:pPr>
              <w:spacing w:before="12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rPr>
            </w:pPr>
            <w:r>
              <w:rPr>
                <w:rFonts w:eastAsia="Times New Roman" w:cs="Times New Roman"/>
                <w:sz w:val="18"/>
                <w:szCs w:val="18"/>
              </w:rPr>
              <w:t>5.5%</w:t>
            </w:r>
          </w:p>
        </w:tc>
        <w:tc>
          <w:tcPr>
            <w:tcW w:w="810" w:type="dxa"/>
            <w:tcBorders>
              <w:top w:val="nil"/>
              <w:left w:val="none" w:sz="0" w:space="0" w:color="auto"/>
              <w:bottom w:val="nil"/>
              <w:right w:val="none" w:sz="0" w:space="0" w:color="auto"/>
            </w:tcBorders>
            <w:vAlign w:val="center"/>
          </w:tcPr>
          <w:p w14:paraId="7FBDE293" w14:textId="779C439A" w:rsidR="00AD3A55" w:rsidRPr="00EC2DFD" w:rsidRDefault="004D6430" w:rsidP="0007415A">
            <w:pPr>
              <w:spacing w:before="12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18"/>
                <w:szCs w:val="18"/>
              </w:rPr>
            </w:pPr>
            <w:r>
              <w:rPr>
                <w:rFonts w:eastAsia="Times New Roman" w:cs="Times New Roman"/>
                <w:sz w:val="18"/>
                <w:szCs w:val="18"/>
              </w:rPr>
              <w:t>5.3%</w:t>
            </w:r>
          </w:p>
        </w:tc>
        <w:tc>
          <w:tcPr>
            <w:tcW w:w="1080" w:type="dxa"/>
            <w:tcBorders>
              <w:top w:val="nil"/>
              <w:left w:val="none" w:sz="0" w:space="0" w:color="auto"/>
              <w:bottom w:val="nil"/>
              <w:right w:val="nil"/>
            </w:tcBorders>
            <w:vAlign w:val="center"/>
          </w:tcPr>
          <w:p w14:paraId="32AA15D8" w14:textId="77777777" w:rsidR="00AD3A55" w:rsidRPr="00996C0B" w:rsidRDefault="00AD3A55"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Met</w:t>
            </w:r>
          </w:p>
        </w:tc>
      </w:tr>
      <w:tr w:rsidR="004F46A5" w14:paraId="132755DD" w14:textId="77777777" w:rsidTr="007770EE">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150" w:type="dxa"/>
            <w:tcBorders>
              <w:top w:val="nil"/>
              <w:left w:val="nil"/>
              <w:bottom w:val="nil"/>
              <w:right w:val="none" w:sz="0" w:space="0" w:color="auto"/>
            </w:tcBorders>
          </w:tcPr>
          <w:p w14:paraId="30B42D7B" w14:textId="5B5D7B5A" w:rsidR="004F46A5" w:rsidRPr="00996C0B" w:rsidRDefault="004F46A5" w:rsidP="0007415A">
            <w:pPr>
              <w:spacing w:before="120"/>
              <w:rPr>
                <w:b w:val="0"/>
                <w:sz w:val="20"/>
                <w:szCs w:val="20"/>
              </w:rPr>
            </w:pPr>
            <w:r>
              <w:rPr>
                <w:b w:val="0"/>
                <w:sz w:val="20"/>
                <w:szCs w:val="20"/>
              </w:rPr>
              <w:t xml:space="preserve">Transit: Backlog of transit capital assets in need of replacement or refurbishment. </w:t>
            </w:r>
            <w:r w:rsidR="00D95848">
              <w:rPr>
                <w:b w:val="0"/>
                <w:sz w:val="20"/>
                <w:szCs w:val="20"/>
              </w:rPr>
              <w:t xml:space="preserve">(FTA) </w:t>
            </w:r>
            <w:r w:rsidRPr="00F90609">
              <w:rPr>
                <w:b w:val="0"/>
                <w:i/>
                <w:sz w:val="20"/>
                <w:szCs w:val="20"/>
              </w:rPr>
              <w:t>Biennial measure.</w:t>
            </w:r>
          </w:p>
        </w:tc>
        <w:tc>
          <w:tcPr>
            <w:tcW w:w="900" w:type="dxa"/>
            <w:tcBorders>
              <w:top w:val="nil"/>
              <w:left w:val="none" w:sz="0" w:space="0" w:color="auto"/>
              <w:bottom w:val="nil"/>
              <w:right w:val="none" w:sz="0" w:space="0" w:color="auto"/>
            </w:tcBorders>
            <w:shd w:val="clear" w:color="auto" w:fill="FDE9D9" w:themeFill="accent6" w:themeFillTint="33"/>
            <w:vAlign w:val="center"/>
          </w:tcPr>
          <w:p w14:paraId="0B419F94" w14:textId="40F764F4" w:rsidR="004F46A5" w:rsidRPr="004F46A5" w:rsidRDefault="004F46A5"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F46A5">
              <w:rPr>
                <w:rFonts w:cs="Times New Roman"/>
                <w:sz w:val="20"/>
                <w:szCs w:val="20"/>
              </w:rPr>
              <w:t>$77.7 billion</w:t>
            </w:r>
          </w:p>
        </w:tc>
        <w:tc>
          <w:tcPr>
            <w:tcW w:w="810" w:type="dxa"/>
            <w:tcBorders>
              <w:top w:val="nil"/>
              <w:left w:val="none" w:sz="0" w:space="0" w:color="auto"/>
              <w:bottom w:val="nil"/>
              <w:right w:val="none" w:sz="0" w:space="0" w:color="auto"/>
            </w:tcBorders>
            <w:shd w:val="clear" w:color="auto" w:fill="FDE9D9" w:themeFill="accent6" w:themeFillTint="33"/>
            <w:vAlign w:val="center"/>
          </w:tcPr>
          <w:p w14:paraId="6F93A6B6" w14:textId="169252D5" w:rsidR="004F46A5" w:rsidRPr="004F46A5" w:rsidRDefault="004F46A5"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F46A5">
              <w:rPr>
                <w:rFonts w:cs="Times New Roman"/>
                <w:sz w:val="20"/>
                <w:szCs w:val="20"/>
              </w:rPr>
              <w:t>No data</w:t>
            </w:r>
          </w:p>
        </w:tc>
        <w:tc>
          <w:tcPr>
            <w:tcW w:w="900" w:type="dxa"/>
            <w:tcBorders>
              <w:top w:val="nil"/>
              <w:left w:val="none" w:sz="0" w:space="0" w:color="auto"/>
              <w:bottom w:val="nil"/>
              <w:right w:val="none" w:sz="0" w:space="0" w:color="auto"/>
            </w:tcBorders>
            <w:shd w:val="clear" w:color="auto" w:fill="FDE9D9" w:themeFill="accent6" w:themeFillTint="33"/>
            <w:vAlign w:val="center"/>
          </w:tcPr>
          <w:p w14:paraId="0E6F8BEE" w14:textId="05F03A7F" w:rsidR="004F46A5" w:rsidRPr="004F46A5" w:rsidRDefault="004F46A5"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F46A5">
              <w:rPr>
                <w:rFonts w:cs="Times New Roman"/>
                <w:sz w:val="20"/>
                <w:szCs w:val="20"/>
              </w:rPr>
              <w:t>$85.9 billion</w:t>
            </w:r>
          </w:p>
        </w:tc>
        <w:tc>
          <w:tcPr>
            <w:tcW w:w="900" w:type="dxa"/>
            <w:tcBorders>
              <w:top w:val="nil"/>
              <w:left w:val="none" w:sz="0" w:space="0" w:color="auto"/>
              <w:bottom w:val="nil"/>
              <w:right w:val="none" w:sz="0" w:space="0" w:color="auto"/>
            </w:tcBorders>
            <w:shd w:val="clear" w:color="auto" w:fill="FDE9D9" w:themeFill="accent6" w:themeFillTint="33"/>
            <w:vAlign w:val="center"/>
          </w:tcPr>
          <w:p w14:paraId="6857EE05" w14:textId="73EE67F3" w:rsidR="004F46A5" w:rsidRPr="004F46A5" w:rsidRDefault="004F46A5"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F46A5">
              <w:rPr>
                <w:rFonts w:cs="Times New Roman"/>
                <w:sz w:val="20"/>
                <w:szCs w:val="20"/>
              </w:rPr>
              <w:t>No data</w:t>
            </w:r>
          </w:p>
        </w:tc>
        <w:tc>
          <w:tcPr>
            <w:tcW w:w="900" w:type="dxa"/>
            <w:tcBorders>
              <w:top w:val="nil"/>
              <w:left w:val="none" w:sz="0" w:space="0" w:color="auto"/>
              <w:bottom w:val="nil"/>
              <w:right w:val="none" w:sz="0" w:space="0" w:color="auto"/>
            </w:tcBorders>
            <w:shd w:val="clear" w:color="auto" w:fill="FDE9D9" w:themeFill="accent6" w:themeFillTint="33"/>
            <w:vAlign w:val="center"/>
          </w:tcPr>
          <w:p w14:paraId="10531760" w14:textId="2FFAC49C" w:rsidR="004F46A5" w:rsidRPr="004F46A5" w:rsidRDefault="004F46A5"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F46A5">
              <w:rPr>
                <w:rFonts w:cs="Times New Roman"/>
                <w:sz w:val="20"/>
                <w:szCs w:val="20"/>
              </w:rPr>
              <w:t>$89.8 billion</w:t>
            </w:r>
          </w:p>
        </w:tc>
        <w:tc>
          <w:tcPr>
            <w:tcW w:w="900" w:type="dxa"/>
            <w:tcBorders>
              <w:top w:val="nil"/>
              <w:left w:val="none" w:sz="0" w:space="0" w:color="auto"/>
              <w:bottom w:val="nil"/>
              <w:right w:val="none" w:sz="0" w:space="0" w:color="auto"/>
            </w:tcBorders>
            <w:shd w:val="clear" w:color="auto" w:fill="FDE9D9" w:themeFill="accent6" w:themeFillTint="33"/>
            <w:vAlign w:val="center"/>
          </w:tcPr>
          <w:p w14:paraId="5EB48462" w14:textId="4255570F" w:rsidR="004F46A5" w:rsidRPr="004F46A5" w:rsidRDefault="004F46A5"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F46A5">
              <w:rPr>
                <w:rFonts w:cs="Times New Roman"/>
                <w:sz w:val="20"/>
                <w:szCs w:val="20"/>
              </w:rPr>
              <w:t>$98 billion</w:t>
            </w:r>
          </w:p>
        </w:tc>
        <w:tc>
          <w:tcPr>
            <w:tcW w:w="810" w:type="dxa"/>
            <w:tcBorders>
              <w:top w:val="nil"/>
              <w:left w:val="none" w:sz="0" w:space="0" w:color="auto"/>
              <w:bottom w:val="nil"/>
              <w:right w:val="none" w:sz="0" w:space="0" w:color="auto"/>
            </w:tcBorders>
            <w:shd w:val="clear" w:color="auto" w:fill="FDE9D9" w:themeFill="accent6" w:themeFillTint="33"/>
            <w:vAlign w:val="center"/>
          </w:tcPr>
          <w:p w14:paraId="4E477A85" w14:textId="5EF9B1BD" w:rsidR="004F46A5" w:rsidRPr="004F46A5" w:rsidRDefault="004F46A5"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F46A5">
              <w:rPr>
                <w:rFonts w:cs="Times New Roman"/>
                <w:sz w:val="20"/>
                <w:szCs w:val="20"/>
              </w:rPr>
              <w:t>NA</w:t>
            </w:r>
          </w:p>
        </w:tc>
        <w:tc>
          <w:tcPr>
            <w:tcW w:w="1080" w:type="dxa"/>
            <w:tcBorders>
              <w:top w:val="nil"/>
              <w:left w:val="none" w:sz="0" w:space="0" w:color="auto"/>
              <w:bottom w:val="nil"/>
              <w:right w:val="nil"/>
            </w:tcBorders>
            <w:shd w:val="clear" w:color="auto" w:fill="FDE9D9" w:themeFill="accent6" w:themeFillTint="33"/>
            <w:vAlign w:val="center"/>
          </w:tcPr>
          <w:p w14:paraId="27340EC5" w14:textId="11D9ACB2" w:rsidR="004F46A5" w:rsidRPr="004F46A5" w:rsidRDefault="004F46A5"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F46A5">
              <w:rPr>
                <w:rFonts w:eastAsiaTheme="minorEastAsia" w:cs="Times New Roman"/>
                <w:sz w:val="18"/>
                <w:szCs w:val="18"/>
                <w:lang w:eastAsia="zh-CN"/>
              </w:rPr>
              <w:t>Met</w:t>
            </w:r>
          </w:p>
        </w:tc>
      </w:tr>
      <w:tr w:rsidR="004F46A5" w14:paraId="4292CAE8" w14:textId="77777777" w:rsidTr="007770EE">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150" w:type="dxa"/>
            <w:tcBorders>
              <w:top w:val="nil"/>
              <w:left w:val="nil"/>
              <w:bottom w:val="nil"/>
              <w:right w:val="none" w:sz="0" w:space="0" w:color="auto"/>
            </w:tcBorders>
            <w:shd w:val="clear" w:color="auto" w:fill="auto"/>
          </w:tcPr>
          <w:p w14:paraId="6715BEE6" w14:textId="2C5212A6" w:rsidR="004F46A5" w:rsidRPr="003D45D0" w:rsidRDefault="004F46A5" w:rsidP="0007415A">
            <w:pPr>
              <w:spacing w:before="120"/>
              <w:rPr>
                <w:b w:val="0"/>
                <w:sz w:val="20"/>
                <w:szCs w:val="20"/>
              </w:rPr>
            </w:pPr>
            <w:r>
              <w:rPr>
                <w:b w:val="0"/>
                <w:sz w:val="20"/>
                <w:szCs w:val="20"/>
              </w:rPr>
              <w:t xml:space="preserve">Runways: </w:t>
            </w:r>
            <w:r w:rsidRPr="00F90609">
              <w:rPr>
                <w:b w:val="0"/>
                <w:sz w:val="20"/>
                <w:szCs w:val="20"/>
              </w:rPr>
              <w:t>Percent of runway pavement in excellent, good, or fair condition for paved runways in the National Plan of Integrated Airport Systems.</w:t>
            </w:r>
            <w:r w:rsidR="00D95848">
              <w:rPr>
                <w:b w:val="0"/>
                <w:sz w:val="20"/>
                <w:szCs w:val="20"/>
              </w:rPr>
              <w:t xml:space="preserve"> (FAA)</w:t>
            </w:r>
          </w:p>
        </w:tc>
        <w:tc>
          <w:tcPr>
            <w:tcW w:w="900" w:type="dxa"/>
            <w:tcBorders>
              <w:top w:val="nil"/>
              <w:left w:val="none" w:sz="0" w:space="0" w:color="auto"/>
              <w:bottom w:val="nil"/>
              <w:right w:val="none" w:sz="0" w:space="0" w:color="auto"/>
            </w:tcBorders>
            <w:shd w:val="clear" w:color="auto" w:fill="auto"/>
            <w:vAlign w:val="center"/>
          </w:tcPr>
          <w:p w14:paraId="48495F90" w14:textId="207F37E5" w:rsidR="004F46A5" w:rsidRPr="004F46A5" w:rsidRDefault="004F46A5"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4F46A5">
              <w:rPr>
                <w:rFonts w:eastAsiaTheme="minorEastAsia" w:cs="Times New Roman"/>
                <w:sz w:val="20"/>
                <w:szCs w:val="20"/>
                <w:lang w:eastAsia="zh-CN"/>
              </w:rPr>
              <w:t>97.4%</w:t>
            </w:r>
          </w:p>
        </w:tc>
        <w:tc>
          <w:tcPr>
            <w:tcW w:w="810" w:type="dxa"/>
            <w:tcBorders>
              <w:top w:val="nil"/>
              <w:left w:val="none" w:sz="0" w:space="0" w:color="auto"/>
              <w:bottom w:val="nil"/>
              <w:right w:val="none" w:sz="0" w:space="0" w:color="auto"/>
            </w:tcBorders>
            <w:shd w:val="clear" w:color="auto" w:fill="auto"/>
            <w:vAlign w:val="center"/>
          </w:tcPr>
          <w:p w14:paraId="41E3E144" w14:textId="735D9A98" w:rsidR="004F46A5" w:rsidRPr="004F46A5" w:rsidRDefault="004F46A5"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4F46A5">
              <w:rPr>
                <w:rFonts w:eastAsiaTheme="minorEastAsia" w:cs="Times New Roman"/>
                <w:sz w:val="20"/>
                <w:szCs w:val="20"/>
                <w:lang w:eastAsia="zh-CN"/>
              </w:rPr>
              <w:t>97.5%</w:t>
            </w:r>
          </w:p>
        </w:tc>
        <w:tc>
          <w:tcPr>
            <w:tcW w:w="900" w:type="dxa"/>
            <w:tcBorders>
              <w:top w:val="nil"/>
              <w:left w:val="none" w:sz="0" w:space="0" w:color="auto"/>
              <w:bottom w:val="nil"/>
              <w:right w:val="none" w:sz="0" w:space="0" w:color="auto"/>
            </w:tcBorders>
            <w:shd w:val="clear" w:color="auto" w:fill="auto"/>
            <w:vAlign w:val="center"/>
          </w:tcPr>
          <w:p w14:paraId="5E45D241" w14:textId="59D0CD42" w:rsidR="004F46A5" w:rsidRPr="004F46A5" w:rsidRDefault="004F46A5"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4F46A5">
              <w:rPr>
                <w:rFonts w:eastAsiaTheme="minorEastAsia" w:cs="Times New Roman"/>
                <w:sz w:val="20"/>
                <w:szCs w:val="20"/>
                <w:lang w:eastAsia="zh-CN"/>
              </w:rPr>
              <w:t>97.4%</w:t>
            </w:r>
          </w:p>
        </w:tc>
        <w:tc>
          <w:tcPr>
            <w:tcW w:w="900" w:type="dxa"/>
            <w:tcBorders>
              <w:top w:val="nil"/>
              <w:left w:val="none" w:sz="0" w:space="0" w:color="auto"/>
              <w:bottom w:val="nil"/>
              <w:right w:val="none" w:sz="0" w:space="0" w:color="auto"/>
            </w:tcBorders>
            <w:shd w:val="clear" w:color="auto" w:fill="auto"/>
            <w:vAlign w:val="center"/>
          </w:tcPr>
          <w:p w14:paraId="379FFEAD" w14:textId="74AF4019" w:rsidR="004F46A5" w:rsidRPr="004F46A5" w:rsidRDefault="004F46A5"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4F46A5">
              <w:rPr>
                <w:rFonts w:eastAsiaTheme="minorEastAsia" w:cs="Times New Roman"/>
                <w:sz w:val="20"/>
                <w:szCs w:val="20"/>
                <w:lang w:eastAsia="zh-CN"/>
              </w:rPr>
              <w:t>97.5%</w:t>
            </w:r>
          </w:p>
        </w:tc>
        <w:tc>
          <w:tcPr>
            <w:tcW w:w="900" w:type="dxa"/>
            <w:tcBorders>
              <w:top w:val="nil"/>
              <w:left w:val="none" w:sz="0" w:space="0" w:color="auto"/>
              <w:bottom w:val="nil"/>
              <w:right w:val="none" w:sz="0" w:space="0" w:color="auto"/>
            </w:tcBorders>
            <w:shd w:val="clear" w:color="auto" w:fill="auto"/>
            <w:vAlign w:val="center"/>
          </w:tcPr>
          <w:p w14:paraId="0FF9FE61" w14:textId="2D54BA33" w:rsidR="004F46A5" w:rsidRPr="004F46A5" w:rsidRDefault="004F46A5"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4F46A5">
              <w:rPr>
                <w:rFonts w:eastAsiaTheme="minorEastAsia" w:cs="Times New Roman"/>
                <w:sz w:val="20"/>
                <w:szCs w:val="20"/>
                <w:lang w:eastAsia="zh-CN"/>
              </w:rPr>
              <w:t>97.6%</w:t>
            </w:r>
          </w:p>
        </w:tc>
        <w:tc>
          <w:tcPr>
            <w:tcW w:w="900" w:type="dxa"/>
            <w:tcBorders>
              <w:top w:val="nil"/>
              <w:left w:val="none" w:sz="0" w:space="0" w:color="auto"/>
              <w:bottom w:val="nil"/>
              <w:right w:val="none" w:sz="0" w:space="0" w:color="auto"/>
            </w:tcBorders>
            <w:shd w:val="clear" w:color="auto" w:fill="auto"/>
            <w:vAlign w:val="center"/>
          </w:tcPr>
          <w:p w14:paraId="04A08651" w14:textId="26780AE7" w:rsidR="004F46A5" w:rsidRPr="004F46A5" w:rsidRDefault="004F46A5"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4F46A5">
              <w:rPr>
                <w:rFonts w:eastAsiaTheme="minorEastAsia" w:cs="Times New Roman"/>
                <w:sz w:val="20"/>
                <w:szCs w:val="20"/>
                <w:lang w:eastAsia="zh-CN"/>
              </w:rPr>
              <w:t>93%</w:t>
            </w:r>
          </w:p>
        </w:tc>
        <w:tc>
          <w:tcPr>
            <w:tcW w:w="810" w:type="dxa"/>
            <w:tcBorders>
              <w:top w:val="nil"/>
              <w:left w:val="none" w:sz="0" w:space="0" w:color="auto"/>
              <w:bottom w:val="nil"/>
              <w:right w:val="none" w:sz="0" w:space="0" w:color="auto"/>
            </w:tcBorders>
            <w:shd w:val="clear" w:color="auto" w:fill="auto"/>
            <w:vAlign w:val="center"/>
          </w:tcPr>
          <w:p w14:paraId="1D4D71F2" w14:textId="6646F843" w:rsidR="004F46A5" w:rsidRPr="004F46A5" w:rsidRDefault="004F46A5"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4F46A5">
              <w:rPr>
                <w:rFonts w:eastAsiaTheme="minorEastAsia" w:cs="Times New Roman"/>
                <w:sz w:val="20"/>
                <w:szCs w:val="20"/>
                <w:lang w:eastAsia="zh-CN"/>
              </w:rPr>
              <w:t>97.6%</w:t>
            </w:r>
          </w:p>
        </w:tc>
        <w:tc>
          <w:tcPr>
            <w:tcW w:w="1080" w:type="dxa"/>
            <w:tcBorders>
              <w:top w:val="nil"/>
              <w:left w:val="none" w:sz="0" w:space="0" w:color="auto"/>
              <w:bottom w:val="nil"/>
              <w:right w:val="nil"/>
            </w:tcBorders>
            <w:shd w:val="clear" w:color="auto" w:fill="auto"/>
            <w:vAlign w:val="center"/>
          </w:tcPr>
          <w:p w14:paraId="3F19244F" w14:textId="16771B12" w:rsidR="004F46A5" w:rsidRPr="004F46A5" w:rsidRDefault="004F46A5"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4F46A5">
              <w:rPr>
                <w:rFonts w:eastAsiaTheme="minorEastAsia" w:cs="Times New Roman"/>
                <w:sz w:val="20"/>
                <w:szCs w:val="20"/>
                <w:lang w:eastAsia="zh-CN"/>
              </w:rPr>
              <w:t>Met</w:t>
            </w:r>
          </w:p>
        </w:tc>
      </w:tr>
    </w:tbl>
    <w:p w14:paraId="147F08D1" w14:textId="77777777" w:rsidR="003A5864" w:rsidRPr="003A5864" w:rsidRDefault="000250F8" w:rsidP="003A030B">
      <w:pPr>
        <w:keepNext/>
        <w:keepLines/>
        <w:shd w:val="clear" w:color="auto" w:fill="8064A2" w:themeFill="accent4"/>
        <w:spacing w:before="200" w:after="0" w:line="240" w:lineRule="auto"/>
        <w:jc w:val="center"/>
        <w:outlineLvl w:val="1"/>
        <w:rPr>
          <w:rFonts w:asciiTheme="majorHAnsi" w:eastAsiaTheme="majorEastAsia" w:hAnsiTheme="majorHAnsi" w:cstheme="majorBidi"/>
          <w:b/>
          <w:bCs/>
          <w:caps/>
          <w:color w:val="FFFFFF" w:themeColor="background1"/>
          <w:sz w:val="28"/>
          <w:szCs w:val="28"/>
        </w:rPr>
      </w:pPr>
      <w:bookmarkStart w:id="7" w:name="_Toc483414852"/>
      <w:r>
        <w:rPr>
          <w:rFonts w:asciiTheme="majorHAnsi" w:eastAsiaTheme="majorEastAsia" w:hAnsiTheme="majorHAnsi" w:cstheme="majorBidi"/>
          <w:b/>
          <w:bCs/>
          <w:caps/>
          <w:color w:val="FFFFFF" w:themeColor="background1"/>
          <w:sz w:val="28"/>
          <w:szCs w:val="28"/>
        </w:rPr>
        <w:t>ECONOMIC COMPETITIVENESS</w:t>
      </w:r>
      <w:bookmarkEnd w:id="7"/>
    </w:p>
    <w:tbl>
      <w:tblPr>
        <w:tblStyle w:val="MediumShading1-Accent4"/>
        <w:tblW w:w="10350" w:type="dxa"/>
        <w:tblInd w:w="108" w:type="dxa"/>
        <w:tblLayout w:type="fixed"/>
        <w:tblLook w:val="04A0" w:firstRow="1" w:lastRow="0" w:firstColumn="1" w:lastColumn="0" w:noHBand="0" w:noVBand="1"/>
        <w:tblCaption w:val="Economic Competitiveness"/>
        <w:tblDescription w:val="Summary Performance Report"/>
      </w:tblPr>
      <w:tblGrid>
        <w:gridCol w:w="3420"/>
        <w:gridCol w:w="810"/>
        <w:gridCol w:w="810"/>
        <w:gridCol w:w="810"/>
        <w:gridCol w:w="810"/>
        <w:gridCol w:w="810"/>
        <w:gridCol w:w="900"/>
        <w:gridCol w:w="810"/>
        <w:gridCol w:w="1170"/>
      </w:tblGrid>
      <w:tr w:rsidR="007770EE" w14:paraId="4D45A817" w14:textId="77777777" w:rsidTr="007770EE">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000" w:firstRow="0" w:lastRow="0" w:firstColumn="1" w:lastColumn="0" w:oddVBand="0" w:evenVBand="0" w:oddHBand="0" w:evenHBand="0" w:firstRowFirstColumn="0" w:firstRowLastColumn="0" w:lastRowFirstColumn="0" w:lastRowLastColumn="0"/>
            <w:tcW w:w="3420" w:type="dxa"/>
            <w:tcBorders>
              <w:bottom w:val="nil"/>
            </w:tcBorders>
            <w:vAlign w:val="center"/>
          </w:tcPr>
          <w:p w14:paraId="6881E7EE" w14:textId="77777777" w:rsidR="00B03B7A" w:rsidRPr="003D45D0" w:rsidRDefault="00B03B7A" w:rsidP="00B03B7A">
            <w:pPr>
              <w:jc w:val="center"/>
              <w:rPr>
                <w:sz w:val="20"/>
                <w:szCs w:val="20"/>
              </w:rPr>
            </w:pPr>
            <w:r w:rsidRPr="003D45D0">
              <w:rPr>
                <w:sz w:val="20"/>
                <w:szCs w:val="20"/>
              </w:rPr>
              <w:t>Performance Measure</w:t>
            </w:r>
          </w:p>
        </w:tc>
        <w:tc>
          <w:tcPr>
            <w:tcW w:w="810" w:type="dxa"/>
            <w:tcBorders>
              <w:bottom w:val="nil"/>
            </w:tcBorders>
            <w:vAlign w:val="center"/>
          </w:tcPr>
          <w:p w14:paraId="5AAB8387" w14:textId="516923BC" w:rsidR="00B03B7A" w:rsidRPr="003D45D0" w:rsidRDefault="00B03B7A" w:rsidP="00B03B7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w:t>
            </w:r>
            <w:r w:rsidRPr="003D45D0">
              <w:rPr>
                <w:sz w:val="20"/>
                <w:szCs w:val="20"/>
              </w:rPr>
              <w:t>0</w:t>
            </w:r>
            <w:r>
              <w:rPr>
                <w:sz w:val="20"/>
                <w:szCs w:val="20"/>
              </w:rPr>
              <w:t>11</w:t>
            </w:r>
          </w:p>
        </w:tc>
        <w:tc>
          <w:tcPr>
            <w:tcW w:w="810" w:type="dxa"/>
            <w:tcBorders>
              <w:bottom w:val="nil"/>
            </w:tcBorders>
            <w:vAlign w:val="center"/>
          </w:tcPr>
          <w:p w14:paraId="00E1CBBB" w14:textId="52783B91" w:rsidR="00B03B7A" w:rsidRPr="003D45D0" w:rsidRDefault="00B03B7A" w:rsidP="00B03B7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2012</w:t>
            </w:r>
          </w:p>
        </w:tc>
        <w:tc>
          <w:tcPr>
            <w:tcW w:w="810" w:type="dxa"/>
            <w:tcBorders>
              <w:bottom w:val="nil"/>
            </w:tcBorders>
            <w:vAlign w:val="center"/>
          </w:tcPr>
          <w:p w14:paraId="715177CF" w14:textId="68B12C9C" w:rsidR="00B03B7A" w:rsidRPr="003D45D0" w:rsidRDefault="00B03B7A" w:rsidP="00B03B7A">
            <w:pPr>
              <w:jc w:val="center"/>
              <w:cnfStyle w:val="100000000000" w:firstRow="1" w:lastRow="0" w:firstColumn="0" w:lastColumn="0" w:oddVBand="0" w:evenVBand="0" w:oddHBand="0" w:evenHBand="0" w:firstRowFirstColumn="0" w:firstRowLastColumn="0" w:lastRowFirstColumn="0" w:lastRowLastColumn="0"/>
              <w:rPr>
                <w:sz w:val="20"/>
                <w:szCs w:val="20"/>
              </w:rPr>
            </w:pPr>
            <w:r w:rsidRPr="003D45D0">
              <w:rPr>
                <w:sz w:val="20"/>
                <w:szCs w:val="20"/>
              </w:rPr>
              <w:t>2013</w:t>
            </w:r>
          </w:p>
        </w:tc>
        <w:tc>
          <w:tcPr>
            <w:tcW w:w="810" w:type="dxa"/>
            <w:tcBorders>
              <w:bottom w:val="nil"/>
            </w:tcBorders>
            <w:vAlign w:val="center"/>
          </w:tcPr>
          <w:p w14:paraId="5D6E26DA" w14:textId="700948B7" w:rsidR="00B03B7A" w:rsidRPr="003D45D0" w:rsidRDefault="00B03B7A" w:rsidP="00B03B7A">
            <w:pPr>
              <w:jc w:val="center"/>
              <w:cnfStyle w:val="100000000000" w:firstRow="1" w:lastRow="0" w:firstColumn="0" w:lastColumn="0" w:oddVBand="0" w:evenVBand="0" w:oddHBand="0" w:evenHBand="0" w:firstRowFirstColumn="0" w:firstRowLastColumn="0" w:lastRowFirstColumn="0" w:lastRowLastColumn="0"/>
              <w:rPr>
                <w:sz w:val="20"/>
                <w:szCs w:val="20"/>
              </w:rPr>
            </w:pPr>
            <w:r w:rsidRPr="003D45D0">
              <w:rPr>
                <w:sz w:val="20"/>
                <w:szCs w:val="20"/>
              </w:rPr>
              <w:t>2014</w:t>
            </w:r>
          </w:p>
        </w:tc>
        <w:tc>
          <w:tcPr>
            <w:tcW w:w="810" w:type="dxa"/>
            <w:tcBorders>
              <w:bottom w:val="nil"/>
            </w:tcBorders>
            <w:vAlign w:val="center"/>
          </w:tcPr>
          <w:p w14:paraId="65D558BA" w14:textId="770B83FC" w:rsidR="00B03B7A" w:rsidRPr="003D45D0" w:rsidRDefault="00B03B7A" w:rsidP="00B03B7A">
            <w:pPr>
              <w:jc w:val="center"/>
              <w:cnfStyle w:val="100000000000" w:firstRow="1" w:lastRow="0" w:firstColumn="0" w:lastColumn="0" w:oddVBand="0" w:evenVBand="0" w:oddHBand="0" w:evenHBand="0" w:firstRowFirstColumn="0" w:firstRowLastColumn="0" w:lastRowFirstColumn="0" w:lastRowLastColumn="0"/>
              <w:rPr>
                <w:sz w:val="20"/>
                <w:szCs w:val="20"/>
              </w:rPr>
            </w:pPr>
            <w:r w:rsidRPr="003D45D0">
              <w:rPr>
                <w:sz w:val="20"/>
                <w:szCs w:val="20"/>
              </w:rPr>
              <w:t>2015</w:t>
            </w:r>
          </w:p>
        </w:tc>
        <w:tc>
          <w:tcPr>
            <w:tcW w:w="900" w:type="dxa"/>
            <w:tcBorders>
              <w:bottom w:val="nil"/>
            </w:tcBorders>
            <w:vAlign w:val="center"/>
          </w:tcPr>
          <w:p w14:paraId="44B9C81D" w14:textId="7FA50BE4" w:rsidR="00B03B7A" w:rsidRPr="003D45D0" w:rsidRDefault="00B03B7A" w:rsidP="00B03B7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2016 </w:t>
            </w:r>
            <w:r w:rsidRPr="003D45D0">
              <w:rPr>
                <w:sz w:val="20"/>
                <w:szCs w:val="20"/>
              </w:rPr>
              <w:t>Target</w:t>
            </w:r>
          </w:p>
        </w:tc>
        <w:tc>
          <w:tcPr>
            <w:tcW w:w="810" w:type="dxa"/>
            <w:tcBorders>
              <w:bottom w:val="nil"/>
            </w:tcBorders>
            <w:vAlign w:val="center"/>
          </w:tcPr>
          <w:p w14:paraId="263ED3A2" w14:textId="34929B21" w:rsidR="00B03B7A" w:rsidRPr="003D45D0" w:rsidRDefault="00B03B7A" w:rsidP="00B03B7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2016</w:t>
            </w:r>
            <w:r w:rsidRPr="003D45D0">
              <w:rPr>
                <w:sz w:val="20"/>
                <w:szCs w:val="20"/>
              </w:rPr>
              <w:t xml:space="preserve"> Actual</w:t>
            </w:r>
          </w:p>
        </w:tc>
        <w:tc>
          <w:tcPr>
            <w:tcW w:w="1170" w:type="dxa"/>
            <w:tcBorders>
              <w:bottom w:val="nil"/>
            </w:tcBorders>
            <w:vAlign w:val="center"/>
          </w:tcPr>
          <w:p w14:paraId="5349B22F" w14:textId="6E048DB6" w:rsidR="00B03B7A" w:rsidRPr="003D45D0" w:rsidRDefault="0053497C" w:rsidP="00B03B7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Result</w:t>
            </w:r>
          </w:p>
        </w:tc>
      </w:tr>
      <w:tr w:rsidR="007770EE" w:rsidRPr="003C0746" w14:paraId="318D0E6D" w14:textId="77777777" w:rsidTr="007770EE">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nil"/>
            </w:tcBorders>
            <w:shd w:val="clear" w:color="auto" w:fill="E5DFEC" w:themeFill="accent4" w:themeFillTint="33"/>
          </w:tcPr>
          <w:p w14:paraId="16184D6C" w14:textId="2B616D77" w:rsidR="003C0746" w:rsidRPr="003C0746" w:rsidRDefault="003C0746" w:rsidP="0007415A">
            <w:pPr>
              <w:spacing w:before="120"/>
              <w:rPr>
                <w:rFonts w:cs="Times New Roman"/>
                <w:b w:val="0"/>
                <w:sz w:val="20"/>
                <w:szCs w:val="20"/>
              </w:rPr>
            </w:pPr>
            <w:r w:rsidRPr="003C0746">
              <w:rPr>
                <w:rFonts w:eastAsia="Calibri" w:cs="Times New Roman"/>
                <w:b w:val="0"/>
                <w:color w:val="000000"/>
                <w:sz w:val="20"/>
                <w:szCs w:val="20"/>
              </w:rPr>
              <w:t xml:space="preserve">Cumulative number of U.S. </w:t>
            </w:r>
            <w:proofErr w:type="spellStart"/>
            <w:r w:rsidRPr="003C0746">
              <w:rPr>
                <w:rFonts w:eastAsia="Calibri" w:cs="Times New Roman"/>
                <w:b w:val="0"/>
                <w:color w:val="000000"/>
                <w:sz w:val="20"/>
                <w:szCs w:val="20"/>
              </w:rPr>
              <w:t>En</w:t>
            </w:r>
            <w:proofErr w:type="spellEnd"/>
            <w:r w:rsidRPr="003C0746">
              <w:rPr>
                <w:rFonts w:eastAsia="Calibri" w:cs="Times New Roman"/>
                <w:b w:val="0"/>
                <w:color w:val="000000"/>
                <w:sz w:val="20"/>
                <w:szCs w:val="20"/>
              </w:rPr>
              <w:t xml:space="preserve"> Route air traffic control centers achieving Initial Operating Capability</w:t>
            </w:r>
            <w:r w:rsidR="0053497C">
              <w:rPr>
                <w:rFonts w:eastAsia="Calibri" w:cs="Times New Roman"/>
                <w:b w:val="0"/>
                <w:color w:val="000000"/>
                <w:sz w:val="20"/>
                <w:szCs w:val="20"/>
              </w:rPr>
              <w:t xml:space="preserve"> (IOC)</w:t>
            </w:r>
            <w:r w:rsidRPr="003C0746">
              <w:rPr>
                <w:rFonts w:eastAsia="Calibri" w:cs="Times New Roman"/>
                <w:b w:val="0"/>
                <w:color w:val="000000"/>
                <w:sz w:val="20"/>
                <w:szCs w:val="20"/>
              </w:rPr>
              <w:t xml:space="preserve"> and ultimately Operational Readiness Date </w:t>
            </w:r>
            <w:r w:rsidR="0053497C">
              <w:rPr>
                <w:rFonts w:eastAsia="Calibri" w:cs="Times New Roman"/>
                <w:b w:val="0"/>
                <w:color w:val="000000"/>
                <w:sz w:val="20"/>
                <w:szCs w:val="20"/>
              </w:rPr>
              <w:t xml:space="preserve">(ORD) </w:t>
            </w:r>
            <w:r w:rsidRPr="003C0746">
              <w:rPr>
                <w:rFonts w:eastAsia="Calibri" w:cs="Times New Roman"/>
                <w:b w:val="0"/>
                <w:color w:val="000000"/>
                <w:sz w:val="20"/>
                <w:szCs w:val="20"/>
              </w:rPr>
              <w:t xml:space="preserve">on ERAM </w:t>
            </w:r>
            <w:r w:rsidR="00302517">
              <w:rPr>
                <w:rFonts w:eastAsia="Calibri" w:cs="Times New Roman"/>
                <w:b w:val="0"/>
                <w:color w:val="000000"/>
                <w:sz w:val="20"/>
                <w:szCs w:val="20"/>
              </w:rPr>
              <w:t>(FAA)</w:t>
            </w:r>
          </w:p>
        </w:tc>
        <w:tc>
          <w:tcPr>
            <w:tcW w:w="810" w:type="dxa"/>
            <w:tcBorders>
              <w:top w:val="nil"/>
              <w:bottom w:val="nil"/>
            </w:tcBorders>
            <w:shd w:val="clear" w:color="auto" w:fill="E5DFEC" w:themeFill="accent4" w:themeFillTint="33"/>
            <w:vAlign w:val="center"/>
          </w:tcPr>
          <w:p w14:paraId="113C784F" w14:textId="77777777"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zh-CN"/>
              </w:rPr>
            </w:pPr>
            <w:r w:rsidRPr="003C0746">
              <w:rPr>
                <w:rFonts w:eastAsiaTheme="minorEastAsia" w:cs="Times New Roman"/>
                <w:sz w:val="20"/>
                <w:szCs w:val="20"/>
                <w:lang w:eastAsia="zh-CN"/>
              </w:rPr>
              <w:t>2</w:t>
            </w:r>
          </w:p>
          <w:p w14:paraId="3D5EF8C8" w14:textId="57E01D87"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C0746">
              <w:rPr>
                <w:rFonts w:eastAsia="Calibri" w:cs="Times New Roman"/>
                <w:sz w:val="20"/>
                <w:szCs w:val="20"/>
              </w:rPr>
              <w:t>(IOC)</w:t>
            </w:r>
          </w:p>
        </w:tc>
        <w:tc>
          <w:tcPr>
            <w:tcW w:w="810" w:type="dxa"/>
            <w:tcBorders>
              <w:top w:val="nil"/>
              <w:bottom w:val="nil"/>
            </w:tcBorders>
            <w:shd w:val="clear" w:color="auto" w:fill="E5DFEC" w:themeFill="accent4" w:themeFillTint="33"/>
            <w:vAlign w:val="center"/>
          </w:tcPr>
          <w:p w14:paraId="798FF5FB" w14:textId="77777777"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zh-CN"/>
              </w:rPr>
            </w:pPr>
            <w:r w:rsidRPr="003C0746">
              <w:rPr>
                <w:rFonts w:eastAsiaTheme="minorEastAsia" w:cs="Times New Roman"/>
                <w:sz w:val="20"/>
                <w:szCs w:val="20"/>
                <w:lang w:eastAsia="zh-CN"/>
              </w:rPr>
              <w:t>9</w:t>
            </w:r>
          </w:p>
          <w:p w14:paraId="7F7AF49B" w14:textId="22DCA1E9"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C0746">
              <w:rPr>
                <w:rFonts w:eastAsiaTheme="minorEastAsia" w:cs="Times New Roman"/>
                <w:sz w:val="20"/>
                <w:szCs w:val="20"/>
                <w:lang w:eastAsia="zh-CN"/>
              </w:rPr>
              <w:t>(IOC)</w:t>
            </w:r>
          </w:p>
        </w:tc>
        <w:tc>
          <w:tcPr>
            <w:tcW w:w="810" w:type="dxa"/>
            <w:tcBorders>
              <w:top w:val="nil"/>
              <w:bottom w:val="nil"/>
            </w:tcBorders>
            <w:shd w:val="clear" w:color="auto" w:fill="E5DFEC" w:themeFill="accent4" w:themeFillTint="33"/>
            <w:vAlign w:val="center"/>
          </w:tcPr>
          <w:p w14:paraId="6FCC3034" w14:textId="77777777"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zh-CN"/>
              </w:rPr>
            </w:pPr>
            <w:r w:rsidRPr="003C0746">
              <w:rPr>
                <w:rFonts w:eastAsiaTheme="minorEastAsia" w:cs="Times New Roman"/>
                <w:sz w:val="20"/>
                <w:szCs w:val="20"/>
                <w:lang w:eastAsia="zh-CN"/>
              </w:rPr>
              <w:t>17</w:t>
            </w:r>
          </w:p>
          <w:p w14:paraId="2B06EA5A" w14:textId="076238D9"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C0746">
              <w:rPr>
                <w:rFonts w:eastAsiaTheme="minorEastAsia" w:cs="Times New Roman"/>
                <w:sz w:val="20"/>
                <w:szCs w:val="20"/>
                <w:lang w:eastAsia="zh-CN"/>
              </w:rPr>
              <w:t>(IOC)</w:t>
            </w:r>
          </w:p>
        </w:tc>
        <w:tc>
          <w:tcPr>
            <w:tcW w:w="810" w:type="dxa"/>
            <w:tcBorders>
              <w:top w:val="nil"/>
              <w:bottom w:val="nil"/>
            </w:tcBorders>
            <w:shd w:val="clear" w:color="auto" w:fill="E5DFEC" w:themeFill="accent4" w:themeFillTint="33"/>
            <w:vAlign w:val="center"/>
          </w:tcPr>
          <w:p w14:paraId="4A4021DE" w14:textId="77777777"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zh-CN"/>
              </w:rPr>
            </w:pPr>
            <w:r w:rsidRPr="003C0746">
              <w:rPr>
                <w:rFonts w:eastAsiaTheme="minorEastAsia" w:cs="Times New Roman"/>
                <w:sz w:val="20"/>
                <w:szCs w:val="20"/>
                <w:lang w:eastAsia="zh-CN"/>
              </w:rPr>
              <w:t>16</w:t>
            </w:r>
          </w:p>
          <w:p w14:paraId="435944E7" w14:textId="196026E1"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C0746">
              <w:rPr>
                <w:rFonts w:eastAsiaTheme="minorEastAsia" w:cs="Times New Roman"/>
                <w:sz w:val="20"/>
                <w:szCs w:val="20"/>
                <w:lang w:eastAsia="zh-CN"/>
              </w:rPr>
              <w:t>(ORD)</w:t>
            </w:r>
          </w:p>
        </w:tc>
        <w:tc>
          <w:tcPr>
            <w:tcW w:w="810" w:type="dxa"/>
            <w:tcBorders>
              <w:top w:val="nil"/>
              <w:bottom w:val="nil"/>
            </w:tcBorders>
            <w:shd w:val="clear" w:color="auto" w:fill="E5DFEC" w:themeFill="accent4" w:themeFillTint="33"/>
            <w:vAlign w:val="center"/>
          </w:tcPr>
          <w:p w14:paraId="23A74A67" w14:textId="77777777"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zh-CN"/>
              </w:rPr>
            </w:pPr>
            <w:r w:rsidRPr="003C0746">
              <w:rPr>
                <w:rFonts w:eastAsiaTheme="minorEastAsia" w:cs="Times New Roman"/>
                <w:sz w:val="20"/>
                <w:szCs w:val="20"/>
                <w:lang w:eastAsia="zh-CN"/>
              </w:rPr>
              <w:t>20</w:t>
            </w:r>
          </w:p>
          <w:p w14:paraId="52B53353" w14:textId="63DE0BDC"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C0746">
              <w:rPr>
                <w:rFonts w:eastAsiaTheme="minorEastAsia" w:cs="Times New Roman"/>
                <w:sz w:val="20"/>
                <w:szCs w:val="20"/>
                <w:lang w:eastAsia="zh-CN"/>
              </w:rPr>
              <w:t>(ORD)</w:t>
            </w:r>
          </w:p>
        </w:tc>
        <w:tc>
          <w:tcPr>
            <w:tcW w:w="900" w:type="dxa"/>
            <w:tcBorders>
              <w:top w:val="nil"/>
              <w:bottom w:val="nil"/>
            </w:tcBorders>
            <w:shd w:val="clear" w:color="auto" w:fill="E5DFEC" w:themeFill="accent4" w:themeFillTint="33"/>
            <w:vAlign w:val="center"/>
          </w:tcPr>
          <w:p w14:paraId="0C7ED617" w14:textId="6CE60895"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w:t>
            </w:r>
          </w:p>
        </w:tc>
        <w:tc>
          <w:tcPr>
            <w:tcW w:w="810" w:type="dxa"/>
            <w:tcBorders>
              <w:top w:val="nil"/>
              <w:bottom w:val="nil"/>
            </w:tcBorders>
            <w:shd w:val="clear" w:color="auto" w:fill="E5DFEC" w:themeFill="accent4" w:themeFillTint="33"/>
            <w:vAlign w:val="center"/>
          </w:tcPr>
          <w:p w14:paraId="78E7E926" w14:textId="0AD17569"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w:t>
            </w:r>
          </w:p>
        </w:tc>
        <w:tc>
          <w:tcPr>
            <w:tcW w:w="1170" w:type="dxa"/>
            <w:tcBorders>
              <w:top w:val="nil"/>
              <w:bottom w:val="nil"/>
              <w:right w:val="nil"/>
            </w:tcBorders>
            <w:shd w:val="clear" w:color="auto" w:fill="E5DFEC" w:themeFill="accent4" w:themeFillTint="33"/>
            <w:vAlign w:val="center"/>
          </w:tcPr>
          <w:p w14:paraId="73E84ADE" w14:textId="6C1CADF8"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C0746">
              <w:rPr>
                <w:rFonts w:eastAsiaTheme="minorEastAsia" w:cs="Times New Roman"/>
                <w:sz w:val="18"/>
                <w:szCs w:val="18"/>
                <w:lang w:eastAsia="zh-CN"/>
              </w:rPr>
              <w:t>Met</w:t>
            </w:r>
          </w:p>
        </w:tc>
      </w:tr>
      <w:tr w:rsidR="007770EE" w:rsidRPr="003C0746" w14:paraId="6AE34B38" w14:textId="77777777" w:rsidTr="007770EE">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nil"/>
            </w:tcBorders>
            <w:shd w:val="clear" w:color="auto" w:fill="auto"/>
          </w:tcPr>
          <w:p w14:paraId="54267C32" w14:textId="53B13DA7" w:rsidR="003C0746" w:rsidRPr="003C0746" w:rsidRDefault="003C0746" w:rsidP="0007415A">
            <w:pPr>
              <w:spacing w:before="120"/>
              <w:rPr>
                <w:rFonts w:cs="Times New Roman"/>
                <w:b w:val="0"/>
                <w:sz w:val="20"/>
                <w:szCs w:val="20"/>
              </w:rPr>
            </w:pPr>
            <w:r w:rsidRPr="003C0746">
              <w:rPr>
                <w:rFonts w:cs="Times New Roman"/>
                <w:b w:val="0"/>
                <w:sz w:val="20"/>
                <w:szCs w:val="20"/>
              </w:rPr>
              <w:t>By the end of FY2017 (September 2017), DATACOMM will be implemented at a cumulative total of 18 Airport</w:t>
            </w:r>
            <w:r w:rsidR="00275F74">
              <w:rPr>
                <w:rFonts w:cs="Times New Roman"/>
                <w:b w:val="0"/>
                <w:sz w:val="20"/>
                <w:szCs w:val="20"/>
              </w:rPr>
              <w:t xml:space="preserve"> Traffic Control Towers.</w:t>
            </w:r>
            <w:r w:rsidR="00302517">
              <w:rPr>
                <w:rFonts w:cs="Times New Roman"/>
                <w:b w:val="0"/>
                <w:sz w:val="20"/>
                <w:szCs w:val="20"/>
              </w:rPr>
              <w:t xml:space="preserve"> (FAA)</w:t>
            </w:r>
          </w:p>
        </w:tc>
        <w:tc>
          <w:tcPr>
            <w:tcW w:w="810" w:type="dxa"/>
            <w:tcBorders>
              <w:top w:val="nil"/>
              <w:bottom w:val="nil"/>
            </w:tcBorders>
            <w:shd w:val="clear" w:color="auto" w:fill="auto"/>
            <w:vAlign w:val="center"/>
          </w:tcPr>
          <w:p w14:paraId="63775EAE" w14:textId="77777777"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p>
        </w:tc>
        <w:tc>
          <w:tcPr>
            <w:tcW w:w="810" w:type="dxa"/>
            <w:tcBorders>
              <w:top w:val="nil"/>
              <w:bottom w:val="nil"/>
            </w:tcBorders>
            <w:shd w:val="clear" w:color="auto" w:fill="auto"/>
            <w:vAlign w:val="center"/>
          </w:tcPr>
          <w:p w14:paraId="75783537" w14:textId="77777777"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p>
        </w:tc>
        <w:tc>
          <w:tcPr>
            <w:tcW w:w="810" w:type="dxa"/>
            <w:tcBorders>
              <w:top w:val="nil"/>
              <w:bottom w:val="nil"/>
            </w:tcBorders>
            <w:shd w:val="clear" w:color="auto" w:fill="auto"/>
            <w:vAlign w:val="center"/>
          </w:tcPr>
          <w:p w14:paraId="1F9E706D" w14:textId="77777777"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p>
        </w:tc>
        <w:tc>
          <w:tcPr>
            <w:tcW w:w="810" w:type="dxa"/>
            <w:tcBorders>
              <w:top w:val="nil"/>
              <w:bottom w:val="nil"/>
            </w:tcBorders>
            <w:shd w:val="clear" w:color="auto" w:fill="auto"/>
            <w:vAlign w:val="center"/>
          </w:tcPr>
          <w:p w14:paraId="1C4BB960" w14:textId="77777777"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p>
        </w:tc>
        <w:tc>
          <w:tcPr>
            <w:tcW w:w="810" w:type="dxa"/>
            <w:tcBorders>
              <w:top w:val="nil"/>
              <w:bottom w:val="nil"/>
            </w:tcBorders>
            <w:shd w:val="clear" w:color="auto" w:fill="auto"/>
            <w:vAlign w:val="center"/>
          </w:tcPr>
          <w:p w14:paraId="20135F0F" w14:textId="77777777"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p>
        </w:tc>
        <w:tc>
          <w:tcPr>
            <w:tcW w:w="900" w:type="dxa"/>
            <w:tcBorders>
              <w:top w:val="nil"/>
              <w:bottom w:val="nil"/>
            </w:tcBorders>
            <w:shd w:val="clear" w:color="auto" w:fill="auto"/>
            <w:vAlign w:val="center"/>
          </w:tcPr>
          <w:p w14:paraId="22328B5B" w14:textId="43CA4C93"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C0746">
              <w:rPr>
                <w:rFonts w:eastAsiaTheme="minorEastAsia" w:cs="Times New Roman"/>
                <w:sz w:val="20"/>
                <w:szCs w:val="20"/>
                <w:lang w:eastAsia="zh-CN"/>
              </w:rPr>
              <w:t>6</w:t>
            </w:r>
          </w:p>
        </w:tc>
        <w:tc>
          <w:tcPr>
            <w:tcW w:w="810" w:type="dxa"/>
            <w:tcBorders>
              <w:top w:val="nil"/>
              <w:bottom w:val="nil"/>
            </w:tcBorders>
            <w:shd w:val="clear" w:color="auto" w:fill="auto"/>
            <w:vAlign w:val="center"/>
          </w:tcPr>
          <w:p w14:paraId="0818F1C9" w14:textId="42E88482"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C0746">
              <w:rPr>
                <w:rFonts w:eastAsiaTheme="minorEastAsia" w:cs="Times New Roman"/>
                <w:sz w:val="20"/>
                <w:szCs w:val="20"/>
                <w:lang w:eastAsia="zh-CN"/>
              </w:rPr>
              <w:t>46</w:t>
            </w:r>
          </w:p>
        </w:tc>
        <w:tc>
          <w:tcPr>
            <w:tcW w:w="1170" w:type="dxa"/>
            <w:tcBorders>
              <w:top w:val="nil"/>
              <w:bottom w:val="nil"/>
              <w:right w:val="nil"/>
            </w:tcBorders>
            <w:shd w:val="clear" w:color="auto" w:fill="auto"/>
            <w:vAlign w:val="center"/>
          </w:tcPr>
          <w:p w14:paraId="400069B0" w14:textId="6D3058A6"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C0746">
              <w:rPr>
                <w:rFonts w:eastAsiaTheme="minorEastAsia" w:cs="Times New Roman"/>
                <w:sz w:val="20"/>
                <w:szCs w:val="20"/>
                <w:lang w:eastAsia="zh-CN"/>
              </w:rPr>
              <w:t>Met</w:t>
            </w:r>
          </w:p>
        </w:tc>
      </w:tr>
      <w:tr w:rsidR="007770EE" w14:paraId="03160FB1" w14:textId="77777777" w:rsidTr="007770EE">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nil"/>
            </w:tcBorders>
            <w:shd w:val="clear" w:color="auto" w:fill="E5DFEC" w:themeFill="accent4" w:themeFillTint="33"/>
          </w:tcPr>
          <w:p w14:paraId="14F64A70" w14:textId="2D6DEE35" w:rsidR="003C0746" w:rsidRPr="003C0746" w:rsidRDefault="0007415A" w:rsidP="0007415A">
            <w:pPr>
              <w:spacing w:before="120"/>
              <w:rPr>
                <w:rFonts w:cs="Times New Roman"/>
                <w:b w:val="0"/>
                <w:sz w:val="20"/>
                <w:szCs w:val="20"/>
              </w:rPr>
            </w:pPr>
            <w:r>
              <w:rPr>
                <w:rFonts w:cs="Times New Roman"/>
                <w:b w:val="0"/>
                <w:sz w:val="20"/>
                <w:szCs w:val="20"/>
              </w:rPr>
              <w:t>Roadway congestion (travel time index) in urban areas.</w:t>
            </w:r>
            <w:r w:rsidR="00302517">
              <w:rPr>
                <w:rFonts w:cs="Times New Roman"/>
                <w:b w:val="0"/>
                <w:sz w:val="20"/>
                <w:szCs w:val="20"/>
              </w:rPr>
              <w:t xml:space="preserve"> (FHWA)</w:t>
            </w:r>
          </w:p>
        </w:tc>
        <w:tc>
          <w:tcPr>
            <w:tcW w:w="810" w:type="dxa"/>
            <w:tcBorders>
              <w:top w:val="nil"/>
              <w:bottom w:val="nil"/>
            </w:tcBorders>
            <w:shd w:val="clear" w:color="auto" w:fill="E5DFEC" w:themeFill="accent4" w:themeFillTint="33"/>
            <w:vAlign w:val="center"/>
          </w:tcPr>
          <w:p w14:paraId="47926D60" w14:textId="3EFC85A2"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C0746">
              <w:rPr>
                <w:rFonts w:eastAsia="Times New Roman" w:cs="Times New Roman"/>
                <w:sz w:val="20"/>
                <w:szCs w:val="20"/>
              </w:rPr>
              <w:t>n/a</w:t>
            </w:r>
          </w:p>
        </w:tc>
        <w:tc>
          <w:tcPr>
            <w:tcW w:w="810" w:type="dxa"/>
            <w:tcBorders>
              <w:top w:val="nil"/>
              <w:bottom w:val="nil"/>
            </w:tcBorders>
            <w:shd w:val="clear" w:color="auto" w:fill="E5DFEC" w:themeFill="accent4" w:themeFillTint="33"/>
            <w:vAlign w:val="center"/>
          </w:tcPr>
          <w:p w14:paraId="577AC8AD" w14:textId="14F3C657"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C0746">
              <w:rPr>
                <w:rFonts w:eastAsia="Times New Roman" w:cs="Times New Roman"/>
                <w:sz w:val="20"/>
                <w:szCs w:val="20"/>
              </w:rPr>
              <w:t>n/a</w:t>
            </w:r>
          </w:p>
        </w:tc>
        <w:tc>
          <w:tcPr>
            <w:tcW w:w="810" w:type="dxa"/>
            <w:tcBorders>
              <w:top w:val="nil"/>
              <w:bottom w:val="nil"/>
            </w:tcBorders>
            <w:shd w:val="clear" w:color="auto" w:fill="E5DFEC" w:themeFill="accent4" w:themeFillTint="33"/>
            <w:vAlign w:val="center"/>
          </w:tcPr>
          <w:p w14:paraId="1C7175A8" w14:textId="7016E7BE"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C0746">
              <w:rPr>
                <w:rFonts w:eastAsia="Times New Roman" w:cs="Times New Roman"/>
                <w:sz w:val="20"/>
                <w:szCs w:val="20"/>
              </w:rPr>
              <w:t>n/a</w:t>
            </w:r>
          </w:p>
        </w:tc>
        <w:tc>
          <w:tcPr>
            <w:tcW w:w="810" w:type="dxa"/>
            <w:tcBorders>
              <w:top w:val="nil"/>
              <w:bottom w:val="nil"/>
            </w:tcBorders>
            <w:shd w:val="clear" w:color="auto" w:fill="E5DFEC" w:themeFill="accent4" w:themeFillTint="33"/>
            <w:vAlign w:val="center"/>
          </w:tcPr>
          <w:p w14:paraId="47BB7B95" w14:textId="60B4C414"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C0746">
              <w:rPr>
                <w:rFonts w:cs="Times New Roman"/>
                <w:sz w:val="20"/>
                <w:szCs w:val="20"/>
              </w:rPr>
              <w:t>1.36</w:t>
            </w:r>
          </w:p>
        </w:tc>
        <w:tc>
          <w:tcPr>
            <w:tcW w:w="810" w:type="dxa"/>
            <w:tcBorders>
              <w:top w:val="nil"/>
              <w:bottom w:val="nil"/>
            </w:tcBorders>
            <w:shd w:val="clear" w:color="auto" w:fill="E5DFEC" w:themeFill="accent4" w:themeFillTint="33"/>
            <w:vAlign w:val="center"/>
          </w:tcPr>
          <w:p w14:paraId="7E80DCE4" w14:textId="6D1443A7"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C0746">
              <w:rPr>
                <w:rFonts w:cs="Times New Roman"/>
                <w:sz w:val="20"/>
                <w:szCs w:val="20"/>
              </w:rPr>
              <w:t>1.37</w:t>
            </w:r>
          </w:p>
        </w:tc>
        <w:tc>
          <w:tcPr>
            <w:tcW w:w="900" w:type="dxa"/>
            <w:tcBorders>
              <w:top w:val="nil"/>
              <w:bottom w:val="nil"/>
            </w:tcBorders>
            <w:shd w:val="clear" w:color="auto" w:fill="E5DFEC" w:themeFill="accent4" w:themeFillTint="33"/>
            <w:vAlign w:val="center"/>
          </w:tcPr>
          <w:p w14:paraId="30A707E5" w14:textId="32F1B4F7"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C0746">
              <w:rPr>
                <w:rFonts w:cs="Times New Roman"/>
                <w:sz w:val="20"/>
                <w:szCs w:val="20"/>
              </w:rPr>
              <w:t>1.36</w:t>
            </w:r>
          </w:p>
        </w:tc>
        <w:tc>
          <w:tcPr>
            <w:tcW w:w="810" w:type="dxa"/>
            <w:tcBorders>
              <w:top w:val="nil"/>
              <w:bottom w:val="nil"/>
            </w:tcBorders>
            <w:shd w:val="clear" w:color="auto" w:fill="E5DFEC" w:themeFill="accent4" w:themeFillTint="33"/>
            <w:vAlign w:val="center"/>
          </w:tcPr>
          <w:p w14:paraId="12E6B9C8" w14:textId="20427504"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C0746">
              <w:rPr>
                <w:rFonts w:cs="Times New Roman"/>
                <w:sz w:val="20"/>
                <w:szCs w:val="20"/>
              </w:rPr>
              <w:t>1.35</w:t>
            </w:r>
          </w:p>
        </w:tc>
        <w:tc>
          <w:tcPr>
            <w:tcW w:w="1170" w:type="dxa"/>
            <w:tcBorders>
              <w:top w:val="nil"/>
              <w:bottom w:val="nil"/>
              <w:right w:val="nil"/>
            </w:tcBorders>
            <w:shd w:val="clear" w:color="auto" w:fill="E5DFEC" w:themeFill="accent4" w:themeFillTint="33"/>
            <w:vAlign w:val="center"/>
          </w:tcPr>
          <w:p w14:paraId="3871DC1D" w14:textId="1A209B03"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C0746">
              <w:rPr>
                <w:rFonts w:eastAsiaTheme="minorEastAsia" w:cs="Times New Roman"/>
                <w:sz w:val="20"/>
                <w:szCs w:val="20"/>
                <w:lang w:eastAsia="zh-CN"/>
              </w:rPr>
              <w:t>Met</w:t>
            </w:r>
          </w:p>
        </w:tc>
      </w:tr>
      <w:tr w:rsidR="007770EE" w14:paraId="277CBD96" w14:textId="77777777" w:rsidTr="007770EE">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nil"/>
            </w:tcBorders>
            <w:shd w:val="clear" w:color="auto" w:fill="FFFFFF" w:themeFill="background1"/>
          </w:tcPr>
          <w:p w14:paraId="0064B3E6" w14:textId="6D5827C4" w:rsidR="003C0746" w:rsidRPr="003C0746" w:rsidRDefault="00FE22EA" w:rsidP="00FE22EA">
            <w:pPr>
              <w:spacing w:before="120"/>
              <w:rPr>
                <w:rFonts w:cs="Times New Roman"/>
                <w:b w:val="0"/>
                <w:sz w:val="20"/>
                <w:szCs w:val="20"/>
              </w:rPr>
            </w:pPr>
            <w:r>
              <w:rPr>
                <w:rFonts w:cs="Times New Roman"/>
                <w:b w:val="0"/>
                <w:sz w:val="20"/>
                <w:szCs w:val="20"/>
              </w:rPr>
              <w:t>Roadway congestion, freight (travel time r</w:t>
            </w:r>
            <w:r w:rsidR="003C0746" w:rsidRPr="003C0746">
              <w:rPr>
                <w:rFonts w:cs="Times New Roman"/>
                <w:b w:val="0"/>
                <w:sz w:val="20"/>
                <w:szCs w:val="20"/>
              </w:rPr>
              <w:t>eliability</w:t>
            </w:r>
            <w:r>
              <w:rPr>
                <w:rFonts w:cs="Times New Roman"/>
                <w:b w:val="0"/>
                <w:sz w:val="20"/>
                <w:szCs w:val="20"/>
              </w:rPr>
              <w:t>)</w:t>
            </w:r>
            <w:r w:rsidR="003C0746" w:rsidRPr="003C0746">
              <w:rPr>
                <w:rFonts w:cs="Times New Roman"/>
                <w:b w:val="0"/>
                <w:sz w:val="20"/>
                <w:szCs w:val="20"/>
              </w:rPr>
              <w:t xml:space="preserve"> in </w:t>
            </w:r>
            <w:r>
              <w:rPr>
                <w:rFonts w:cs="Times New Roman"/>
                <w:b w:val="0"/>
                <w:sz w:val="20"/>
                <w:szCs w:val="20"/>
              </w:rPr>
              <w:t xml:space="preserve">Top 25 Domestic </w:t>
            </w:r>
            <w:r>
              <w:rPr>
                <w:rFonts w:cs="Times New Roman"/>
                <w:b w:val="0"/>
                <w:sz w:val="20"/>
                <w:szCs w:val="20"/>
              </w:rPr>
              <w:lastRenderedPageBreak/>
              <w:t>Trade Corridors.</w:t>
            </w:r>
            <w:r w:rsidR="00302517">
              <w:rPr>
                <w:rFonts w:cs="Times New Roman"/>
                <w:b w:val="0"/>
                <w:sz w:val="20"/>
                <w:szCs w:val="20"/>
              </w:rPr>
              <w:t xml:space="preserve"> (FHWA)</w:t>
            </w:r>
          </w:p>
        </w:tc>
        <w:tc>
          <w:tcPr>
            <w:tcW w:w="810" w:type="dxa"/>
            <w:tcBorders>
              <w:top w:val="nil"/>
              <w:bottom w:val="nil"/>
            </w:tcBorders>
            <w:shd w:val="clear" w:color="auto" w:fill="FFFFFF" w:themeFill="background1"/>
            <w:vAlign w:val="center"/>
          </w:tcPr>
          <w:p w14:paraId="325633AF" w14:textId="7432ED2E"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C0746">
              <w:rPr>
                <w:rFonts w:eastAsia="Times New Roman" w:cs="Times New Roman"/>
                <w:sz w:val="20"/>
                <w:szCs w:val="20"/>
              </w:rPr>
              <w:lastRenderedPageBreak/>
              <w:t>n/a</w:t>
            </w:r>
          </w:p>
        </w:tc>
        <w:tc>
          <w:tcPr>
            <w:tcW w:w="810" w:type="dxa"/>
            <w:tcBorders>
              <w:top w:val="nil"/>
              <w:bottom w:val="nil"/>
            </w:tcBorders>
            <w:shd w:val="clear" w:color="auto" w:fill="FFFFFF" w:themeFill="background1"/>
            <w:vAlign w:val="center"/>
          </w:tcPr>
          <w:p w14:paraId="300982BB" w14:textId="0C3F96E1"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C0746">
              <w:rPr>
                <w:rFonts w:eastAsia="Times New Roman" w:cs="Times New Roman"/>
                <w:sz w:val="20"/>
                <w:szCs w:val="20"/>
              </w:rPr>
              <w:t>n/a</w:t>
            </w:r>
          </w:p>
        </w:tc>
        <w:tc>
          <w:tcPr>
            <w:tcW w:w="810" w:type="dxa"/>
            <w:tcBorders>
              <w:top w:val="nil"/>
              <w:bottom w:val="nil"/>
            </w:tcBorders>
            <w:vAlign w:val="center"/>
          </w:tcPr>
          <w:p w14:paraId="77E9186C" w14:textId="5AD7799F"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C0746">
              <w:rPr>
                <w:rFonts w:cs="Times New Roman"/>
                <w:sz w:val="20"/>
                <w:szCs w:val="20"/>
              </w:rPr>
              <w:t>16.3</w:t>
            </w:r>
          </w:p>
        </w:tc>
        <w:tc>
          <w:tcPr>
            <w:tcW w:w="810" w:type="dxa"/>
            <w:tcBorders>
              <w:top w:val="nil"/>
              <w:bottom w:val="nil"/>
            </w:tcBorders>
            <w:vAlign w:val="center"/>
          </w:tcPr>
          <w:p w14:paraId="445AD4EE" w14:textId="1AC11BED"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C0746">
              <w:rPr>
                <w:rFonts w:cs="Times New Roman"/>
                <w:sz w:val="20"/>
                <w:szCs w:val="20"/>
              </w:rPr>
              <w:t>18.6</w:t>
            </w:r>
          </w:p>
        </w:tc>
        <w:tc>
          <w:tcPr>
            <w:tcW w:w="810" w:type="dxa"/>
            <w:tcBorders>
              <w:top w:val="nil"/>
              <w:bottom w:val="nil"/>
            </w:tcBorders>
            <w:vAlign w:val="center"/>
          </w:tcPr>
          <w:p w14:paraId="6BA7854D" w14:textId="5D523092"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C0746">
              <w:rPr>
                <w:rFonts w:cs="Times New Roman"/>
                <w:sz w:val="20"/>
                <w:szCs w:val="20"/>
              </w:rPr>
              <w:t>18.8</w:t>
            </w:r>
          </w:p>
        </w:tc>
        <w:tc>
          <w:tcPr>
            <w:tcW w:w="900" w:type="dxa"/>
            <w:tcBorders>
              <w:top w:val="nil"/>
              <w:bottom w:val="nil"/>
            </w:tcBorders>
            <w:vAlign w:val="center"/>
          </w:tcPr>
          <w:p w14:paraId="14B1C8D2" w14:textId="6314B7C0"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C0746">
              <w:rPr>
                <w:rFonts w:cs="Times New Roman"/>
                <w:sz w:val="20"/>
                <w:szCs w:val="20"/>
              </w:rPr>
              <w:t>18.5</w:t>
            </w:r>
          </w:p>
        </w:tc>
        <w:tc>
          <w:tcPr>
            <w:tcW w:w="810" w:type="dxa"/>
            <w:tcBorders>
              <w:top w:val="nil"/>
              <w:bottom w:val="nil"/>
            </w:tcBorders>
            <w:vAlign w:val="center"/>
          </w:tcPr>
          <w:p w14:paraId="0371DEDC" w14:textId="4A0678D1"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C0746">
              <w:rPr>
                <w:rFonts w:cs="Times New Roman"/>
                <w:sz w:val="20"/>
                <w:szCs w:val="20"/>
              </w:rPr>
              <w:t>19.3</w:t>
            </w:r>
          </w:p>
        </w:tc>
        <w:tc>
          <w:tcPr>
            <w:tcW w:w="1170" w:type="dxa"/>
            <w:tcBorders>
              <w:top w:val="nil"/>
              <w:bottom w:val="nil"/>
              <w:right w:val="nil"/>
            </w:tcBorders>
            <w:shd w:val="clear" w:color="auto" w:fill="FFFFFF" w:themeFill="background1"/>
            <w:vAlign w:val="center"/>
          </w:tcPr>
          <w:p w14:paraId="427F44BC" w14:textId="746C9D15"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C0746">
              <w:rPr>
                <w:rFonts w:eastAsiaTheme="minorEastAsia" w:cs="Times New Roman"/>
                <w:sz w:val="20"/>
                <w:szCs w:val="20"/>
                <w:lang w:eastAsia="zh-CN"/>
              </w:rPr>
              <w:t>Not Met</w:t>
            </w:r>
          </w:p>
        </w:tc>
      </w:tr>
      <w:tr w:rsidR="007770EE" w:rsidRPr="003C0746" w14:paraId="538C8766" w14:textId="77777777" w:rsidTr="007770EE">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nil"/>
            </w:tcBorders>
            <w:shd w:val="clear" w:color="auto" w:fill="E5DFEC" w:themeFill="accent4" w:themeFillTint="33"/>
          </w:tcPr>
          <w:p w14:paraId="7781DC6F" w14:textId="69FA731A" w:rsidR="003C0746" w:rsidRPr="003C0746" w:rsidRDefault="003C0746" w:rsidP="00FE22EA">
            <w:pPr>
              <w:spacing w:before="120"/>
              <w:rPr>
                <w:rFonts w:cs="Times New Roman"/>
                <w:b w:val="0"/>
                <w:sz w:val="20"/>
                <w:szCs w:val="20"/>
              </w:rPr>
            </w:pPr>
            <w:r w:rsidRPr="003C0746">
              <w:rPr>
                <w:rFonts w:eastAsia="Calibri" w:cs="Times New Roman"/>
                <w:b w:val="0"/>
                <w:sz w:val="20"/>
                <w:szCs w:val="20"/>
              </w:rPr>
              <w:lastRenderedPageBreak/>
              <w:t>Total number of urban</w:t>
            </w:r>
            <w:r w:rsidR="00FE22EA">
              <w:rPr>
                <w:rFonts w:eastAsia="Calibri" w:cs="Times New Roman"/>
                <w:b w:val="0"/>
                <w:sz w:val="20"/>
                <w:szCs w:val="20"/>
              </w:rPr>
              <w:t xml:space="preserve"> public transit </w:t>
            </w:r>
            <w:proofErr w:type="spellStart"/>
            <w:r w:rsidR="00FE22EA">
              <w:rPr>
                <w:rFonts w:eastAsia="Calibri" w:cs="Times New Roman"/>
                <w:b w:val="0"/>
                <w:sz w:val="20"/>
                <w:szCs w:val="20"/>
              </w:rPr>
              <w:t>boardings</w:t>
            </w:r>
            <w:proofErr w:type="spellEnd"/>
            <w:r w:rsidR="00FE22EA">
              <w:rPr>
                <w:rFonts w:eastAsia="Calibri" w:cs="Times New Roman"/>
                <w:b w:val="0"/>
                <w:sz w:val="20"/>
                <w:szCs w:val="20"/>
              </w:rPr>
              <w:t xml:space="preserve"> (in billions)</w:t>
            </w:r>
            <w:r w:rsidR="00302517">
              <w:rPr>
                <w:rFonts w:eastAsia="Calibri" w:cs="Times New Roman"/>
                <w:b w:val="0"/>
                <w:sz w:val="20"/>
                <w:szCs w:val="20"/>
              </w:rPr>
              <w:t xml:space="preserve"> (FTA)</w:t>
            </w:r>
          </w:p>
        </w:tc>
        <w:tc>
          <w:tcPr>
            <w:tcW w:w="810" w:type="dxa"/>
            <w:tcBorders>
              <w:top w:val="nil"/>
              <w:bottom w:val="nil"/>
            </w:tcBorders>
            <w:shd w:val="clear" w:color="auto" w:fill="E5DFEC" w:themeFill="accent4" w:themeFillTint="33"/>
            <w:vAlign w:val="center"/>
          </w:tcPr>
          <w:p w14:paraId="4BF29053" w14:textId="63AEAC49"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C0746">
              <w:rPr>
                <w:rFonts w:cs="Times New Roman"/>
                <w:sz w:val="20"/>
                <w:szCs w:val="20"/>
              </w:rPr>
              <w:t>10.26</w:t>
            </w:r>
          </w:p>
        </w:tc>
        <w:tc>
          <w:tcPr>
            <w:tcW w:w="810" w:type="dxa"/>
            <w:tcBorders>
              <w:top w:val="nil"/>
              <w:bottom w:val="nil"/>
            </w:tcBorders>
            <w:shd w:val="clear" w:color="auto" w:fill="E5DFEC" w:themeFill="accent4" w:themeFillTint="33"/>
            <w:vAlign w:val="center"/>
          </w:tcPr>
          <w:p w14:paraId="33979FB0" w14:textId="088E4114"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C0746">
              <w:rPr>
                <w:rFonts w:cs="Times New Roman"/>
                <w:sz w:val="20"/>
                <w:szCs w:val="20"/>
              </w:rPr>
              <w:t>10.47</w:t>
            </w:r>
          </w:p>
        </w:tc>
        <w:tc>
          <w:tcPr>
            <w:tcW w:w="810" w:type="dxa"/>
            <w:tcBorders>
              <w:top w:val="nil"/>
              <w:bottom w:val="nil"/>
            </w:tcBorders>
            <w:shd w:val="clear" w:color="auto" w:fill="E5DFEC" w:themeFill="accent4" w:themeFillTint="33"/>
            <w:vAlign w:val="center"/>
          </w:tcPr>
          <w:p w14:paraId="5AD5ED1D" w14:textId="02D9E7F9"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C0746">
              <w:rPr>
                <w:rFonts w:cs="Times New Roman"/>
                <w:sz w:val="20"/>
                <w:szCs w:val="20"/>
              </w:rPr>
              <w:t>10.53</w:t>
            </w:r>
          </w:p>
        </w:tc>
        <w:tc>
          <w:tcPr>
            <w:tcW w:w="810" w:type="dxa"/>
            <w:tcBorders>
              <w:top w:val="nil"/>
              <w:bottom w:val="nil"/>
            </w:tcBorders>
            <w:shd w:val="clear" w:color="auto" w:fill="E5DFEC" w:themeFill="accent4" w:themeFillTint="33"/>
            <w:vAlign w:val="center"/>
          </w:tcPr>
          <w:p w14:paraId="5BF66AFE" w14:textId="5E18DC60"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C0746">
              <w:rPr>
                <w:rFonts w:cs="Times New Roman"/>
                <w:sz w:val="20"/>
                <w:szCs w:val="20"/>
              </w:rPr>
              <w:t>10.67</w:t>
            </w:r>
          </w:p>
        </w:tc>
        <w:tc>
          <w:tcPr>
            <w:tcW w:w="810" w:type="dxa"/>
            <w:tcBorders>
              <w:top w:val="nil"/>
              <w:bottom w:val="nil"/>
            </w:tcBorders>
            <w:shd w:val="clear" w:color="auto" w:fill="E5DFEC" w:themeFill="accent4" w:themeFillTint="33"/>
            <w:vAlign w:val="center"/>
          </w:tcPr>
          <w:p w14:paraId="17737CF9" w14:textId="6391905A"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C0746">
              <w:rPr>
                <w:rFonts w:cs="Times New Roman"/>
                <w:sz w:val="20"/>
                <w:szCs w:val="20"/>
              </w:rPr>
              <w:t>10.44</w:t>
            </w:r>
          </w:p>
        </w:tc>
        <w:tc>
          <w:tcPr>
            <w:tcW w:w="900" w:type="dxa"/>
            <w:tcBorders>
              <w:top w:val="nil"/>
              <w:bottom w:val="nil"/>
            </w:tcBorders>
            <w:shd w:val="clear" w:color="auto" w:fill="E5DFEC" w:themeFill="accent4" w:themeFillTint="33"/>
            <w:vAlign w:val="center"/>
          </w:tcPr>
          <w:p w14:paraId="448E291C" w14:textId="72D11344"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C0746">
              <w:rPr>
                <w:rFonts w:cs="Times New Roman"/>
                <w:sz w:val="20"/>
                <w:szCs w:val="20"/>
              </w:rPr>
              <w:t>10.99</w:t>
            </w:r>
          </w:p>
        </w:tc>
        <w:tc>
          <w:tcPr>
            <w:tcW w:w="810" w:type="dxa"/>
            <w:tcBorders>
              <w:top w:val="nil"/>
              <w:bottom w:val="nil"/>
            </w:tcBorders>
            <w:shd w:val="clear" w:color="auto" w:fill="E5DFEC" w:themeFill="accent4" w:themeFillTint="33"/>
            <w:vAlign w:val="center"/>
          </w:tcPr>
          <w:p w14:paraId="1CCBEA0C" w14:textId="0D7E63FC"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C0746">
              <w:rPr>
                <w:rFonts w:cs="Times New Roman"/>
                <w:sz w:val="20"/>
                <w:szCs w:val="20"/>
              </w:rPr>
              <w:t>10.32</w:t>
            </w:r>
          </w:p>
        </w:tc>
        <w:tc>
          <w:tcPr>
            <w:tcW w:w="1170" w:type="dxa"/>
            <w:tcBorders>
              <w:top w:val="nil"/>
              <w:bottom w:val="nil"/>
              <w:right w:val="nil"/>
            </w:tcBorders>
            <w:shd w:val="clear" w:color="auto" w:fill="E5DFEC" w:themeFill="accent4" w:themeFillTint="33"/>
            <w:vAlign w:val="center"/>
          </w:tcPr>
          <w:p w14:paraId="55DE7DCA" w14:textId="4136ED22"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C0746">
              <w:rPr>
                <w:rFonts w:cs="Times New Roman"/>
                <w:sz w:val="20"/>
                <w:szCs w:val="20"/>
                <w:lang w:eastAsia="zh-CN"/>
              </w:rPr>
              <w:t>Not Met</w:t>
            </w:r>
          </w:p>
        </w:tc>
      </w:tr>
      <w:tr w:rsidR="007770EE" w:rsidRPr="003C0746" w14:paraId="09C02B76" w14:textId="77777777" w:rsidTr="007770EE">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nil"/>
            </w:tcBorders>
            <w:shd w:val="clear" w:color="auto" w:fill="auto"/>
          </w:tcPr>
          <w:p w14:paraId="271BD9AE" w14:textId="481E91AC" w:rsidR="003C0746" w:rsidRPr="003C0746" w:rsidRDefault="003C0746" w:rsidP="0007415A">
            <w:pPr>
              <w:spacing w:before="120"/>
              <w:rPr>
                <w:rFonts w:cs="Times New Roman"/>
                <w:sz w:val="20"/>
                <w:szCs w:val="20"/>
              </w:rPr>
            </w:pPr>
            <w:r w:rsidRPr="003C0746">
              <w:rPr>
                <w:rFonts w:eastAsia="Calibri" w:cs="Times New Roman"/>
                <w:b w:val="0"/>
                <w:sz w:val="20"/>
                <w:szCs w:val="20"/>
              </w:rPr>
              <w:t>Number of urbanized areas with increased transit market share among commuters to work.</w:t>
            </w:r>
            <w:r w:rsidR="00302517">
              <w:rPr>
                <w:rFonts w:eastAsia="Calibri" w:cs="Times New Roman"/>
                <w:b w:val="0"/>
                <w:sz w:val="20"/>
                <w:szCs w:val="20"/>
              </w:rPr>
              <w:t xml:space="preserve"> (FTA)</w:t>
            </w:r>
          </w:p>
        </w:tc>
        <w:tc>
          <w:tcPr>
            <w:tcW w:w="810" w:type="dxa"/>
            <w:tcBorders>
              <w:top w:val="nil"/>
              <w:bottom w:val="nil"/>
            </w:tcBorders>
            <w:shd w:val="clear" w:color="auto" w:fill="auto"/>
            <w:vAlign w:val="center"/>
          </w:tcPr>
          <w:p w14:paraId="727AB0BD" w14:textId="2D875505"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C0746">
              <w:rPr>
                <w:rFonts w:cs="Times New Roman"/>
                <w:sz w:val="20"/>
                <w:szCs w:val="20"/>
              </w:rPr>
              <w:t>1</w:t>
            </w:r>
          </w:p>
        </w:tc>
        <w:tc>
          <w:tcPr>
            <w:tcW w:w="810" w:type="dxa"/>
            <w:tcBorders>
              <w:top w:val="nil"/>
              <w:bottom w:val="nil"/>
            </w:tcBorders>
            <w:shd w:val="clear" w:color="auto" w:fill="auto"/>
            <w:vAlign w:val="center"/>
          </w:tcPr>
          <w:p w14:paraId="67DB3C44" w14:textId="3BD56407"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C0746">
              <w:rPr>
                <w:rFonts w:cs="Times New Roman"/>
                <w:sz w:val="20"/>
                <w:szCs w:val="20"/>
              </w:rPr>
              <w:t>4</w:t>
            </w:r>
          </w:p>
        </w:tc>
        <w:tc>
          <w:tcPr>
            <w:tcW w:w="810" w:type="dxa"/>
            <w:tcBorders>
              <w:top w:val="nil"/>
              <w:bottom w:val="nil"/>
            </w:tcBorders>
            <w:shd w:val="clear" w:color="auto" w:fill="auto"/>
            <w:vAlign w:val="center"/>
          </w:tcPr>
          <w:p w14:paraId="60A3F569" w14:textId="046B37C3"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C0746">
              <w:rPr>
                <w:rFonts w:cs="Times New Roman"/>
                <w:sz w:val="20"/>
                <w:szCs w:val="20"/>
              </w:rPr>
              <w:t>3</w:t>
            </w:r>
          </w:p>
        </w:tc>
        <w:tc>
          <w:tcPr>
            <w:tcW w:w="810" w:type="dxa"/>
            <w:tcBorders>
              <w:top w:val="nil"/>
              <w:bottom w:val="nil"/>
            </w:tcBorders>
            <w:shd w:val="clear" w:color="auto" w:fill="auto"/>
            <w:vAlign w:val="center"/>
          </w:tcPr>
          <w:p w14:paraId="0D0AAEE4" w14:textId="2046F7CD"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C0746">
              <w:rPr>
                <w:rFonts w:cs="Times New Roman"/>
                <w:sz w:val="20"/>
                <w:szCs w:val="20"/>
              </w:rPr>
              <w:t>4</w:t>
            </w:r>
          </w:p>
        </w:tc>
        <w:tc>
          <w:tcPr>
            <w:tcW w:w="810" w:type="dxa"/>
            <w:tcBorders>
              <w:top w:val="nil"/>
              <w:bottom w:val="nil"/>
            </w:tcBorders>
            <w:shd w:val="clear" w:color="auto" w:fill="auto"/>
            <w:vAlign w:val="center"/>
          </w:tcPr>
          <w:p w14:paraId="6DE409F6" w14:textId="5D9D43A5"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C0746">
              <w:rPr>
                <w:rFonts w:cs="Times New Roman"/>
                <w:sz w:val="20"/>
                <w:szCs w:val="20"/>
              </w:rPr>
              <w:t>4</w:t>
            </w:r>
          </w:p>
        </w:tc>
        <w:tc>
          <w:tcPr>
            <w:tcW w:w="900" w:type="dxa"/>
            <w:tcBorders>
              <w:top w:val="nil"/>
              <w:bottom w:val="nil"/>
            </w:tcBorders>
            <w:shd w:val="clear" w:color="auto" w:fill="auto"/>
            <w:vAlign w:val="center"/>
          </w:tcPr>
          <w:p w14:paraId="605F17DA" w14:textId="7538F86A"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C0746">
              <w:rPr>
                <w:rFonts w:cs="Times New Roman"/>
                <w:sz w:val="20"/>
                <w:szCs w:val="20"/>
              </w:rPr>
              <w:t>6</w:t>
            </w:r>
          </w:p>
        </w:tc>
        <w:tc>
          <w:tcPr>
            <w:tcW w:w="810" w:type="dxa"/>
            <w:tcBorders>
              <w:top w:val="nil"/>
              <w:bottom w:val="nil"/>
            </w:tcBorders>
            <w:shd w:val="clear" w:color="auto" w:fill="auto"/>
            <w:vAlign w:val="center"/>
          </w:tcPr>
          <w:p w14:paraId="3B22FF35" w14:textId="259EF4CB"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C0746">
              <w:rPr>
                <w:rFonts w:cs="Times New Roman"/>
                <w:sz w:val="20"/>
                <w:szCs w:val="20"/>
              </w:rPr>
              <w:t>NA</w:t>
            </w:r>
          </w:p>
        </w:tc>
        <w:tc>
          <w:tcPr>
            <w:tcW w:w="1170" w:type="dxa"/>
            <w:tcBorders>
              <w:top w:val="nil"/>
              <w:bottom w:val="nil"/>
              <w:right w:val="nil"/>
            </w:tcBorders>
            <w:shd w:val="clear" w:color="auto" w:fill="auto"/>
            <w:vAlign w:val="center"/>
          </w:tcPr>
          <w:p w14:paraId="48A55524" w14:textId="5E21D401"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C0746">
              <w:rPr>
                <w:rFonts w:cs="Times New Roman"/>
                <w:sz w:val="20"/>
                <w:szCs w:val="20"/>
                <w:lang w:eastAsia="zh-CN"/>
              </w:rPr>
              <w:t>Potentially not met</w:t>
            </w:r>
          </w:p>
        </w:tc>
      </w:tr>
      <w:tr w:rsidR="007770EE" w:rsidRPr="003C0746" w14:paraId="2AB3423D" w14:textId="77777777" w:rsidTr="007770EE">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nil"/>
            </w:tcBorders>
            <w:shd w:val="clear" w:color="auto" w:fill="E5DFEC" w:themeFill="accent4" w:themeFillTint="33"/>
          </w:tcPr>
          <w:p w14:paraId="2BCC404E" w14:textId="57C75C88" w:rsidR="003C0746" w:rsidRPr="003C0746" w:rsidRDefault="003C0746" w:rsidP="0007415A">
            <w:pPr>
              <w:spacing w:before="120"/>
              <w:rPr>
                <w:rFonts w:cs="Times New Roman"/>
                <w:b w:val="0"/>
                <w:sz w:val="20"/>
                <w:szCs w:val="20"/>
              </w:rPr>
            </w:pPr>
            <w:r w:rsidRPr="003C0746">
              <w:rPr>
                <w:rFonts w:eastAsia="Calibri" w:cs="Times New Roman"/>
                <w:b w:val="0"/>
                <w:sz w:val="20"/>
                <w:szCs w:val="20"/>
              </w:rPr>
              <w:t xml:space="preserve">Number </w:t>
            </w:r>
            <w:r w:rsidR="00FE22EA">
              <w:rPr>
                <w:rFonts w:eastAsia="Calibri" w:cs="Times New Roman"/>
                <w:b w:val="0"/>
                <w:sz w:val="20"/>
                <w:szCs w:val="20"/>
              </w:rPr>
              <w:t xml:space="preserve">of Twenty Foot Equivalent </w:t>
            </w:r>
            <w:r w:rsidRPr="003C0746">
              <w:rPr>
                <w:rFonts w:eastAsia="Calibri" w:cs="Times New Roman"/>
                <w:b w:val="0"/>
                <w:sz w:val="20"/>
                <w:szCs w:val="20"/>
              </w:rPr>
              <w:t>containers transported across America’s Marine Highway routes.</w:t>
            </w:r>
            <w:r w:rsidR="00302517">
              <w:rPr>
                <w:rFonts w:eastAsia="Calibri" w:cs="Times New Roman"/>
                <w:b w:val="0"/>
                <w:sz w:val="20"/>
                <w:szCs w:val="20"/>
              </w:rPr>
              <w:t xml:space="preserve"> (MARAD)</w:t>
            </w:r>
          </w:p>
        </w:tc>
        <w:tc>
          <w:tcPr>
            <w:tcW w:w="810" w:type="dxa"/>
            <w:tcBorders>
              <w:top w:val="nil"/>
              <w:bottom w:val="nil"/>
            </w:tcBorders>
            <w:shd w:val="clear" w:color="auto" w:fill="E5DFEC" w:themeFill="accent4" w:themeFillTint="33"/>
            <w:vAlign w:val="center"/>
          </w:tcPr>
          <w:p w14:paraId="55CBAD8D" w14:textId="101CC1CC"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C0746">
              <w:rPr>
                <w:rFonts w:eastAsia="Calibri" w:cs="Times New Roman"/>
                <w:sz w:val="20"/>
                <w:szCs w:val="20"/>
              </w:rPr>
              <w:t>5,901</w:t>
            </w:r>
          </w:p>
        </w:tc>
        <w:tc>
          <w:tcPr>
            <w:tcW w:w="810" w:type="dxa"/>
            <w:tcBorders>
              <w:top w:val="nil"/>
              <w:bottom w:val="nil"/>
            </w:tcBorders>
            <w:shd w:val="clear" w:color="auto" w:fill="E5DFEC" w:themeFill="accent4" w:themeFillTint="33"/>
            <w:vAlign w:val="center"/>
          </w:tcPr>
          <w:p w14:paraId="01CDE36D" w14:textId="48602CB0"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C0746">
              <w:rPr>
                <w:rFonts w:eastAsia="Calibri" w:cs="Times New Roman"/>
                <w:sz w:val="20"/>
                <w:szCs w:val="20"/>
              </w:rPr>
              <w:t>16,031</w:t>
            </w:r>
          </w:p>
        </w:tc>
        <w:tc>
          <w:tcPr>
            <w:tcW w:w="810" w:type="dxa"/>
            <w:tcBorders>
              <w:top w:val="nil"/>
              <w:bottom w:val="nil"/>
            </w:tcBorders>
            <w:shd w:val="clear" w:color="auto" w:fill="E5DFEC" w:themeFill="accent4" w:themeFillTint="33"/>
            <w:vAlign w:val="center"/>
          </w:tcPr>
          <w:p w14:paraId="529A80F9" w14:textId="71DF1079"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C0746">
              <w:rPr>
                <w:rFonts w:eastAsia="Calibri" w:cs="Times New Roman"/>
                <w:sz w:val="20"/>
                <w:szCs w:val="20"/>
              </w:rPr>
              <w:t>16,191</w:t>
            </w:r>
          </w:p>
        </w:tc>
        <w:tc>
          <w:tcPr>
            <w:tcW w:w="810" w:type="dxa"/>
            <w:tcBorders>
              <w:top w:val="nil"/>
              <w:bottom w:val="nil"/>
            </w:tcBorders>
            <w:shd w:val="clear" w:color="auto" w:fill="E5DFEC" w:themeFill="accent4" w:themeFillTint="33"/>
            <w:vAlign w:val="center"/>
          </w:tcPr>
          <w:p w14:paraId="0C52A907" w14:textId="18C9DE72"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C0746">
              <w:rPr>
                <w:rFonts w:eastAsia="Calibri" w:cs="Times New Roman"/>
                <w:sz w:val="20"/>
                <w:szCs w:val="20"/>
              </w:rPr>
              <w:t>29,981</w:t>
            </w:r>
          </w:p>
        </w:tc>
        <w:tc>
          <w:tcPr>
            <w:tcW w:w="810" w:type="dxa"/>
            <w:tcBorders>
              <w:top w:val="nil"/>
              <w:bottom w:val="nil"/>
            </w:tcBorders>
            <w:shd w:val="clear" w:color="auto" w:fill="E5DFEC" w:themeFill="accent4" w:themeFillTint="33"/>
            <w:vAlign w:val="center"/>
          </w:tcPr>
          <w:p w14:paraId="5A2B307B" w14:textId="00F39F91"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C0746">
              <w:rPr>
                <w:rFonts w:eastAsia="Calibri" w:cs="Times New Roman"/>
                <w:sz w:val="20"/>
                <w:szCs w:val="20"/>
              </w:rPr>
              <w:t>29,318</w:t>
            </w:r>
          </w:p>
        </w:tc>
        <w:tc>
          <w:tcPr>
            <w:tcW w:w="900" w:type="dxa"/>
            <w:tcBorders>
              <w:top w:val="nil"/>
              <w:bottom w:val="nil"/>
            </w:tcBorders>
            <w:shd w:val="clear" w:color="auto" w:fill="E5DFEC" w:themeFill="accent4" w:themeFillTint="33"/>
            <w:vAlign w:val="center"/>
          </w:tcPr>
          <w:p w14:paraId="45EFCEB4" w14:textId="4EA4E193"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C0746">
              <w:rPr>
                <w:rFonts w:eastAsia="Calibri" w:cs="Times New Roman"/>
                <w:sz w:val="20"/>
                <w:szCs w:val="20"/>
              </w:rPr>
              <w:t>30,000</w:t>
            </w:r>
          </w:p>
        </w:tc>
        <w:tc>
          <w:tcPr>
            <w:tcW w:w="810" w:type="dxa"/>
            <w:tcBorders>
              <w:top w:val="nil"/>
              <w:bottom w:val="nil"/>
            </w:tcBorders>
            <w:shd w:val="clear" w:color="auto" w:fill="E5DFEC" w:themeFill="accent4" w:themeFillTint="33"/>
            <w:vAlign w:val="center"/>
          </w:tcPr>
          <w:p w14:paraId="1BD99813" w14:textId="7DE5E4A4"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C0746">
              <w:rPr>
                <w:rFonts w:eastAsia="Calibri" w:cs="Times New Roman"/>
                <w:sz w:val="20"/>
                <w:szCs w:val="20"/>
              </w:rPr>
              <w:t>35,215</w:t>
            </w:r>
          </w:p>
        </w:tc>
        <w:tc>
          <w:tcPr>
            <w:tcW w:w="1170" w:type="dxa"/>
            <w:tcBorders>
              <w:top w:val="nil"/>
              <w:bottom w:val="nil"/>
              <w:right w:val="nil"/>
            </w:tcBorders>
            <w:shd w:val="clear" w:color="auto" w:fill="E5DFEC" w:themeFill="accent4" w:themeFillTint="33"/>
            <w:vAlign w:val="center"/>
          </w:tcPr>
          <w:p w14:paraId="05ABCBBA" w14:textId="38944B21" w:rsidR="003C0746" w:rsidRPr="003C0746" w:rsidRDefault="003C0746"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C0746">
              <w:rPr>
                <w:rFonts w:eastAsia="Calibri" w:cs="Times New Roman"/>
                <w:sz w:val="20"/>
                <w:szCs w:val="20"/>
              </w:rPr>
              <w:t>Met</w:t>
            </w:r>
          </w:p>
        </w:tc>
      </w:tr>
      <w:tr w:rsidR="007770EE" w:rsidRPr="003C0746" w14:paraId="12DEF98A" w14:textId="77777777" w:rsidTr="007770EE">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nil"/>
            </w:tcBorders>
            <w:shd w:val="clear" w:color="auto" w:fill="E5DFEC" w:themeFill="accent4" w:themeFillTint="33"/>
          </w:tcPr>
          <w:p w14:paraId="3A00E352" w14:textId="1635C093" w:rsidR="003C0746" w:rsidRPr="003C0746" w:rsidRDefault="003C0746" w:rsidP="0007415A">
            <w:pPr>
              <w:spacing w:before="120"/>
              <w:rPr>
                <w:rFonts w:cs="Times New Roman"/>
                <w:b w:val="0"/>
                <w:sz w:val="20"/>
                <w:szCs w:val="20"/>
              </w:rPr>
            </w:pPr>
            <w:r w:rsidRPr="003C0746">
              <w:rPr>
                <w:rFonts w:eastAsiaTheme="minorEastAsia" w:cs="Times New Roman"/>
                <w:b w:val="0"/>
                <w:sz w:val="20"/>
                <w:szCs w:val="20"/>
                <w:lang w:eastAsia="zh-CN"/>
              </w:rPr>
              <w:t>Percent of time the U.S. portion of the St. Lawrence Seaway is avail</w:t>
            </w:r>
            <w:r>
              <w:rPr>
                <w:rFonts w:eastAsiaTheme="minorEastAsia" w:cs="Times New Roman"/>
                <w:b w:val="0"/>
                <w:sz w:val="20"/>
                <w:szCs w:val="20"/>
                <w:lang w:eastAsia="zh-CN"/>
              </w:rPr>
              <w:t>able to commercial users</w:t>
            </w:r>
            <w:r w:rsidR="00302517">
              <w:rPr>
                <w:rFonts w:eastAsiaTheme="minorEastAsia" w:cs="Times New Roman"/>
                <w:b w:val="0"/>
                <w:sz w:val="20"/>
                <w:szCs w:val="20"/>
                <w:lang w:eastAsia="zh-CN"/>
              </w:rPr>
              <w:t xml:space="preserve"> (SLSDC)</w:t>
            </w:r>
          </w:p>
        </w:tc>
        <w:tc>
          <w:tcPr>
            <w:tcW w:w="810" w:type="dxa"/>
            <w:tcBorders>
              <w:top w:val="nil"/>
              <w:bottom w:val="nil"/>
            </w:tcBorders>
            <w:shd w:val="clear" w:color="auto" w:fill="E5DFEC" w:themeFill="accent4" w:themeFillTint="33"/>
            <w:vAlign w:val="center"/>
          </w:tcPr>
          <w:p w14:paraId="4F1D8D5D" w14:textId="753A2ABC"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C0746">
              <w:rPr>
                <w:rFonts w:eastAsiaTheme="minorEastAsia" w:cs="Times New Roman"/>
                <w:sz w:val="20"/>
                <w:szCs w:val="20"/>
                <w:lang w:eastAsia="zh-CN"/>
              </w:rPr>
              <w:t>99.0%</w:t>
            </w:r>
          </w:p>
        </w:tc>
        <w:tc>
          <w:tcPr>
            <w:tcW w:w="810" w:type="dxa"/>
            <w:tcBorders>
              <w:top w:val="nil"/>
              <w:bottom w:val="nil"/>
            </w:tcBorders>
            <w:shd w:val="clear" w:color="auto" w:fill="E5DFEC" w:themeFill="accent4" w:themeFillTint="33"/>
            <w:vAlign w:val="center"/>
          </w:tcPr>
          <w:p w14:paraId="3BC51B0D" w14:textId="68132D31"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C0746">
              <w:rPr>
                <w:rFonts w:eastAsiaTheme="minorEastAsia" w:cs="Times New Roman"/>
                <w:sz w:val="20"/>
                <w:szCs w:val="20"/>
                <w:lang w:eastAsia="zh-CN"/>
              </w:rPr>
              <w:t>99.7%</w:t>
            </w:r>
          </w:p>
        </w:tc>
        <w:tc>
          <w:tcPr>
            <w:tcW w:w="810" w:type="dxa"/>
            <w:tcBorders>
              <w:top w:val="nil"/>
              <w:bottom w:val="nil"/>
            </w:tcBorders>
            <w:shd w:val="clear" w:color="auto" w:fill="E5DFEC" w:themeFill="accent4" w:themeFillTint="33"/>
            <w:vAlign w:val="center"/>
          </w:tcPr>
          <w:p w14:paraId="13AB9BA4" w14:textId="66C5BC2F"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C0746">
              <w:rPr>
                <w:rFonts w:eastAsiaTheme="minorEastAsia" w:cs="Times New Roman"/>
                <w:sz w:val="20"/>
                <w:szCs w:val="20"/>
                <w:lang w:eastAsia="zh-CN"/>
              </w:rPr>
              <w:t>99.1%</w:t>
            </w:r>
          </w:p>
        </w:tc>
        <w:tc>
          <w:tcPr>
            <w:tcW w:w="810" w:type="dxa"/>
            <w:tcBorders>
              <w:top w:val="nil"/>
              <w:bottom w:val="nil"/>
            </w:tcBorders>
            <w:shd w:val="clear" w:color="auto" w:fill="E5DFEC" w:themeFill="accent4" w:themeFillTint="33"/>
            <w:vAlign w:val="center"/>
          </w:tcPr>
          <w:p w14:paraId="397E94DB" w14:textId="578D6453"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C0746">
              <w:rPr>
                <w:rFonts w:eastAsiaTheme="minorEastAsia" w:cs="Times New Roman"/>
                <w:sz w:val="20"/>
                <w:szCs w:val="20"/>
                <w:lang w:eastAsia="zh-CN"/>
              </w:rPr>
              <w:t>97.2%</w:t>
            </w:r>
          </w:p>
        </w:tc>
        <w:tc>
          <w:tcPr>
            <w:tcW w:w="810" w:type="dxa"/>
            <w:tcBorders>
              <w:top w:val="nil"/>
              <w:bottom w:val="nil"/>
            </w:tcBorders>
            <w:shd w:val="clear" w:color="auto" w:fill="E5DFEC" w:themeFill="accent4" w:themeFillTint="33"/>
            <w:vAlign w:val="center"/>
          </w:tcPr>
          <w:p w14:paraId="48216AD4" w14:textId="716EC6AD"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C0746">
              <w:rPr>
                <w:rFonts w:eastAsiaTheme="minorEastAsia" w:cs="Times New Roman"/>
                <w:sz w:val="20"/>
                <w:szCs w:val="20"/>
                <w:lang w:eastAsia="zh-CN"/>
              </w:rPr>
              <w:t>97.3%</w:t>
            </w:r>
          </w:p>
        </w:tc>
        <w:tc>
          <w:tcPr>
            <w:tcW w:w="900" w:type="dxa"/>
            <w:tcBorders>
              <w:top w:val="nil"/>
              <w:bottom w:val="nil"/>
            </w:tcBorders>
            <w:shd w:val="clear" w:color="auto" w:fill="E5DFEC" w:themeFill="accent4" w:themeFillTint="33"/>
            <w:vAlign w:val="center"/>
          </w:tcPr>
          <w:p w14:paraId="450C159E" w14:textId="4E551867"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C0746">
              <w:rPr>
                <w:rFonts w:eastAsiaTheme="minorEastAsia" w:cs="Times New Roman"/>
                <w:sz w:val="20"/>
                <w:szCs w:val="20"/>
                <w:lang w:eastAsia="zh-CN"/>
              </w:rPr>
              <w:t>99.0%</w:t>
            </w:r>
          </w:p>
        </w:tc>
        <w:tc>
          <w:tcPr>
            <w:tcW w:w="810" w:type="dxa"/>
            <w:tcBorders>
              <w:top w:val="nil"/>
              <w:bottom w:val="nil"/>
            </w:tcBorders>
            <w:shd w:val="clear" w:color="auto" w:fill="E5DFEC" w:themeFill="accent4" w:themeFillTint="33"/>
            <w:vAlign w:val="center"/>
          </w:tcPr>
          <w:p w14:paraId="7BA616A0" w14:textId="628A34D8"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C0746">
              <w:rPr>
                <w:rFonts w:eastAsiaTheme="minorEastAsia" w:cs="Times New Roman"/>
                <w:sz w:val="20"/>
                <w:szCs w:val="20"/>
                <w:lang w:eastAsia="zh-CN"/>
              </w:rPr>
              <w:t>99.7%</w:t>
            </w:r>
          </w:p>
        </w:tc>
        <w:tc>
          <w:tcPr>
            <w:tcW w:w="1170" w:type="dxa"/>
            <w:tcBorders>
              <w:top w:val="nil"/>
              <w:bottom w:val="nil"/>
              <w:right w:val="nil"/>
            </w:tcBorders>
            <w:shd w:val="clear" w:color="auto" w:fill="E5DFEC" w:themeFill="accent4" w:themeFillTint="33"/>
            <w:vAlign w:val="center"/>
          </w:tcPr>
          <w:p w14:paraId="2DBEFC3A" w14:textId="686B7E71" w:rsidR="003C0746" w:rsidRPr="003C0746" w:rsidRDefault="003C0746"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3C0746">
              <w:rPr>
                <w:rFonts w:eastAsia="Calibri" w:cs="Times New Roman"/>
                <w:sz w:val="20"/>
                <w:szCs w:val="20"/>
              </w:rPr>
              <w:t>Met</w:t>
            </w:r>
          </w:p>
        </w:tc>
      </w:tr>
    </w:tbl>
    <w:p w14:paraId="0F17ED04" w14:textId="77777777" w:rsidR="00CD06EE" w:rsidRDefault="00CD06EE" w:rsidP="009E395C">
      <w:pPr>
        <w:spacing w:after="0" w:line="110" w:lineRule="exact"/>
        <w:rPr>
          <w:sz w:val="11"/>
          <w:szCs w:val="11"/>
        </w:rPr>
      </w:pPr>
    </w:p>
    <w:p w14:paraId="1709EC7B" w14:textId="77777777" w:rsidR="00DE6656" w:rsidRPr="00DE6656" w:rsidRDefault="00F72FE5" w:rsidP="00DE6656">
      <w:pPr>
        <w:keepNext/>
        <w:keepLines/>
        <w:shd w:val="clear" w:color="auto" w:fill="9BBB59" w:themeFill="accent3"/>
        <w:spacing w:before="200" w:after="0" w:line="240" w:lineRule="auto"/>
        <w:jc w:val="center"/>
        <w:outlineLvl w:val="1"/>
        <w:rPr>
          <w:rFonts w:ascii="Cambria" w:eastAsia="Cambria" w:hAnsi="Cambria" w:cs="Cambria"/>
          <w:b/>
          <w:bCs/>
          <w:color w:val="FFFFFF"/>
          <w:spacing w:val="-1"/>
          <w:sz w:val="32"/>
          <w:szCs w:val="32"/>
        </w:rPr>
      </w:pPr>
      <w:bookmarkStart w:id="8" w:name="_Toc483414853"/>
      <w:r>
        <w:rPr>
          <w:rFonts w:ascii="Cambria" w:eastAsia="Cambria" w:hAnsi="Cambria" w:cs="Cambria"/>
          <w:b/>
          <w:bCs/>
          <w:color w:val="FFFFFF"/>
          <w:spacing w:val="-1"/>
          <w:sz w:val="32"/>
          <w:szCs w:val="32"/>
        </w:rPr>
        <w:t>ENVIRONMENTAL SUSTAINABILITY</w:t>
      </w:r>
      <w:bookmarkEnd w:id="8"/>
    </w:p>
    <w:tbl>
      <w:tblPr>
        <w:tblStyle w:val="MediumShading1-Accent3"/>
        <w:tblW w:w="10350" w:type="dxa"/>
        <w:tblInd w:w="108" w:type="dxa"/>
        <w:tblLayout w:type="fixed"/>
        <w:tblLook w:val="04A0" w:firstRow="1" w:lastRow="0" w:firstColumn="1" w:lastColumn="0" w:noHBand="0" w:noVBand="1"/>
        <w:tblCaption w:val="Environmental Sustainability"/>
        <w:tblDescription w:val="Summary Performance Report"/>
      </w:tblPr>
      <w:tblGrid>
        <w:gridCol w:w="2880"/>
        <w:gridCol w:w="962"/>
        <w:gridCol w:w="900"/>
        <w:gridCol w:w="900"/>
        <w:gridCol w:w="900"/>
        <w:gridCol w:w="900"/>
        <w:gridCol w:w="990"/>
        <w:gridCol w:w="900"/>
        <w:gridCol w:w="1018"/>
      </w:tblGrid>
      <w:tr w:rsidR="009E395C" w14:paraId="5EB9BD9D" w14:textId="77777777" w:rsidTr="007770EE">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000" w:firstRow="0" w:lastRow="0" w:firstColumn="1" w:lastColumn="0" w:oddVBand="0" w:evenVBand="0" w:oddHBand="0" w:evenHBand="0" w:firstRowFirstColumn="0" w:firstRowLastColumn="0" w:lastRowFirstColumn="0" w:lastRowLastColumn="0"/>
            <w:tcW w:w="2880" w:type="dxa"/>
            <w:tcBorders>
              <w:top w:val="none" w:sz="0" w:space="0" w:color="auto"/>
              <w:left w:val="none" w:sz="0" w:space="0" w:color="auto"/>
              <w:bottom w:val="nil"/>
              <w:right w:val="none" w:sz="0" w:space="0" w:color="auto"/>
            </w:tcBorders>
            <w:vAlign w:val="center"/>
          </w:tcPr>
          <w:p w14:paraId="72C1EA98" w14:textId="77777777" w:rsidR="00F72FE5" w:rsidRPr="003D45D0" w:rsidRDefault="00F72FE5" w:rsidP="00596675">
            <w:pPr>
              <w:jc w:val="center"/>
              <w:rPr>
                <w:sz w:val="20"/>
                <w:szCs w:val="20"/>
              </w:rPr>
            </w:pPr>
            <w:r w:rsidRPr="003D45D0">
              <w:rPr>
                <w:sz w:val="20"/>
                <w:szCs w:val="20"/>
              </w:rPr>
              <w:t>Performance Measure</w:t>
            </w:r>
          </w:p>
        </w:tc>
        <w:tc>
          <w:tcPr>
            <w:tcW w:w="962" w:type="dxa"/>
            <w:tcBorders>
              <w:top w:val="none" w:sz="0" w:space="0" w:color="auto"/>
              <w:left w:val="none" w:sz="0" w:space="0" w:color="auto"/>
              <w:bottom w:val="nil"/>
              <w:right w:val="none" w:sz="0" w:space="0" w:color="auto"/>
            </w:tcBorders>
            <w:vAlign w:val="center"/>
          </w:tcPr>
          <w:p w14:paraId="1451C71A" w14:textId="3F6D1101" w:rsidR="00F72FE5" w:rsidRPr="003D45D0" w:rsidRDefault="00275F74" w:rsidP="00596675">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2011</w:t>
            </w:r>
          </w:p>
        </w:tc>
        <w:tc>
          <w:tcPr>
            <w:tcW w:w="900" w:type="dxa"/>
            <w:tcBorders>
              <w:top w:val="none" w:sz="0" w:space="0" w:color="auto"/>
              <w:left w:val="none" w:sz="0" w:space="0" w:color="auto"/>
              <w:bottom w:val="nil"/>
              <w:right w:val="none" w:sz="0" w:space="0" w:color="auto"/>
            </w:tcBorders>
            <w:vAlign w:val="center"/>
          </w:tcPr>
          <w:p w14:paraId="204FE9EB" w14:textId="75244EFB" w:rsidR="00F72FE5" w:rsidRPr="003D45D0" w:rsidRDefault="007B31FF" w:rsidP="00596675">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2012</w:t>
            </w:r>
          </w:p>
        </w:tc>
        <w:tc>
          <w:tcPr>
            <w:tcW w:w="900" w:type="dxa"/>
            <w:tcBorders>
              <w:top w:val="none" w:sz="0" w:space="0" w:color="auto"/>
              <w:left w:val="none" w:sz="0" w:space="0" w:color="auto"/>
              <w:bottom w:val="nil"/>
              <w:right w:val="none" w:sz="0" w:space="0" w:color="auto"/>
            </w:tcBorders>
            <w:vAlign w:val="center"/>
          </w:tcPr>
          <w:p w14:paraId="34CD9C10" w14:textId="2C84B937" w:rsidR="00F72FE5" w:rsidRPr="003D45D0" w:rsidRDefault="007B31FF" w:rsidP="00596675">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2013</w:t>
            </w:r>
          </w:p>
        </w:tc>
        <w:tc>
          <w:tcPr>
            <w:tcW w:w="900" w:type="dxa"/>
            <w:tcBorders>
              <w:top w:val="none" w:sz="0" w:space="0" w:color="auto"/>
              <w:left w:val="none" w:sz="0" w:space="0" w:color="auto"/>
              <w:bottom w:val="nil"/>
              <w:right w:val="none" w:sz="0" w:space="0" w:color="auto"/>
            </w:tcBorders>
            <w:vAlign w:val="center"/>
          </w:tcPr>
          <w:p w14:paraId="4EE8D46C" w14:textId="67536AA1" w:rsidR="00F72FE5" w:rsidRPr="003D45D0" w:rsidRDefault="007B31FF" w:rsidP="00596675">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2014</w:t>
            </w:r>
          </w:p>
        </w:tc>
        <w:tc>
          <w:tcPr>
            <w:tcW w:w="900" w:type="dxa"/>
            <w:tcBorders>
              <w:top w:val="none" w:sz="0" w:space="0" w:color="auto"/>
              <w:left w:val="none" w:sz="0" w:space="0" w:color="auto"/>
              <w:bottom w:val="nil"/>
              <w:right w:val="none" w:sz="0" w:space="0" w:color="auto"/>
            </w:tcBorders>
            <w:vAlign w:val="center"/>
          </w:tcPr>
          <w:p w14:paraId="552A1F6E" w14:textId="473DE6AC" w:rsidR="00F72FE5" w:rsidRPr="003D45D0" w:rsidRDefault="007B31FF" w:rsidP="00596675">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2015</w:t>
            </w:r>
          </w:p>
        </w:tc>
        <w:tc>
          <w:tcPr>
            <w:tcW w:w="990" w:type="dxa"/>
            <w:tcBorders>
              <w:top w:val="none" w:sz="0" w:space="0" w:color="auto"/>
              <w:left w:val="none" w:sz="0" w:space="0" w:color="auto"/>
              <w:bottom w:val="nil"/>
              <w:right w:val="none" w:sz="0" w:space="0" w:color="auto"/>
            </w:tcBorders>
            <w:vAlign w:val="center"/>
          </w:tcPr>
          <w:p w14:paraId="4C04A3E4" w14:textId="247B5167" w:rsidR="00F72FE5" w:rsidRPr="003D45D0" w:rsidRDefault="007B31FF" w:rsidP="00596675">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2016</w:t>
            </w:r>
            <w:r w:rsidR="00F72FE5" w:rsidRPr="003D45D0">
              <w:rPr>
                <w:sz w:val="20"/>
                <w:szCs w:val="20"/>
              </w:rPr>
              <w:t xml:space="preserve"> Target</w:t>
            </w:r>
          </w:p>
        </w:tc>
        <w:tc>
          <w:tcPr>
            <w:tcW w:w="900" w:type="dxa"/>
            <w:tcBorders>
              <w:top w:val="none" w:sz="0" w:space="0" w:color="auto"/>
              <w:left w:val="none" w:sz="0" w:space="0" w:color="auto"/>
              <w:bottom w:val="nil"/>
              <w:right w:val="none" w:sz="0" w:space="0" w:color="auto"/>
            </w:tcBorders>
            <w:vAlign w:val="center"/>
          </w:tcPr>
          <w:p w14:paraId="69102F01" w14:textId="42253EC3" w:rsidR="00F72FE5" w:rsidRPr="003D45D0" w:rsidRDefault="002B6591" w:rsidP="00596675">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2016</w:t>
            </w:r>
            <w:r w:rsidR="00F72FE5" w:rsidRPr="003D45D0">
              <w:rPr>
                <w:sz w:val="20"/>
                <w:szCs w:val="20"/>
              </w:rPr>
              <w:t xml:space="preserve"> Actual</w:t>
            </w:r>
          </w:p>
        </w:tc>
        <w:tc>
          <w:tcPr>
            <w:tcW w:w="1018" w:type="dxa"/>
            <w:tcBorders>
              <w:top w:val="none" w:sz="0" w:space="0" w:color="auto"/>
              <w:left w:val="none" w:sz="0" w:space="0" w:color="auto"/>
              <w:bottom w:val="nil"/>
              <w:right w:val="none" w:sz="0" w:space="0" w:color="auto"/>
            </w:tcBorders>
            <w:vAlign w:val="center"/>
          </w:tcPr>
          <w:p w14:paraId="2CE816A7" w14:textId="332E8E2E" w:rsidR="00F72FE5" w:rsidRPr="003D45D0" w:rsidRDefault="0053497C" w:rsidP="00596675">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Result</w:t>
            </w:r>
          </w:p>
        </w:tc>
      </w:tr>
      <w:tr w:rsidR="00B941A2" w:rsidRPr="00B941A2" w14:paraId="77375275" w14:textId="77777777" w:rsidTr="007770E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80" w:type="dxa"/>
            <w:tcBorders>
              <w:top w:val="nil"/>
              <w:left w:val="nil"/>
              <w:bottom w:val="nil"/>
            </w:tcBorders>
            <w:shd w:val="clear" w:color="auto" w:fill="EAF1DD" w:themeFill="accent3" w:themeFillTint="33"/>
            <w:vAlign w:val="center"/>
          </w:tcPr>
          <w:p w14:paraId="16AC0BAD" w14:textId="272981D9" w:rsidR="00B941A2" w:rsidRPr="00B941A2" w:rsidRDefault="00B941A2" w:rsidP="0007415A">
            <w:pPr>
              <w:spacing w:before="120"/>
              <w:rPr>
                <w:rFonts w:cs="Times New Roman"/>
                <w:b w:val="0"/>
                <w:sz w:val="20"/>
                <w:szCs w:val="20"/>
              </w:rPr>
            </w:pPr>
            <w:r w:rsidRPr="00B941A2">
              <w:rPr>
                <w:rFonts w:eastAsia="Times New Roman" w:cs="Times New Roman"/>
                <w:b w:val="0"/>
                <w:sz w:val="20"/>
                <w:szCs w:val="20"/>
              </w:rPr>
              <w:t>Percent reduction in aviation fuel burned per revenue-ton-mile from the FY 2001 energy use baseline</w:t>
            </w:r>
            <w:r w:rsidR="00302517">
              <w:rPr>
                <w:rFonts w:eastAsia="Times New Roman" w:cs="Times New Roman"/>
                <w:b w:val="0"/>
                <w:sz w:val="20"/>
                <w:szCs w:val="20"/>
              </w:rPr>
              <w:t xml:space="preserve"> (FAA)</w:t>
            </w:r>
          </w:p>
        </w:tc>
        <w:tc>
          <w:tcPr>
            <w:tcW w:w="962" w:type="dxa"/>
            <w:tcBorders>
              <w:top w:val="nil"/>
              <w:bottom w:val="nil"/>
            </w:tcBorders>
            <w:shd w:val="clear" w:color="auto" w:fill="EAF1DD" w:themeFill="accent3" w:themeFillTint="33"/>
            <w:vAlign w:val="center"/>
          </w:tcPr>
          <w:p w14:paraId="6148A4F1" w14:textId="69CD7504" w:rsidR="00B941A2" w:rsidRPr="00B941A2" w:rsidRDefault="00B941A2"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941A2">
              <w:rPr>
                <w:rFonts w:eastAsiaTheme="minorEastAsia" w:cs="Times New Roman"/>
                <w:sz w:val="18"/>
                <w:szCs w:val="18"/>
                <w:lang w:eastAsia="zh-CN"/>
              </w:rPr>
              <w:t>-22.2%</w:t>
            </w:r>
          </w:p>
        </w:tc>
        <w:tc>
          <w:tcPr>
            <w:tcW w:w="900" w:type="dxa"/>
            <w:tcBorders>
              <w:top w:val="nil"/>
              <w:bottom w:val="nil"/>
            </w:tcBorders>
            <w:shd w:val="clear" w:color="auto" w:fill="EAF1DD" w:themeFill="accent3" w:themeFillTint="33"/>
            <w:vAlign w:val="center"/>
          </w:tcPr>
          <w:p w14:paraId="3AEC9B20" w14:textId="7E3CAAB2" w:rsidR="00B941A2" w:rsidRPr="00B941A2" w:rsidRDefault="00B941A2"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941A2">
              <w:rPr>
                <w:rFonts w:eastAsiaTheme="minorEastAsia" w:cs="Times New Roman"/>
                <w:sz w:val="18"/>
                <w:szCs w:val="18"/>
                <w:lang w:eastAsia="zh-CN"/>
              </w:rPr>
              <w:t>-22.7%</w:t>
            </w:r>
          </w:p>
        </w:tc>
        <w:tc>
          <w:tcPr>
            <w:tcW w:w="900" w:type="dxa"/>
            <w:tcBorders>
              <w:top w:val="nil"/>
              <w:bottom w:val="nil"/>
            </w:tcBorders>
            <w:shd w:val="clear" w:color="auto" w:fill="EAF1DD" w:themeFill="accent3" w:themeFillTint="33"/>
            <w:vAlign w:val="center"/>
          </w:tcPr>
          <w:p w14:paraId="2207F1D8" w14:textId="16D90821" w:rsidR="00B941A2" w:rsidRPr="00B941A2" w:rsidRDefault="00B941A2"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941A2">
              <w:rPr>
                <w:rFonts w:eastAsiaTheme="minorEastAsia" w:cs="Times New Roman"/>
                <w:sz w:val="18"/>
                <w:szCs w:val="18"/>
                <w:lang w:eastAsia="zh-CN"/>
              </w:rPr>
              <w:t>-21.7%</w:t>
            </w:r>
          </w:p>
        </w:tc>
        <w:tc>
          <w:tcPr>
            <w:tcW w:w="900" w:type="dxa"/>
            <w:tcBorders>
              <w:top w:val="nil"/>
              <w:bottom w:val="nil"/>
            </w:tcBorders>
            <w:shd w:val="clear" w:color="auto" w:fill="EAF1DD" w:themeFill="accent3" w:themeFillTint="33"/>
            <w:vAlign w:val="center"/>
          </w:tcPr>
          <w:p w14:paraId="25D5AF6E" w14:textId="32D35A37" w:rsidR="00B941A2" w:rsidRPr="00B941A2" w:rsidRDefault="00B941A2"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941A2">
              <w:rPr>
                <w:rFonts w:eastAsiaTheme="minorEastAsia" w:cs="Times New Roman"/>
                <w:sz w:val="18"/>
                <w:szCs w:val="18"/>
                <w:lang w:eastAsia="zh-CN"/>
              </w:rPr>
              <w:t>- 22.5%</w:t>
            </w:r>
          </w:p>
        </w:tc>
        <w:tc>
          <w:tcPr>
            <w:tcW w:w="900" w:type="dxa"/>
            <w:tcBorders>
              <w:top w:val="nil"/>
              <w:bottom w:val="nil"/>
            </w:tcBorders>
            <w:shd w:val="clear" w:color="auto" w:fill="EAF1DD" w:themeFill="accent3" w:themeFillTint="33"/>
            <w:vAlign w:val="center"/>
          </w:tcPr>
          <w:p w14:paraId="11B7DF23" w14:textId="2664BFD9" w:rsidR="00B941A2" w:rsidRPr="00B941A2" w:rsidRDefault="00B941A2"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941A2">
              <w:rPr>
                <w:rFonts w:eastAsiaTheme="minorEastAsia" w:cs="Times New Roman"/>
                <w:sz w:val="18"/>
                <w:szCs w:val="18"/>
                <w:lang w:eastAsia="zh-CN"/>
              </w:rPr>
              <w:t>24.3%</w:t>
            </w:r>
          </w:p>
        </w:tc>
        <w:tc>
          <w:tcPr>
            <w:tcW w:w="990" w:type="dxa"/>
            <w:tcBorders>
              <w:top w:val="nil"/>
              <w:bottom w:val="nil"/>
            </w:tcBorders>
            <w:shd w:val="clear" w:color="auto" w:fill="EAF1DD" w:themeFill="accent3" w:themeFillTint="33"/>
            <w:vAlign w:val="center"/>
          </w:tcPr>
          <w:p w14:paraId="55F802D4" w14:textId="3B5CD00E" w:rsidR="00B941A2" w:rsidRPr="00B941A2" w:rsidRDefault="00B941A2"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941A2">
              <w:rPr>
                <w:rFonts w:cs="Times New Roman"/>
                <w:sz w:val="18"/>
                <w:szCs w:val="18"/>
              </w:rPr>
              <w:t>- 22%</w:t>
            </w:r>
          </w:p>
        </w:tc>
        <w:tc>
          <w:tcPr>
            <w:tcW w:w="900" w:type="dxa"/>
            <w:tcBorders>
              <w:top w:val="nil"/>
              <w:bottom w:val="nil"/>
            </w:tcBorders>
            <w:shd w:val="clear" w:color="auto" w:fill="EAF1DD" w:themeFill="accent3" w:themeFillTint="33"/>
            <w:vAlign w:val="center"/>
          </w:tcPr>
          <w:p w14:paraId="269152F0" w14:textId="7AE250C9" w:rsidR="00B941A2" w:rsidRPr="00B941A2" w:rsidRDefault="00B941A2"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941A2">
              <w:rPr>
                <w:rFonts w:cs="Times New Roman"/>
                <w:sz w:val="18"/>
                <w:szCs w:val="18"/>
              </w:rPr>
              <w:t>- 24.8%</w:t>
            </w:r>
          </w:p>
        </w:tc>
        <w:tc>
          <w:tcPr>
            <w:tcW w:w="1018" w:type="dxa"/>
            <w:tcBorders>
              <w:top w:val="nil"/>
              <w:bottom w:val="nil"/>
              <w:right w:val="nil"/>
            </w:tcBorders>
            <w:shd w:val="clear" w:color="auto" w:fill="EAF1DD" w:themeFill="accent3" w:themeFillTint="33"/>
            <w:vAlign w:val="center"/>
          </w:tcPr>
          <w:p w14:paraId="30278573" w14:textId="1E2F1115" w:rsidR="00B941A2" w:rsidRPr="00B941A2" w:rsidRDefault="00B941A2" w:rsidP="00B941A2">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941A2">
              <w:rPr>
                <w:rFonts w:eastAsia="Times New Roman" w:cs="Times New Roman"/>
                <w:sz w:val="20"/>
                <w:szCs w:val="20"/>
              </w:rPr>
              <w:t>Met</w:t>
            </w:r>
          </w:p>
        </w:tc>
      </w:tr>
      <w:tr w:rsidR="0014063F" w14:paraId="6A3C80C0" w14:textId="77777777" w:rsidTr="007770EE">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880" w:type="dxa"/>
            <w:tcBorders>
              <w:top w:val="nil"/>
              <w:left w:val="nil"/>
              <w:bottom w:val="nil"/>
              <w:right w:val="none" w:sz="0" w:space="0" w:color="auto"/>
            </w:tcBorders>
          </w:tcPr>
          <w:p w14:paraId="38AB5C9F" w14:textId="7E672F61" w:rsidR="0014063F" w:rsidRPr="0014063F" w:rsidRDefault="0014063F" w:rsidP="0007415A">
            <w:pPr>
              <w:spacing w:before="120"/>
              <w:rPr>
                <w:b w:val="0"/>
                <w:sz w:val="20"/>
                <w:szCs w:val="20"/>
              </w:rPr>
            </w:pPr>
            <w:r>
              <w:rPr>
                <w:b w:val="0"/>
                <w:sz w:val="20"/>
                <w:szCs w:val="20"/>
              </w:rPr>
              <w:t>P</w:t>
            </w:r>
            <w:r w:rsidRPr="0014063F">
              <w:rPr>
                <w:b w:val="0"/>
                <w:sz w:val="20"/>
                <w:szCs w:val="20"/>
              </w:rPr>
              <w:t xml:space="preserve">ercentage of alternative-fuel and hybrid vehicles in the </w:t>
            </w:r>
            <w:r>
              <w:rPr>
                <w:b w:val="0"/>
                <w:sz w:val="20"/>
                <w:szCs w:val="20"/>
              </w:rPr>
              <w:t>total public transit revenue fixed route fleet.</w:t>
            </w:r>
            <w:r w:rsidR="00302517">
              <w:rPr>
                <w:b w:val="0"/>
                <w:sz w:val="20"/>
                <w:szCs w:val="20"/>
              </w:rPr>
              <w:t xml:space="preserve"> (FTA)</w:t>
            </w:r>
          </w:p>
        </w:tc>
        <w:tc>
          <w:tcPr>
            <w:tcW w:w="962" w:type="dxa"/>
            <w:tcBorders>
              <w:top w:val="nil"/>
              <w:left w:val="none" w:sz="0" w:space="0" w:color="auto"/>
              <w:bottom w:val="nil"/>
              <w:right w:val="none" w:sz="0" w:space="0" w:color="auto"/>
            </w:tcBorders>
            <w:vAlign w:val="center"/>
          </w:tcPr>
          <w:p w14:paraId="210D1A21" w14:textId="3D9643D7" w:rsidR="0014063F" w:rsidRPr="0014063F" w:rsidRDefault="0014063F"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sidRPr="0014063F">
              <w:rPr>
                <w:sz w:val="20"/>
                <w:szCs w:val="20"/>
              </w:rPr>
              <w:t>44%</w:t>
            </w:r>
          </w:p>
        </w:tc>
        <w:tc>
          <w:tcPr>
            <w:tcW w:w="900" w:type="dxa"/>
            <w:tcBorders>
              <w:top w:val="nil"/>
              <w:left w:val="none" w:sz="0" w:space="0" w:color="auto"/>
              <w:bottom w:val="nil"/>
              <w:right w:val="none" w:sz="0" w:space="0" w:color="auto"/>
            </w:tcBorders>
            <w:vAlign w:val="center"/>
          </w:tcPr>
          <w:p w14:paraId="0EB019B7" w14:textId="724E602B" w:rsidR="0014063F" w:rsidRPr="0014063F" w:rsidRDefault="0014063F"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sidRPr="0014063F">
              <w:rPr>
                <w:sz w:val="20"/>
                <w:szCs w:val="20"/>
              </w:rPr>
              <w:t>45%</w:t>
            </w:r>
          </w:p>
        </w:tc>
        <w:tc>
          <w:tcPr>
            <w:tcW w:w="900" w:type="dxa"/>
            <w:tcBorders>
              <w:top w:val="nil"/>
              <w:left w:val="none" w:sz="0" w:space="0" w:color="auto"/>
              <w:bottom w:val="nil"/>
              <w:right w:val="none" w:sz="0" w:space="0" w:color="auto"/>
            </w:tcBorders>
            <w:vAlign w:val="center"/>
          </w:tcPr>
          <w:p w14:paraId="14D73E07" w14:textId="11351459" w:rsidR="0014063F" w:rsidRPr="0014063F" w:rsidRDefault="0014063F"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sidRPr="0014063F">
              <w:rPr>
                <w:sz w:val="20"/>
                <w:szCs w:val="20"/>
              </w:rPr>
              <w:t>47%</w:t>
            </w:r>
          </w:p>
        </w:tc>
        <w:tc>
          <w:tcPr>
            <w:tcW w:w="900" w:type="dxa"/>
            <w:tcBorders>
              <w:top w:val="nil"/>
              <w:left w:val="none" w:sz="0" w:space="0" w:color="auto"/>
              <w:bottom w:val="nil"/>
              <w:right w:val="none" w:sz="0" w:space="0" w:color="auto"/>
            </w:tcBorders>
            <w:vAlign w:val="center"/>
          </w:tcPr>
          <w:p w14:paraId="20733D08" w14:textId="732504CE" w:rsidR="0014063F" w:rsidRPr="0014063F" w:rsidRDefault="0014063F"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sidRPr="0014063F">
              <w:rPr>
                <w:sz w:val="20"/>
                <w:szCs w:val="20"/>
              </w:rPr>
              <w:t>50%</w:t>
            </w:r>
          </w:p>
        </w:tc>
        <w:tc>
          <w:tcPr>
            <w:tcW w:w="900" w:type="dxa"/>
            <w:tcBorders>
              <w:top w:val="nil"/>
              <w:left w:val="none" w:sz="0" w:space="0" w:color="auto"/>
              <w:bottom w:val="nil"/>
              <w:right w:val="none" w:sz="0" w:space="0" w:color="auto"/>
            </w:tcBorders>
            <w:vAlign w:val="center"/>
          </w:tcPr>
          <w:p w14:paraId="7FF90F01" w14:textId="309BCC51" w:rsidR="0014063F" w:rsidRPr="0014063F" w:rsidRDefault="0014063F"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sidRPr="0014063F">
              <w:rPr>
                <w:sz w:val="20"/>
                <w:szCs w:val="20"/>
              </w:rPr>
              <w:t>50%</w:t>
            </w:r>
          </w:p>
        </w:tc>
        <w:tc>
          <w:tcPr>
            <w:tcW w:w="990" w:type="dxa"/>
            <w:tcBorders>
              <w:top w:val="nil"/>
              <w:left w:val="none" w:sz="0" w:space="0" w:color="auto"/>
              <w:bottom w:val="nil"/>
              <w:right w:val="none" w:sz="0" w:space="0" w:color="auto"/>
            </w:tcBorders>
            <w:vAlign w:val="center"/>
          </w:tcPr>
          <w:p w14:paraId="10C194EC" w14:textId="0960BD24" w:rsidR="0014063F" w:rsidRPr="0014063F" w:rsidRDefault="0014063F"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sidRPr="0014063F">
              <w:rPr>
                <w:sz w:val="20"/>
                <w:szCs w:val="20"/>
              </w:rPr>
              <w:t>50%</w:t>
            </w:r>
          </w:p>
        </w:tc>
        <w:tc>
          <w:tcPr>
            <w:tcW w:w="900" w:type="dxa"/>
            <w:tcBorders>
              <w:top w:val="nil"/>
              <w:left w:val="none" w:sz="0" w:space="0" w:color="auto"/>
              <w:bottom w:val="nil"/>
              <w:right w:val="none" w:sz="0" w:space="0" w:color="auto"/>
            </w:tcBorders>
            <w:vAlign w:val="center"/>
          </w:tcPr>
          <w:p w14:paraId="6D7AE970" w14:textId="6DCD5EB8" w:rsidR="0014063F" w:rsidRPr="0014063F" w:rsidRDefault="0014063F"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sidRPr="0014063F">
              <w:rPr>
                <w:sz w:val="20"/>
                <w:szCs w:val="20"/>
              </w:rPr>
              <w:t>50%</w:t>
            </w:r>
          </w:p>
        </w:tc>
        <w:tc>
          <w:tcPr>
            <w:tcW w:w="1018" w:type="dxa"/>
            <w:tcBorders>
              <w:top w:val="nil"/>
              <w:left w:val="none" w:sz="0" w:space="0" w:color="auto"/>
              <w:bottom w:val="nil"/>
              <w:right w:val="nil"/>
            </w:tcBorders>
            <w:vAlign w:val="center"/>
          </w:tcPr>
          <w:p w14:paraId="1F5A6760" w14:textId="7206F859" w:rsidR="0014063F" w:rsidRPr="0014063F" w:rsidRDefault="0014063F" w:rsidP="0014063F">
            <w:pPr>
              <w:jc w:val="center"/>
              <w:cnfStyle w:val="000000010000" w:firstRow="0" w:lastRow="0" w:firstColumn="0" w:lastColumn="0" w:oddVBand="0" w:evenVBand="0" w:oddHBand="0" w:evenHBand="1" w:firstRowFirstColumn="0" w:firstRowLastColumn="0" w:lastRowFirstColumn="0" w:lastRowLastColumn="0"/>
              <w:rPr>
                <w:sz w:val="20"/>
                <w:szCs w:val="20"/>
              </w:rPr>
            </w:pPr>
            <w:r w:rsidRPr="0014063F">
              <w:rPr>
                <w:sz w:val="20"/>
                <w:szCs w:val="20"/>
              </w:rPr>
              <w:t>NA</w:t>
            </w:r>
          </w:p>
        </w:tc>
      </w:tr>
      <w:tr w:rsidR="0014063F" w14:paraId="6F59B2BD" w14:textId="77777777" w:rsidTr="007770EE">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880" w:type="dxa"/>
            <w:tcBorders>
              <w:top w:val="nil"/>
              <w:left w:val="nil"/>
              <w:bottom w:val="nil"/>
            </w:tcBorders>
            <w:shd w:val="clear" w:color="auto" w:fill="EAF1DD" w:themeFill="accent3" w:themeFillTint="33"/>
            <w:vAlign w:val="center"/>
          </w:tcPr>
          <w:p w14:paraId="4D65D74A" w14:textId="57919C5D" w:rsidR="0014063F" w:rsidRPr="0014063F" w:rsidRDefault="0014063F" w:rsidP="0007415A">
            <w:pPr>
              <w:spacing w:before="120"/>
              <w:rPr>
                <w:rFonts w:cs="Times New Roman"/>
                <w:b w:val="0"/>
                <w:sz w:val="20"/>
                <w:szCs w:val="20"/>
              </w:rPr>
            </w:pPr>
            <w:r>
              <w:rPr>
                <w:rFonts w:eastAsia="Calibri" w:cs="Times New Roman"/>
                <w:b w:val="0"/>
                <w:color w:val="000000"/>
                <w:sz w:val="20"/>
                <w:szCs w:val="20"/>
              </w:rPr>
              <w:t>R</w:t>
            </w:r>
            <w:r w:rsidRPr="0014063F">
              <w:rPr>
                <w:rFonts w:eastAsia="Calibri" w:cs="Times New Roman"/>
                <w:b w:val="0"/>
                <w:color w:val="000000"/>
                <w:sz w:val="20"/>
                <w:szCs w:val="20"/>
              </w:rPr>
              <w:t xml:space="preserve">atio of incoming </w:t>
            </w:r>
            <w:r>
              <w:rPr>
                <w:rFonts w:eastAsia="Calibri" w:cs="Times New Roman"/>
                <w:b w:val="0"/>
                <w:color w:val="000000"/>
                <w:sz w:val="20"/>
                <w:szCs w:val="20"/>
              </w:rPr>
              <w:t xml:space="preserve">Federally owned </w:t>
            </w:r>
            <w:r w:rsidR="00FE22EA">
              <w:rPr>
                <w:rFonts w:eastAsia="Calibri" w:cs="Times New Roman"/>
                <w:b w:val="0"/>
                <w:color w:val="000000"/>
                <w:sz w:val="20"/>
                <w:szCs w:val="20"/>
              </w:rPr>
              <w:t xml:space="preserve">maritime </w:t>
            </w:r>
            <w:r w:rsidRPr="0014063F">
              <w:rPr>
                <w:rFonts w:eastAsia="Calibri" w:cs="Times New Roman"/>
                <w:b w:val="0"/>
                <w:color w:val="000000"/>
                <w:sz w:val="20"/>
                <w:szCs w:val="20"/>
              </w:rPr>
              <w:t>vessels to vessels removed</w:t>
            </w:r>
            <w:r>
              <w:rPr>
                <w:rFonts w:eastAsia="Calibri" w:cs="Times New Roman"/>
                <w:b w:val="0"/>
                <w:color w:val="000000"/>
                <w:sz w:val="20"/>
                <w:szCs w:val="20"/>
              </w:rPr>
              <w:t>.</w:t>
            </w:r>
            <w:r w:rsidR="00302517">
              <w:rPr>
                <w:rFonts w:eastAsia="Calibri" w:cs="Times New Roman"/>
                <w:b w:val="0"/>
                <w:color w:val="000000"/>
                <w:sz w:val="20"/>
                <w:szCs w:val="20"/>
              </w:rPr>
              <w:t xml:space="preserve"> (MARAD)</w:t>
            </w:r>
          </w:p>
        </w:tc>
        <w:tc>
          <w:tcPr>
            <w:tcW w:w="962" w:type="dxa"/>
            <w:tcBorders>
              <w:top w:val="nil"/>
              <w:bottom w:val="nil"/>
            </w:tcBorders>
            <w:shd w:val="clear" w:color="auto" w:fill="EAF1DD" w:themeFill="accent3" w:themeFillTint="33"/>
            <w:vAlign w:val="center"/>
          </w:tcPr>
          <w:p w14:paraId="57010CD8" w14:textId="3F0E6DF1" w:rsidR="0014063F" w:rsidRPr="0014063F" w:rsidRDefault="0014063F"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4063F">
              <w:rPr>
                <w:rFonts w:eastAsia="Times New Roman" w:cs="Times New Roman"/>
                <w:sz w:val="20"/>
                <w:szCs w:val="20"/>
              </w:rPr>
              <w:t>N/A</w:t>
            </w:r>
          </w:p>
        </w:tc>
        <w:tc>
          <w:tcPr>
            <w:tcW w:w="900" w:type="dxa"/>
            <w:tcBorders>
              <w:top w:val="nil"/>
              <w:bottom w:val="nil"/>
            </w:tcBorders>
            <w:shd w:val="clear" w:color="auto" w:fill="EAF1DD" w:themeFill="accent3" w:themeFillTint="33"/>
            <w:vAlign w:val="center"/>
          </w:tcPr>
          <w:p w14:paraId="5E56A7F0" w14:textId="3D59129F" w:rsidR="0014063F" w:rsidRPr="0014063F" w:rsidRDefault="0014063F"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4063F">
              <w:rPr>
                <w:rFonts w:eastAsia="Times New Roman" w:cs="Times New Roman"/>
                <w:sz w:val="20"/>
                <w:szCs w:val="20"/>
              </w:rPr>
              <w:t>N/A</w:t>
            </w:r>
          </w:p>
        </w:tc>
        <w:tc>
          <w:tcPr>
            <w:tcW w:w="900" w:type="dxa"/>
            <w:tcBorders>
              <w:top w:val="nil"/>
              <w:bottom w:val="nil"/>
            </w:tcBorders>
            <w:shd w:val="clear" w:color="auto" w:fill="EAF1DD" w:themeFill="accent3" w:themeFillTint="33"/>
            <w:vAlign w:val="center"/>
          </w:tcPr>
          <w:p w14:paraId="3D758A7D" w14:textId="41B1BF66" w:rsidR="0014063F" w:rsidRPr="0014063F" w:rsidRDefault="0014063F"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4063F">
              <w:rPr>
                <w:rFonts w:eastAsia="Times New Roman" w:cs="Times New Roman"/>
                <w:sz w:val="20"/>
                <w:szCs w:val="20"/>
              </w:rPr>
              <w:t>N/A</w:t>
            </w:r>
          </w:p>
        </w:tc>
        <w:tc>
          <w:tcPr>
            <w:tcW w:w="900" w:type="dxa"/>
            <w:tcBorders>
              <w:top w:val="nil"/>
              <w:bottom w:val="nil"/>
            </w:tcBorders>
            <w:shd w:val="clear" w:color="auto" w:fill="EAF1DD" w:themeFill="accent3" w:themeFillTint="33"/>
            <w:vAlign w:val="center"/>
          </w:tcPr>
          <w:p w14:paraId="614EB141" w14:textId="6E761159" w:rsidR="0014063F" w:rsidRPr="0014063F" w:rsidRDefault="0014063F"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4063F">
              <w:rPr>
                <w:rFonts w:eastAsia="Times New Roman" w:cs="Times New Roman"/>
                <w:sz w:val="20"/>
                <w:szCs w:val="20"/>
              </w:rPr>
              <w:t>1.0</w:t>
            </w:r>
          </w:p>
        </w:tc>
        <w:tc>
          <w:tcPr>
            <w:tcW w:w="900" w:type="dxa"/>
            <w:tcBorders>
              <w:top w:val="nil"/>
              <w:bottom w:val="nil"/>
            </w:tcBorders>
            <w:shd w:val="clear" w:color="auto" w:fill="EAF1DD" w:themeFill="accent3" w:themeFillTint="33"/>
            <w:vAlign w:val="center"/>
          </w:tcPr>
          <w:p w14:paraId="22F2EE45" w14:textId="6DBA52EA" w:rsidR="0014063F" w:rsidRPr="0014063F" w:rsidRDefault="0014063F"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4063F">
              <w:rPr>
                <w:rFonts w:eastAsia="Times New Roman" w:cs="Times New Roman"/>
                <w:sz w:val="20"/>
                <w:szCs w:val="20"/>
              </w:rPr>
              <w:t>1.0</w:t>
            </w:r>
          </w:p>
        </w:tc>
        <w:tc>
          <w:tcPr>
            <w:tcW w:w="990" w:type="dxa"/>
            <w:tcBorders>
              <w:top w:val="nil"/>
              <w:bottom w:val="nil"/>
            </w:tcBorders>
            <w:shd w:val="clear" w:color="auto" w:fill="EAF1DD" w:themeFill="accent3" w:themeFillTint="33"/>
            <w:vAlign w:val="center"/>
          </w:tcPr>
          <w:p w14:paraId="5CAB96DF" w14:textId="006CE93C" w:rsidR="0014063F" w:rsidRPr="0014063F" w:rsidRDefault="0014063F"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4063F">
              <w:rPr>
                <w:rFonts w:eastAsia="Times New Roman" w:cs="Times New Roman"/>
                <w:sz w:val="20"/>
                <w:szCs w:val="20"/>
              </w:rPr>
              <w:t>1.0</w:t>
            </w:r>
          </w:p>
        </w:tc>
        <w:tc>
          <w:tcPr>
            <w:tcW w:w="900" w:type="dxa"/>
            <w:tcBorders>
              <w:top w:val="nil"/>
              <w:bottom w:val="nil"/>
            </w:tcBorders>
            <w:shd w:val="clear" w:color="auto" w:fill="EAF1DD" w:themeFill="accent3" w:themeFillTint="33"/>
            <w:vAlign w:val="center"/>
          </w:tcPr>
          <w:p w14:paraId="3DC7BFA1" w14:textId="3F1FA918" w:rsidR="0014063F" w:rsidRPr="0014063F" w:rsidRDefault="0014063F"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4063F">
              <w:rPr>
                <w:rFonts w:eastAsia="Times New Roman" w:cs="Times New Roman"/>
                <w:sz w:val="20"/>
                <w:szCs w:val="20"/>
              </w:rPr>
              <w:t>1.0</w:t>
            </w:r>
          </w:p>
        </w:tc>
        <w:tc>
          <w:tcPr>
            <w:tcW w:w="1018" w:type="dxa"/>
            <w:tcBorders>
              <w:top w:val="nil"/>
              <w:bottom w:val="nil"/>
              <w:right w:val="nil"/>
            </w:tcBorders>
            <w:shd w:val="clear" w:color="auto" w:fill="EAF1DD" w:themeFill="accent3" w:themeFillTint="33"/>
            <w:vAlign w:val="center"/>
          </w:tcPr>
          <w:p w14:paraId="330F5C6E" w14:textId="676EDD35" w:rsidR="0014063F" w:rsidRPr="0014063F" w:rsidRDefault="0014063F" w:rsidP="0014063F">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4063F">
              <w:rPr>
                <w:rFonts w:eastAsia="Times New Roman" w:cs="Times New Roman"/>
                <w:sz w:val="20"/>
                <w:szCs w:val="20"/>
              </w:rPr>
              <w:t>Met</w:t>
            </w:r>
          </w:p>
        </w:tc>
      </w:tr>
      <w:tr w:rsidR="0014063F" w14:paraId="292D627C" w14:textId="77777777" w:rsidTr="007770EE">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880" w:type="dxa"/>
            <w:tcBorders>
              <w:top w:val="nil"/>
              <w:left w:val="nil"/>
              <w:bottom w:val="nil"/>
            </w:tcBorders>
            <w:shd w:val="clear" w:color="auto" w:fill="auto"/>
            <w:vAlign w:val="center"/>
          </w:tcPr>
          <w:p w14:paraId="5F2AE123" w14:textId="08288CDB" w:rsidR="0014063F" w:rsidRPr="0014063F" w:rsidRDefault="0014063F" w:rsidP="00FE22EA">
            <w:pPr>
              <w:spacing w:before="120"/>
              <w:rPr>
                <w:rFonts w:cs="Times New Roman"/>
                <w:b w:val="0"/>
                <w:sz w:val="20"/>
                <w:szCs w:val="20"/>
              </w:rPr>
            </w:pPr>
            <w:r w:rsidRPr="0014063F">
              <w:rPr>
                <w:rFonts w:eastAsia="Calibri" w:cs="Times New Roman"/>
                <w:b w:val="0"/>
                <w:color w:val="000000"/>
                <w:sz w:val="20"/>
                <w:szCs w:val="20"/>
              </w:rPr>
              <w:t>Cumulat</w:t>
            </w:r>
            <w:r w:rsidR="00FE22EA">
              <w:rPr>
                <w:rFonts w:eastAsia="Calibri" w:cs="Times New Roman"/>
                <w:b w:val="0"/>
                <w:color w:val="000000"/>
                <w:sz w:val="20"/>
                <w:szCs w:val="20"/>
              </w:rPr>
              <w:t xml:space="preserve">ive number of ships </w:t>
            </w:r>
            <w:r w:rsidRPr="0014063F">
              <w:rPr>
                <w:rFonts w:eastAsia="Calibri" w:cs="Times New Roman"/>
                <w:b w:val="0"/>
                <w:color w:val="000000"/>
                <w:sz w:val="20"/>
                <w:szCs w:val="20"/>
              </w:rPr>
              <w:t>safely removed from the</w:t>
            </w:r>
            <w:r>
              <w:rPr>
                <w:rFonts w:eastAsia="Calibri" w:cs="Times New Roman"/>
                <w:b w:val="0"/>
                <w:color w:val="000000"/>
                <w:sz w:val="20"/>
                <w:szCs w:val="20"/>
              </w:rPr>
              <w:t xml:space="preserve"> Suisun Bay Reserve Fleet</w:t>
            </w:r>
            <w:r w:rsidRPr="0014063F">
              <w:rPr>
                <w:rFonts w:eastAsia="Calibri" w:cs="Times New Roman"/>
                <w:b w:val="0"/>
                <w:color w:val="000000"/>
                <w:sz w:val="20"/>
                <w:szCs w:val="20"/>
              </w:rPr>
              <w:t xml:space="preserve"> for disposal</w:t>
            </w:r>
            <w:r w:rsidR="00FE22EA">
              <w:rPr>
                <w:rFonts w:eastAsia="Calibri" w:cs="Times New Roman"/>
                <w:b w:val="0"/>
                <w:color w:val="000000"/>
                <w:sz w:val="20"/>
                <w:szCs w:val="20"/>
              </w:rPr>
              <w:t xml:space="preserve"> since 2010</w:t>
            </w:r>
            <w:r w:rsidR="00302517">
              <w:rPr>
                <w:rFonts w:eastAsia="Calibri" w:cs="Times New Roman"/>
                <w:b w:val="0"/>
                <w:color w:val="000000"/>
                <w:sz w:val="20"/>
                <w:szCs w:val="20"/>
              </w:rPr>
              <w:t xml:space="preserve"> (MARAD)</w:t>
            </w:r>
          </w:p>
        </w:tc>
        <w:tc>
          <w:tcPr>
            <w:tcW w:w="962" w:type="dxa"/>
            <w:tcBorders>
              <w:top w:val="nil"/>
              <w:bottom w:val="nil"/>
            </w:tcBorders>
            <w:shd w:val="clear" w:color="auto" w:fill="auto"/>
            <w:vAlign w:val="center"/>
          </w:tcPr>
          <w:p w14:paraId="0B0BEBE3" w14:textId="34534E57" w:rsidR="0014063F" w:rsidRPr="0014063F" w:rsidRDefault="0014063F"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4063F">
              <w:rPr>
                <w:rFonts w:eastAsia="Times New Roman" w:cs="Times New Roman"/>
                <w:sz w:val="20"/>
                <w:szCs w:val="20"/>
              </w:rPr>
              <w:t>26</w:t>
            </w:r>
          </w:p>
        </w:tc>
        <w:tc>
          <w:tcPr>
            <w:tcW w:w="900" w:type="dxa"/>
            <w:tcBorders>
              <w:top w:val="nil"/>
              <w:bottom w:val="nil"/>
            </w:tcBorders>
            <w:shd w:val="clear" w:color="auto" w:fill="auto"/>
            <w:vAlign w:val="center"/>
          </w:tcPr>
          <w:p w14:paraId="636513B8" w14:textId="0FB1E491" w:rsidR="0014063F" w:rsidRPr="0014063F" w:rsidRDefault="0014063F"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4063F">
              <w:rPr>
                <w:rFonts w:eastAsia="Times New Roman" w:cs="Times New Roman"/>
                <w:sz w:val="20"/>
                <w:szCs w:val="20"/>
              </w:rPr>
              <w:t>36</w:t>
            </w:r>
          </w:p>
        </w:tc>
        <w:tc>
          <w:tcPr>
            <w:tcW w:w="900" w:type="dxa"/>
            <w:tcBorders>
              <w:top w:val="nil"/>
              <w:bottom w:val="nil"/>
            </w:tcBorders>
            <w:shd w:val="clear" w:color="auto" w:fill="auto"/>
            <w:vAlign w:val="center"/>
          </w:tcPr>
          <w:p w14:paraId="37B252C9" w14:textId="5A6F3B3B" w:rsidR="0014063F" w:rsidRPr="0014063F" w:rsidRDefault="0014063F"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4063F">
              <w:rPr>
                <w:rFonts w:eastAsia="Times New Roman" w:cs="Times New Roman"/>
                <w:sz w:val="20"/>
                <w:szCs w:val="20"/>
              </w:rPr>
              <w:t>44</w:t>
            </w:r>
          </w:p>
        </w:tc>
        <w:tc>
          <w:tcPr>
            <w:tcW w:w="900" w:type="dxa"/>
            <w:tcBorders>
              <w:top w:val="nil"/>
              <w:bottom w:val="nil"/>
            </w:tcBorders>
            <w:shd w:val="clear" w:color="auto" w:fill="auto"/>
            <w:vAlign w:val="center"/>
          </w:tcPr>
          <w:p w14:paraId="4F1EB3CC" w14:textId="509E5E08" w:rsidR="0014063F" w:rsidRPr="0014063F" w:rsidRDefault="0014063F"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4063F">
              <w:rPr>
                <w:rFonts w:eastAsia="Times New Roman" w:cs="Times New Roman"/>
                <w:sz w:val="20"/>
                <w:szCs w:val="20"/>
              </w:rPr>
              <w:t>52</w:t>
            </w:r>
          </w:p>
        </w:tc>
        <w:tc>
          <w:tcPr>
            <w:tcW w:w="900" w:type="dxa"/>
            <w:tcBorders>
              <w:top w:val="nil"/>
              <w:bottom w:val="nil"/>
            </w:tcBorders>
            <w:shd w:val="clear" w:color="auto" w:fill="auto"/>
            <w:vAlign w:val="center"/>
          </w:tcPr>
          <w:p w14:paraId="67E47D96" w14:textId="5DB5A779" w:rsidR="0014063F" w:rsidRPr="0014063F" w:rsidRDefault="0014063F"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4063F">
              <w:rPr>
                <w:rFonts w:eastAsia="Times New Roman" w:cs="Times New Roman"/>
                <w:sz w:val="20"/>
                <w:szCs w:val="20"/>
              </w:rPr>
              <w:t>54</w:t>
            </w:r>
          </w:p>
        </w:tc>
        <w:tc>
          <w:tcPr>
            <w:tcW w:w="990" w:type="dxa"/>
            <w:tcBorders>
              <w:top w:val="nil"/>
              <w:bottom w:val="nil"/>
            </w:tcBorders>
            <w:shd w:val="clear" w:color="auto" w:fill="auto"/>
            <w:vAlign w:val="center"/>
          </w:tcPr>
          <w:p w14:paraId="43B2D396" w14:textId="59545DDD" w:rsidR="0014063F" w:rsidRPr="0014063F" w:rsidRDefault="0014063F"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4063F">
              <w:rPr>
                <w:rFonts w:eastAsia="Times New Roman" w:cs="Times New Roman"/>
                <w:sz w:val="20"/>
                <w:szCs w:val="20"/>
              </w:rPr>
              <w:t>50</w:t>
            </w:r>
          </w:p>
        </w:tc>
        <w:tc>
          <w:tcPr>
            <w:tcW w:w="900" w:type="dxa"/>
            <w:tcBorders>
              <w:top w:val="nil"/>
              <w:bottom w:val="nil"/>
            </w:tcBorders>
            <w:shd w:val="clear" w:color="auto" w:fill="auto"/>
            <w:vAlign w:val="center"/>
          </w:tcPr>
          <w:p w14:paraId="3E6BF124" w14:textId="1F0A1CD0" w:rsidR="0014063F" w:rsidRPr="0014063F" w:rsidRDefault="0014063F"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4063F">
              <w:rPr>
                <w:rFonts w:eastAsia="Times New Roman" w:cs="Times New Roman"/>
                <w:sz w:val="20"/>
                <w:szCs w:val="20"/>
              </w:rPr>
              <w:t>55</w:t>
            </w:r>
          </w:p>
        </w:tc>
        <w:tc>
          <w:tcPr>
            <w:tcW w:w="1018" w:type="dxa"/>
            <w:tcBorders>
              <w:top w:val="nil"/>
              <w:bottom w:val="nil"/>
              <w:right w:val="nil"/>
            </w:tcBorders>
            <w:shd w:val="clear" w:color="auto" w:fill="auto"/>
            <w:vAlign w:val="center"/>
          </w:tcPr>
          <w:p w14:paraId="4E0ECF23" w14:textId="398E6F75" w:rsidR="0014063F" w:rsidRPr="0014063F" w:rsidRDefault="0014063F" w:rsidP="0014063F">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4063F">
              <w:rPr>
                <w:rFonts w:eastAsia="Times New Roman" w:cs="Times New Roman"/>
                <w:sz w:val="20"/>
                <w:szCs w:val="20"/>
              </w:rPr>
              <w:t>Met</w:t>
            </w:r>
          </w:p>
        </w:tc>
      </w:tr>
      <w:tr w:rsidR="00195C30" w:rsidRPr="00195C30" w14:paraId="78A255D3" w14:textId="77777777" w:rsidTr="007770EE">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880" w:type="dxa"/>
            <w:tcBorders>
              <w:top w:val="nil"/>
              <w:left w:val="nil"/>
              <w:bottom w:val="nil"/>
            </w:tcBorders>
            <w:shd w:val="clear" w:color="auto" w:fill="EAF1DD" w:themeFill="accent3" w:themeFillTint="33"/>
            <w:vAlign w:val="center"/>
          </w:tcPr>
          <w:p w14:paraId="4D27F0AF" w14:textId="16B064B5" w:rsidR="00195C30" w:rsidRPr="00195C30" w:rsidRDefault="00195C30" w:rsidP="0007415A">
            <w:pPr>
              <w:spacing w:before="120"/>
              <w:rPr>
                <w:rFonts w:cs="Times New Roman"/>
                <w:b w:val="0"/>
                <w:sz w:val="20"/>
                <w:szCs w:val="20"/>
              </w:rPr>
            </w:pPr>
            <w:r w:rsidRPr="00195C30">
              <w:rPr>
                <w:rFonts w:eastAsia="Calibri" w:cs="Times New Roman"/>
                <w:b w:val="0"/>
                <w:sz w:val="20"/>
                <w:szCs w:val="20"/>
              </w:rPr>
              <w:t>Major hazardous liquid pipeline spills</w:t>
            </w:r>
            <w:r w:rsidR="00302517">
              <w:rPr>
                <w:rFonts w:eastAsia="Calibri" w:cs="Times New Roman"/>
                <w:b w:val="0"/>
                <w:sz w:val="20"/>
                <w:szCs w:val="20"/>
              </w:rPr>
              <w:t xml:space="preserve"> (FMCSA)</w:t>
            </w:r>
          </w:p>
        </w:tc>
        <w:tc>
          <w:tcPr>
            <w:tcW w:w="962" w:type="dxa"/>
            <w:tcBorders>
              <w:top w:val="nil"/>
              <w:bottom w:val="nil"/>
            </w:tcBorders>
            <w:shd w:val="clear" w:color="auto" w:fill="EAF1DD" w:themeFill="accent3" w:themeFillTint="33"/>
            <w:vAlign w:val="center"/>
          </w:tcPr>
          <w:p w14:paraId="104947EA" w14:textId="4B272DEA" w:rsidR="00195C30" w:rsidRPr="00195C30" w:rsidRDefault="00195C30"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95C30">
              <w:rPr>
                <w:rFonts w:eastAsia="Calibri" w:cs="Times New Roman"/>
                <w:sz w:val="20"/>
                <w:szCs w:val="20"/>
              </w:rPr>
              <w:t>39</w:t>
            </w:r>
          </w:p>
        </w:tc>
        <w:tc>
          <w:tcPr>
            <w:tcW w:w="900" w:type="dxa"/>
            <w:tcBorders>
              <w:top w:val="nil"/>
              <w:bottom w:val="nil"/>
            </w:tcBorders>
            <w:shd w:val="clear" w:color="auto" w:fill="EAF1DD" w:themeFill="accent3" w:themeFillTint="33"/>
            <w:vAlign w:val="center"/>
          </w:tcPr>
          <w:p w14:paraId="6658836B" w14:textId="18191B58" w:rsidR="00195C30" w:rsidRPr="00195C30" w:rsidRDefault="00195C30"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95C30">
              <w:rPr>
                <w:rFonts w:eastAsia="Calibri" w:cs="Times New Roman"/>
                <w:sz w:val="20"/>
                <w:szCs w:val="20"/>
              </w:rPr>
              <w:t>36</w:t>
            </w:r>
          </w:p>
        </w:tc>
        <w:tc>
          <w:tcPr>
            <w:tcW w:w="900" w:type="dxa"/>
            <w:tcBorders>
              <w:top w:val="nil"/>
              <w:bottom w:val="nil"/>
            </w:tcBorders>
            <w:shd w:val="clear" w:color="auto" w:fill="EAF1DD" w:themeFill="accent3" w:themeFillTint="33"/>
            <w:vAlign w:val="center"/>
          </w:tcPr>
          <w:p w14:paraId="6CB68E8A" w14:textId="67A29124" w:rsidR="00195C30" w:rsidRPr="00195C30" w:rsidRDefault="00195C30"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95C30">
              <w:rPr>
                <w:rFonts w:eastAsia="Calibri" w:cs="Times New Roman"/>
                <w:sz w:val="20"/>
                <w:szCs w:val="20"/>
              </w:rPr>
              <w:t>39</w:t>
            </w:r>
          </w:p>
        </w:tc>
        <w:tc>
          <w:tcPr>
            <w:tcW w:w="900" w:type="dxa"/>
            <w:tcBorders>
              <w:top w:val="nil"/>
              <w:bottom w:val="nil"/>
            </w:tcBorders>
            <w:shd w:val="clear" w:color="auto" w:fill="EAF1DD" w:themeFill="accent3" w:themeFillTint="33"/>
            <w:vAlign w:val="center"/>
          </w:tcPr>
          <w:p w14:paraId="328728D6" w14:textId="3B5329E9" w:rsidR="00195C30" w:rsidRPr="00195C30" w:rsidRDefault="00195C30"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95C30">
              <w:rPr>
                <w:rFonts w:eastAsia="Times New Roman" w:cs="Times New Roman"/>
                <w:sz w:val="20"/>
                <w:szCs w:val="20"/>
              </w:rPr>
              <w:t>37</w:t>
            </w:r>
          </w:p>
        </w:tc>
        <w:tc>
          <w:tcPr>
            <w:tcW w:w="900" w:type="dxa"/>
            <w:tcBorders>
              <w:top w:val="nil"/>
              <w:bottom w:val="nil"/>
            </w:tcBorders>
            <w:shd w:val="clear" w:color="auto" w:fill="EAF1DD" w:themeFill="accent3" w:themeFillTint="33"/>
            <w:vAlign w:val="center"/>
          </w:tcPr>
          <w:p w14:paraId="06367861" w14:textId="56CA7B88" w:rsidR="00195C30" w:rsidRPr="00195C30" w:rsidRDefault="00195C30"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95C30">
              <w:rPr>
                <w:rFonts w:eastAsiaTheme="minorEastAsia" w:cs="Times New Roman"/>
                <w:sz w:val="20"/>
                <w:szCs w:val="20"/>
                <w:lang w:eastAsia="zh-CN"/>
              </w:rPr>
              <w:t>42</w:t>
            </w:r>
          </w:p>
        </w:tc>
        <w:tc>
          <w:tcPr>
            <w:tcW w:w="990" w:type="dxa"/>
            <w:tcBorders>
              <w:top w:val="nil"/>
              <w:bottom w:val="nil"/>
            </w:tcBorders>
            <w:shd w:val="clear" w:color="auto" w:fill="EAF1DD" w:themeFill="accent3" w:themeFillTint="33"/>
            <w:vAlign w:val="center"/>
          </w:tcPr>
          <w:p w14:paraId="72B4E485" w14:textId="4A82225E" w:rsidR="00195C30" w:rsidRPr="00195C30" w:rsidRDefault="00195C30"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95C30">
              <w:rPr>
                <w:rFonts w:eastAsiaTheme="minorEastAsia" w:cs="Times New Roman"/>
                <w:sz w:val="20"/>
                <w:szCs w:val="20"/>
                <w:lang w:eastAsia="zh-CN"/>
              </w:rPr>
              <w:t>32</w:t>
            </w:r>
          </w:p>
        </w:tc>
        <w:tc>
          <w:tcPr>
            <w:tcW w:w="900" w:type="dxa"/>
            <w:tcBorders>
              <w:top w:val="nil"/>
              <w:bottom w:val="nil"/>
            </w:tcBorders>
            <w:shd w:val="clear" w:color="auto" w:fill="EAF1DD" w:themeFill="accent3" w:themeFillTint="33"/>
            <w:vAlign w:val="center"/>
          </w:tcPr>
          <w:p w14:paraId="20AFC6DE" w14:textId="67B8DE2E" w:rsidR="00195C30" w:rsidRPr="00195C30" w:rsidRDefault="00195C30" w:rsidP="0007415A">
            <w:pPr>
              <w:spacing w:before="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95C30">
              <w:rPr>
                <w:rFonts w:eastAsia="Times New Roman" w:cs="Times New Roman"/>
                <w:sz w:val="20"/>
                <w:szCs w:val="20"/>
              </w:rPr>
              <w:t>34</w:t>
            </w:r>
          </w:p>
        </w:tc>
        <w:tc>
          <w:tcPr>
            <w:tcW w:w="1018" w:type="dxa"/>
            <w:tcBorders>
              <w:top w:val="nil"/>
              <w:bottom w:val="nil"/>
              <w:right w:val="nil"/>
            </w:tcBorders>
            <w:shd w:val="clear" w:color="auto" w:fill="EAF1DD" w:themeFill="accent3" w:themeFillTint="33"/>
            <w:vAlign w:val="center"/>
          </w:tcPr>
          <w:p w14:paraId="126CF291" w14:textId="6FEFAB7A" w:rsidR="00195C30" w:rsidRPr="00195C30" w:rsidRDefault="00195C30" w:rsidP="00195C3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95C30">
              <w:rPr>
                <w:rFonts w:eastAsia="Times New Roman" w:cs="Times New Roman"/>
                <w:sz w:val="20"/>
                <w:szCs w:val="20"/>
              </w:rPr>
              <w:t>Not met</w:t>
            </w:r>
          </w:p>
        </w:tc>
      </w:tr>
      <w:tr w:rsidR="00195C30" w14:paraId="02339672" w14:textId="77777777" w:rsidTr="007770EE">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880" w:type="dxa"/>
            <w:tcBorders>
              <w:top w:val="nil"/>
              <w:left w:val="nil"/>
              <w:bottom w:val="nil"/>
            </w:tcBorders>
            <w:shd w:val="clear" w:color="auto" w:fill="auto"/>
          </w:tcPr>
          <w:p w14:paraId="06C385DA" w14:textId="0814419C" w:rsidR="00195C30" w:rsidRPr="00195C30" w:rsidRDefault="00195C30" w:rsidP="0007415A">
            <w:pPr>
              <w:spacing w:before="120"/>
              <w:rPr>
                <w:rFonts w:cs="Times New Roman"/>
                <w:b w:val="0"/>
                <w:sz w:val="20"/>
                <w:szCs w:val="20"/>
              </w:rPr>
            </w:pPr>
            <w:r w:rsidRPr="00195C30">
              <w:rPr>
                <w:rFonts w:eastAsia="Times New Roman" w:cs="Times New Roman"/>
                <w:b w:val="0"/>
                <w:sz w:val="20"/>
                <w:szCs w:val="20"/>
              </w:rPr>
              <w:t>U.S. population exposed to significant aircraft noise around airports</w:t>
            </w:r>
            <w:r w:rsidR="00302517">
              <w:rPr>
                <w:rFonts w:eastAsia="Times New Roman" w:cs="Times New Roman"/>
                <w:b w:val="0"/>
                <w:sz w:val="20"/>
                <w:szCs w:val="20"/>
              </w:rPr>
              <w:t xml:space="preserve"> (FAA)</w:t>
            </w:r>
          </w:p>
        </w:tc>
        <w:tc>
          <w:tcPr>
            <w:tcW w:w="962" w:type="dxa"/>
            <w:tcBorders>
              <w:top w:val="nil"/>
              <w:bottom w:val="nil"/>
            </w:tcBorders>
            <w:shd w:val="clear" w:color="auto" w:fill="auto"/>
            <w:vAlign w:val="center"/>
          </w:tcPr>
          <w:p w14:paraId="15F2BBF6" w14:textId="56E5D7BD" w:rsidR="00195C30" w:rsidRPr="00195C30" w:rsidRDefault="00195C30"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95C30">
              <w:rPr>
                <w:rFonts w:eastAsiaTheme="minorEastAsia" w:cs="Times New Roman"/>
                <w:sz w:val="20"/>
                <w:szCs w:val="20"/>
                <w:lang w:eastAsia="zh-CN"/>
              </w:rPr>
              <w:t>318,000</w:t>
            </w:r>
          </w:p>
        </w:tc>
        <w:tc>
          <w:tcPr>
            <w:tcW w:w="900" w:type="dxa"/>
            <w:tcBorders>
              <w:top w:val="nil"/>
              <w:bottom w:val="nil"/>
            </w:tcBorders>
            <w:shd w:val="clear" w:color="auto" w:fill="auto"/>
            <w:vAlign w:val="center"/>
          </w:tcPr>
          <w:p w14:paraId="1C2195F3" w14:textId="6CB05E6C" w:rsidR="00195C30" w:rsidRPr="00195C30" w:rsidRDefault="00195C30"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95C30">
              <w:rPr>
                <w:rFonts w:eastAsiaTheme="minorEastAsia" w:cs="Times New Roman"/>
                <w:sz w:val="20"/>
                <w:szCs w:val="20"/>
                <w:lang w:eastAsia="zh-CN"/>
              </w:rPr>
              <w:t>315,000</w:t>
            </w:r>
          </w:p>
        </w:tc>
        <w:tc>
          <w:tcPr>
            <w:tcW w:w="900" w:type="dxa"/>
            <w:tcBorders>
              <w:top w:val="nil"/>
              <w:bottom w:val="nil"/>
            </w:tcBorders>
            <w:shd w:val="clear" w:color="auto" w:fill="auto"/>
            <w:vAlign w:val="center"/>
          </w:tcPr>
          <w:p w14:paraId="4F824CFD" w14:textId="76890754" w:rsidR="00195C30" w:rsidRPr="00195C30" w:rsidRDefault="00195C30"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95C30">
              <w:rPr>
                <w:rFonts w:eastAsiaTheme="minorEastAsia" w:cs="Times New Roman"/>
                <w:sz w:val="20"/>
                <w:szCs w:val="20"/>
                <w:lang w:eastAsia="zh-CN"/>
              </w:rPr>
              <w:t>319,000</w:t>
            </w:r>
          </w:p>
        </w:tc>
        <w:tc>
          <w:tcPr>
            <w:tcW w:w="900" w:type="dxa"/>
            <w:tcBorders>
              <w:top w:val="nil"/>
              <w:bottom w:val="nil"/>
            </w:tcBorders>
            <w:shd w:val="clear" w:color="auto" w:fill="auto"/>
            <w:vAlign w:val="center"/>
          </w:tcPr>
          <w:p w14:paraId="54D06B36" w14:textId="34C6FE2D" w:rsidR="00195C30" w:rsidRPr="00195C30" w:rsidRDefault="00195C30"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95C30">
              <w:rPr>
                <w:rFonts w:cs="Times New Roman"/>
                <w:sz w:val="20"/>
                <w:szCs w:val="20"/>
              </w:rPr>
              <w:t>321,000</w:t>
            </w:r>
          </w:p>
        </w:tc>
        <w:tc>
          <w:tcPr>
            <w:tcW w:w="900" w:type="dxa"/>
            <w:tcBorders>
              <w:top w:val="nil"/>
              <w:bottom w:val="nil"/>
            </w:tcBorders>
            <w:shd w:val="clear" w:color="auto" w:fill="auto"/>
            <w:vAlign w:val="center"/>
          </w:tcPr>
          <w:p w14:paraId="5AADE6A2" w14:textId="325E0474" w:rsidR="00195C30" w:rsidRPr="00195C30" w:rsidRDefault="00195C30"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95C30">
              <w:rPr>
                <w:rFonts w:cs="Times New Roman"/>
                <w:sz w:val="20"/>
                <w:szCs w:val="20"/>
              </w:rPr>
              <w:t>340,000</w:t>
            </w:r>
          </w:p>
        </w:tc>
        <w:tc>
          <w:tcPr>
            <w:tcW w:w="990" w:type="dxa"/>
            <w:tcBorders>
              <w:top w:val="nil"/>
              <w:bottom w:val="nil"/>
            </w:tcBorders>
            <w:shd w:val="clear" w:color="auto" w:fill="auto"/>
            <w:vAlign w:val="center"/>
          </w:tcPr>
          <w:p w14:paraId="5C75C3E5" w14:textId="625905FE" w:rsidR="00195C30" w:rsidRPr="00195C30" w:rsidRDefault="00195C30"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95C30">
              <w:rPr>
                <w:rFonts w:cs="Times New Roman"/>
                <w:sz w:val="20"/>
                <w:szCs w:val="20"/>
              </w:rPr>
              <w:t>328,000</w:t>
            </w:r>
          </w:p>
        </w:tc>
        <w:tc>
          <w:tcPr>
            <w:tcW w:w="900" w:type="dxa"/>
            <w:tcBorders>
              <w:top w:val="nil"/>
              <w:bottom w:val="nil"/>
            </w:tcBorders>
            <w:shd w:val="clear" w:color="auto" w:fill="auto"/>
            <w:vAlign w:val="center"/>
          </w:tcPr>
          <w:p w14:paraId="2CE90960" w14:textId="3954BD04" w:rsidR="00195C30" w:rsidRPr="00195C30" w:rsidRDefault="00195C30" w:rsidP="0007415A">
            <w:pPr>
              <w:spacing w:before="12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95C30">
              <w:rPr>
                <w:rFonts w:cs="Times New Roman"/>
                <w:sz w:val="20"/>
                <w:szCs w:val="20"/>
              </w:rPr>
              <w:t>343,000</w:t>
            </w:r>
          </w:p>
        </w:tc>
        <w:tc>
          <w:tcPr>
            <w:tcW w:w="1018" w:type="dxa"/>
            <w:tcBorders>
              <w:top w:val="nil"/>
              <w:bottom w:val="nil"/>
              <w:right w:val="nil"/>
            </w:tcBorders>
            <w:shd w:val="clear" w:color="auto" w:fill="auto"/>
            <w:vAlign w:val="center"/>
          </w:tcPr>
          <w:p w14:paraId="031971E8" w14:textId="01A5D760" w:rsidR="00195C30" w:rsidRPr="00195C30" w:rsidRDefault="00195C30" w:rsidP="00195C30">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95C30">
              <w:rPr>
                <w:rFonts w:eastAsia="Times New Roman" w:cs="Times New Roman"/>
                <w:sz w:val="20"/>
                <w:szCs w:val="20"/>
              </w:rPr>
              <w:t xml:space="preserve"> Not Met</w:t>
            </w:r>
          </w:p>
        </w:tc>
      </w:tr>
    </w:tbl>
    <w:p w14:paraId="2B515D6F" w14:textId="0C25A696" w:rsidR="00A30B06" w:rsidRDefault="000E099E" w:rsidP="00A30B06">
      <w:pPr>
        <w:keepNext/>
        <w:keepLines/>
        <w:shd w:val="clear" w:color="auto" w:fill="825E54"/>
        <w:spacing w:before="200" w:after="0" w:line="240" w:lineRule="auto"/>
        <w:jc w:val="center"/>
        <w:outlineLvl w:val="1"/>
        <w:rPr>
          <w:rFonts w:ascii="Cambria" w:eastAsia="Cambria" w:hAnsi="Cambria" w:cs="Cambria"/>
          <w:b/>
          <w:bCs/>
          <w:color w:val="FFFFFF"/>
          <w:spacing w:val="-1"/>
          <w:sz w:val="32"/>
          <w:szCs w:val="32"/>
        </w:rPr>
      </w:pPr>
      <w:bookmarkStart w:id="9" w:name="_Toc483414854"/>
      <w:r>
        <w:rPr>
          <w:rFonts w:ascii="Cambria" w:eastAsia="Cambria" w:hAnsi="Cambria" w:cs="Cambria"/>
          <w:b/>
          <w:bCs/>
          <w:color w:val="FFFFFF"/>
          <w:spacing w:val="-1"/>
          <w:sz w:val="32"/>
          <w:szCs w:val="32"/>
        </w:rPr>
        <w:t xml:space="preserve">NATIONAL SECURITY AND </w:t>
      </w:r>
      <w:r w:rsidR="00FE22EA">
        <w:rPr>
          <w:rFonts w:ascii="Cambria" w:eastAsia="Cambria" w:hAnsi="Cambria" w:cs="Cambria"/>
          <w:b/>
          <w:bCs/>
          <w:color w:val="FFFFFF"/>
          <w:spacing w:val="-1"/>
          <w:sz w:val="32"/>
          <w:szCs w:val="32"/>
        </w:rPr>
        <w:t>PREPAREDNESS</w:t>
      </w:r>
      <w:r w:rsidR="00302517">
        <w:rPr>
          <w:rFonts w:ascii="Cambria" w:eastAsia="Cambria" w:hAnsi="Cambria" w:cs="Cambria"/>
          <w:b/>
          <w:bCs/>
          <w:color w:val="FFFFFF"/>
          <w:spacing w:val="-1"/>
          <w:sz w:val="32"/>
          <w:szCs w:val="32"/>
        </w:rPr>
        <w:t xml:space="preserve"> (MARAD)</w:t>
      </w:r>
      <w:bookmarkEnd w:id="9"/>
    </w:p>
    <w:tbl>
      <w:tblPr>
        <w:tblStyle w:val="MediumShading1-Accent1"/>
        <w:tblW w:w="10350" w:type="dxa"/>
        <w:tblInd w:w="108" w:type="dxa"/>
        <w:tblLayout w:type="fixed"/>
        <w:tblLook w:val="04A0" w:firstRow="1" w:lastRow="0" w:firstColumn="1" w:lastColumn="0" w:noHBand="0" w:noVBand="1"/>
        <w:tblCaption w:val="National Security Preparedness and Other"/>
        <w:tblDescription w:val="Summary Performance Report"/>
      </w:tblPr>
      <w:tblGrid>
        <w:gridCol w:w="3032"/>
        <w:gridCol w:w="810"/>
        <w:gridCol w:w="720"/>
        <w:gridCol w:w="810"/>
        <w:gridCol w:w="720"/>
        <w:gridCol w:w="990"/>
        <w:gridCol w:w="900"/>
        <w:gridCol w:w="1080"/>
        <w:gridCol w:w="1288"/>
      </w:tblGrid>
      <w:tr w:rsidR="00131CCE" w14:paraId="626D1ADA" w14:textId="77777777" w:rsidTr="0053497C">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000" w:firstRow="0" w:lastRow="0" w:firstColumn="1" w:lastColumn="0" w:oddVBand="0" w:evenVBand="0" w:oddHBand="0" w:evenHBand="0" w:firstRowFirstColumn="0" w:firstRowLastColumn="0" w:lastRowFirstColumn="0" w:lastRowLastColumn="0"/>
            <w:tcW w:w="3032" w:type="dxa"/>
            <w:tcBorders>
              <w:top w:val="single" w:sz="8" w:space="0" w:color="825E54"/>
              <w:left w:val="single" w:sz="8" w:space="0" w:color="825E54"/>
              <w:bottom w:val="nil"/>
            </w:tcBorders>
            <w:shd w:val="clear" w:color="auto" w:fill="825E54"/>
            <w:vAlign w:val="center"/>
          </w:tcPr>
          <w:p w14:paraId="6B7A3C65" w14:textId="77777777" w:rsidR="00A30B06" w:rsidRPr="003D45D0" w:rsidRDefault="00A30B06" w:rsidP="00564980">
            <w:pPr>
              <w:jc w:val="center"/>
              <w:rPr>
                <w:sz w:val="20"/>
                <w:szCs w:val="20"/>
              </w:rPr>
            </w:pPr>
            <w:r w:rsidRPr="003D45D0">
              <w:rPr>
                <w:sz w:val="20"/>
                <w:szCs w:val="20"/>
              </w:rPr>
              <w:t>Performance Measure</w:t>
            </w:r>
          </w:p>
        </w:tc>
        <w:tc>
          <w:tcPr>
            <w:tcW w:w="810" w:type="dxa"/>
            <w:tcBorders>
              <w:top w:val="single" w:sz="8" w:space="0" w:color="825E54"/>
              <w:bottom w:val="nil"/>
            </w:tcBorders>
            <w:shd w:val="clear" w:color="auto" w:fill="825E54"/>
            <w:vAlign w:val="center"/>
          </w:tcPr>
          <w:p w14:paraId="4B6BDD0F" w14:textId="25013B47" w:rsidR="00A30B06" w:rsidRPr="003D45D0" w:rsidRDefault="00195C30" w:rsidP="00564980">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2011</w:t>
            </w:r>
          </w:p>
        </w:tc>
        <w:tc>
          <w:tcPr>
            <w:tcW w:w="720" w:type="dxa"/>
            <w:tcBorders>
              <w:top w:val="single" w:sz="8" w:space="0" w:color="825E54"/>
              <w:bottom w:val="nil"/>
            </w:tcBorders>
            <w:shd w:val="clear" w:color="auto" w:fill="825E54"/>
            <w:vAlign w:val="center"/>
          </w:tcPr>
          <w:p w14:paraId="040C77B9" w14:textId="29604964" w:rsidR="00A30B06" w:rsidRPr="003D45D0" w:rsidRDefault="00195C30" w:rsidP="00564980">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2012</w:t>
            </w:r>
          </w:p>
        </w:tc>
        <w:tc>
          <w:tcPr>
            <w:tcW w:w="810" w:type="dxa"/>
            <w:tcBorders>
              <w:top w:val="single" w:sz="8" w:space="0" w:color="825E54"/>
              <w:bottom w:val="nil"/>
            </w:tcBorders>
            <w:shd w:val="clear" w:color="auto" w:fill="825E54"/>
            <w:vAlign w:val="center"/>
          </w:tcPr>
          <w:p w14:paraId="6D599D91" w14:textId="13D2C29E" w:rsidR="00A30B06" w:rsidRPr="003D45D0" w:rsidRDefault="00195C30" w:rsidP="00564980">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2013</w:t>
            </w:r>
          </w:p>
        </w:tc>
        <w:tc>
          <w:tcPr>
            <w:tcW w:w="720" w:type="dxa"/>
            <w:tcBorders>
              <w:top w:val="single" w:sz="8" w:space="0" w:color="825E54"/>
              <w:bottom w:val="nil"/>
            </w:tcBorders>
            <w:shd w:val="clear" w:color="auto" w:fill="825E54"/>
            <w:vAlign w:val="center"/>
          </w:tcPr>
          <w:p w14:paraId="21FEA7B5" w14:textId="6852D270" w:rsidR="00A30B06" w:rsidRPr="003D45D0" w:rsidRDefault="00195C30" w:rsidP="00564980">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2014</w:t>
            </w:r>
          </w:p>
        </w:tc>
        <w:tc>
          <w:tcPr>
            <w:tcW w:w="990" w:type="dxa"/>
            <w:tcBorders>
              <w:top w:val="single" w:sz="8" w:space="0" w:color="825E54"/>
              <w:bottom w:val="nil"/>
            </w:tcBorders>
            <w:shd w:val="clear" w:color="auto" w:fill="825E54"/>
            <w:vAlign w:val="center"/>
          </w:tcPr>
          <w:p w14:paraId="4174911D" w14:textId="3652CE6C" w:rsidR="00A30B06" w:rsidRPr="003D45D0" w:rsidRDefault="00195C30" w:rsidP="00564980">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2015</w:t>
            </w:r>
          </w:p>
        </w:tc>
        <w:tc>
          <w:tcPr>
            <w:tcW w:w="900" w:type="dxa"/>
            <w:tcBorders>
              <w:top w:val="single" w:sz="8" w:space="0" w:color="825E54"/>
              <w:bottom w:val="nil"/>
            </w:tcBorders>
            <w:shd w:val="clear" w:color="auto" w:fill="825E54"/>
            <w:vAlign w:val="center"/>
          </w:tcPr>
          <w:p w14:paraId="2FEFCE84" w14:textId="613AFC41" w:rsidR="00A30B06" w:rsidRPr="003D45D0" w:rsidRDefault="00195C30" w:rsidP="00564980">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2016</w:t>
            </w:r>
            <w:r w:rsidR="00A30B06" w:rsidRPr="003D45D0">
              <w:rPr>
                <w:sz w:val="20"/>
                <w:szCs w:val="20"/>
              </w:rPr>
              <w:t xml:space="preserve"> Target</w:t>
            </w:r>
          </w:p>
        </w:tc>
        <w:tc>
          <w:tcPr>
            <w:tcW w:w="1080" w:type="dxa"/>
            <w:tcBorders>
              <w:top w:val="single" w:sz="8" w:space="0" w:color="825E54"/>
              <w:bottom w:val="nil"/>
            </w:tcBorders>
            <w:shd w:val="clear" w:color="auto" w:fill="825E54"/>
            <w:vAlign w:val="center"/>
          </w:tcPr>
          <w:p w14:paraId="1DD274A6" w14:textId="18E953D2" w:rsidR="00A30B06" w:rsidRPr="003D45D0" w:rsidRDefault="00195C30" w:rsidP="00564980">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2016</w:t>
            </w:r>
            <w:r w:rsidR="00A30B06" w:rsidRPr="003D45D0">
              <w:rPr>
                <w:sz w:val="20"/>
                <w:szCs w:val="20"/>
              </w:rPr>
              <w:t xml:space="preserve"> Actual</w:t>
            </w:r>
          </w:p>
        </w:tc>
        <w:tc>
          <w:tcPr>
            <w:tcW w:w="1288" w:type="dxa"/>
            <w:tcBorders>
              <w:top w:val="single" w:sz="8" w:space="0" w:color="825E54"/>
              <w:bottom w:val="nil"/>
              <w:right w:val="single" w:sz="8" w:space="0" w:color="825E54"/>
            </w:tcBorders>
            <w:shd w:val="clear" w:color="auto" w:fill="825E54"/>
            <w:vAlign w:val="center"/>
          </w:tcPr>
          <w:p w14:paraId="2DD1BDDA" w14:textId="75A5B032" w:rsidR="00A30B06" w:rsidRPr="003D45D0" w:rsidRDefault="0053497C" w:rsidP="00564980">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Target</w:t>
            </w:r>
          </w:p>
        </w:tc>
      </w:tr>
      <w:tr w:rsidR="00131CCE" w14:paraId="6F1CB5F4" w14:textId="77777777" w:rsidTr="0053497C">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032" w:type="dxa"/>
            <w:tcBorders>
              <w:top w:val="nil"/>
              <w:left w:val="nil"/>
              <w:bottom w:val="nil"/>
            </w:tcBorders>
            <w:shd w:val="clear" w:color="auto" w:fill="E2D7D4"/>
          </w:tcPr>
          <w:p w14:paraId="0EAC020D" w14:textId="61EC4431" w:rsidR="00696F90" w:rsidRPr="00996C0B" w:rsidRDefault="00696F90" w:rsidP="0007415A">
            <w:pPr>
              <w:spacing w:before="120"/>
              <w:rPr>
                <w:b w:val="0"/>
                <w:sz w:val="20"/>
                <w:szCs w:val="20"/>
              </w:rPr>
            </w:pPr>
            <w:r w:rsidRPr="00BC2EDF">
              <w:rPr>
                <w:rFonts w:eastAsia="Calibri" w:cs="Arial"/>
                <w:b w:val="0"/>
                <w:sz w:val="20"/>
                <w:szCs w:val="20"/>
              </w:rPr>
              <w:t>Total operating days U.S.-flagged, foreign commercial ships enrolled in the Maritime Security Program (MSP) are available to meet DoD requirements</w:t>
            </w:r>
          </w:p>
        </w:tc>
        <w:tc>
          <w:tcPr>
            <w:tcW w:w="810" w:type="dxa"/>
            <w:tcBorders>
              <w:top w:val="nil"/>
              <w:bottom w:val="nil"/>
            </w:tcBorders>
            <w:shd w:val="clear" w:color="auto" w:fill="E2D7D4"/>
            <w:vAlign w:val="center"/>
          </w:tcPr>
          <w:p w14:paraId="77D772ED" w14:textId="00ACB144" w:rsidR="00696F90" w:rsidRPr="00996C0B" w:rsidRDefault="00696F90" w:rsidP="0007415A">
            <w:pPr>
              <w:tabs>
                <w:tab w:val="left" w:pos="0"/>
              </w:tabs>
              <w:spacing w:before="120"/>
              <w:ind w:left="-2088" w:firstLine="2088"/>
              <w:jc w:val="center"/>
              <w:cnfStyle w:val="000000100000" w:firstRow="0" w:lastRow="0" w:firstColumn="0" w:lastColumn="0" w:oddVBand="0" w:evenVBand="0" w:oddHBand="1" w:evenHBand="0" w:firstRowFirstColumn="0" w:firstRowLastColumn="0" w:lastRowFirstColumn="0" w:lastRowLastColumn="0"/>
              <w:rPr>
                <w:sz w:val="20"/>
                <w:szCs w:val="20"/>
              </w:rPr>
            </w:pPr>
            <w:r w:rsidRPr="00BC2EDF">
              <w:rPr>
                <w:rFonts w:eastAsia="Times New Roman" w:cs="Arial"/>
                <w:sz w:val="18"/>
                <w:szCs w:val="18"/>
              </w:rPr>
              <w:t>21,557</w:t>
            </w:r>
          </w:p>
        </w:tc>
        <w:tc>
          <w:tcPr>
            <w:tcW w:w="720" w:type="dxa"/>
            <w:tcBorders>
              <w:top w:val="nil"/>
              <w:bottom w:val="nil"/>
            </w:tcBorders>
            <w:shd w:val="clear" w:color="auto" w:fill="E2D7D4"/>
            <w:vAlign w:val="center"/>
          </w:tcPr>
          <w:p w14:paraId="1F60F5DF" w14:textId="6F0771CB" w:rsidR="00696F90" w:rsidRPr="00996C0B" w:rsidRDefault="00696F90"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BC2EDF">
              <w:rPr>
                <w:rFonts w:eastAsia="Times New Roman" w:cs="Arial"/>
                <w:sz w:val="18"/>
                <w:szCs w:val="18"/>
              </w:rPr>
              <w:t>21,593</w:t>
            </w:r>
          </w:p>
        </w:tc>
        <w:tc>
          <w:tcPr>
            <w:tcW w:w="810" w:type="dxa"/>
            <w:tcBorders>
              <w:top w:val="nil"/>
              <w:bottom w:val="nil"/>
            </w:tcBorders>
            <w:shd w:val="clear" w:color="auto" w:fill="E2D7D4"/>
            <w:vAlign w:val="center"/>
          </w:tcPr>
          <w:p w14:paraId="65C52495" w14:textId="6446693B" w:rsidR="00696F90" w:rsidRPr="00996C0B" w:rsidRDefault="00696F90"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BC2EDF">
              <w:rPr>
                <w:rFonts w:eastAsia="Times New Roman" w:cs="Arial"/>
                <w:sz w:val="18"/>
                <w:szCs w:val="18"/>
              </w:rPr>
              <w:t>21,794</w:t>
            </w:r>
          </w:p>
        </w:tc>
        <w:tc>
          <w:tcPr>
            <w:tcW w:w="720" w:type="dxa"/>
            <w:tcBorders>
              <w:top w:val="nil"/>
              <w:bottom w:val="nil"/>
            </w:tcBorders>
            <w:shd w:val="clear" w:color="auto" w:fill="E2D7D4"/>
            <w:vAlign w:val="center"/>
          </w:tcPr>
          <w:p w14:paraId="57194749" w14:textId="3C9278FC" w:rsidR="00696F90" w:rsidRPr="00996C0B" w:rsidRDefault="00696F90"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BC2EDF">
              <w:rPr>
                <w:rFonts w:eastAsia="Times New Roman" w:cs="Arial"/>
                <w:sz w:val="18"/>
                <w:szCs w:val="18"/>
              </w:rPr>
              <w:t>21,600</w:t>
            </w:r>
          </w:p>
        </w:tc>
        <w:tc>
          <w:tcPr>
            <w:tcW w:w="990" w:type="dxa"/>
            <w:tcBorders>
              <w:top w:val="nil"/>
              <w:bottom w:val="nil"/>
            </w:tcBorders>
            <w:shd w:val="clear" w:color="auto" w:fill="E2D7D4"/>
            <w:vAlign w:val="center"/>
          </w:tcPr>
          <w:p w14:paraId="7FD0AF94" w14:textId="37AA3C8E" w:rsidR="00696F90" w:rsidRPr="00996C0B" w:rsidRDefault="00696F90"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BC2EDF">
              <w:rPr>
                <w:rFonts w:eastAsia="Times New Roman" w:cs="Arial"/>
                <w:sz w:val="18"/>
                <w:szCs w:val="18"/>
              </w:rPr>
              <w:t>21,659</w:t>
            </w:r>
          </w:p>
        </w:tc>
        <w:tc>
          <w:tcPr>
            <w:tcW w:w="900" w:type="dxa"/>
            <w:tcBorders>
              <w:top w:val="nil"/>
              <w:bottom w:val="nil"/>
            </w:tcBorders>
            <w:shd w:val="clear" w:color="auto" w:fill="E2D7D4"/>
            <w:vAlign w:val="center"/>
          </w:tcPr>
          <w:p w14:paraId="03ECCED5" w14:textId="2BAC5F4F" w:rsidR="00696F90" w:rsidRPr="00996C0B" w:rsidRDefault="00696F90"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BC2EDF">
              <w:rPr>
                <w:rFonts w:eastAsia="Times New Roman" w:cs="Arial"/>
                <w:sz w:val="18"/>
                <w:szCs w:val="18"/>
              </w:rPr>
              <w:t>19,200</w:t>
            </w:r>
          </w:p>
        </w:tc>
        <w:tc>
          <w:tcPr>
            <w:tcW w:w="1080" w:type="dxa"/>
            <w:tcBorders>
              <w:top w:val="nil"/>
              <w:bottom w:val="nil"/>
            </w:tcBorders>
            <w:shd w:val="clear" w:color="auto" w:fill="E2D7D4"/>
            <w:vAlign w:val="center"/>
          </w:tcPr>
          <w:p w14:paraId="2EC783D7" w14:textId="095FD612" w:rsidR="00696F90" w:rsidRPr="00996C0B" w:rsidRDefault="00696F90"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rFonts w:eastAsia="Times New Roman" w:cs="Arial"/>
                <w:sz w:val="18"/>
                <w:szCs w:val="18"/>
              </w:rPr>
              <w:t>20,661</w:t>
            </w:r>
          </w:p>
        </w:tc>
        <w:tc>
          <w:tcPr>
            <w:tcW w:w="1288" w:type="dxa"/>
            <w:tcBorders>
              <w:top w:val="nil"/>
              <w:bottom w:val="nil"/>
              <w:right w:val="nil"/>
            </w:tcBorders>
            <w:shd w:val="clear" w:color="auto" w:fill="E2D7D4"/>
            <w:vAlign w:val="center"/>
          </w:tcPr>
          <w:p w14:paraId="3719AD5E" w14:textId="7E18155E" w:rsidR="00696F90" w:rsidRPr="00996C0B" w:rsidRDefault="00696F90"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rFonts w:eastAsia="Times New Roman" w:cs="Arial"/>
                <w:sz w:val="18"/>
                <w:szCs w:val="18"/>
              </w:rPr>
              <w:t>Met</w:t>
            </w:r>
          </w:p>
        </w:tc>
      </w:tr>
      <w:tr w:rsidR="00131CCE" w14:paraId="0E7F920D" w14:textId="77777777" w:rsidTr="0053497C">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032" w:type="dxa"/>
            <w:tcBorders>
              <w:top w:val="nil"/>
              <w:left w:val="nil"/>
              <w:bottom w:val="nil"/>
            </w:tcBorders>
            <w:shd w:val="clear" w:color="auto" w:fill="FFFFFF" w:themeFill="background1"/>
          </w:tcPr>
          <w:p w14:paraId="3B7D446E" w14:textId="1ED92FA5" w:rsidR="00131CCE" w:rsidRPr="00996C0B" w:rsidRDefault="00131CCE" w:rsidP="0007415A">
            <w:pPr>
              <w:spacing w:before="120"/>
              <w:rPr>
                <w:b w:val="0"/>
                <w:sz w:val="20"/>
                <w:szCs w:val="20"/>
              </w:rPr>
            </w:pPr>
            <w:r w:rsidRPr="00C55FF3">
              <w:rPr>
                <w:rFonts w:eastAsia="Calibri" w:cs="Arial"/>
                <w:b w:val="0"/>
                <w:sz w:val="20"/>
                <w:szCs w:val="20"/>
              </w:rPr>
              <w:lastRenderedPageBreak/>
              <w:t>Percentage of DoD-required shipping capacity complete with crews available within mobilization timelines</w:t>
            </w:r>
          </w:p>
        </w:tc>
        <w:tc>
          <w:tcPr>
            <w:tcW w:w="810" w:type="dxa"/>
            <w:tcBorders>
              <w:top w:val="nil"/>
              <w:bottom w:val="nil"/>
            </w:tcBorders>
            <w:shd w:val="clear" w:color="auto" w:fill="FFFFFF" w:themeFill="background1"/>
            <w:vAlign w:val="center"/>
          </w:tcPr>
          <w:p w14:paraId="4FB7144A" w14:textId="2C048207" w:rsidR="00131CCE" w:rsidRPr="00996C0B" w:rsidRDefault="00131CCE"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sidRPr="00BC2EDF">
              <w:rPr>
                <w:rFonts w:eastAsia="Times New Roman" w:cs="Arial"/>
                <w:sz w:val="18"/>
                <w:szCs w:val="18"/>
              </w:rPr>
              <w:t>N/A</w:t>
            </w:r>
          </w:p>
        </w:tc>
        <w:tc>
          <w:tcPr>
            <w:tcW w:w="720" w:type="dxa"/>
            <w:tcBorders>
              <w:top w:val="nil"/>
              <w:bottom w:val="nil"/>
            </w:tcBorders>
            <w:shd w:val="clear" w:color="auto" w:fill="FFFFFF" w:themeFill="background1"/>
            <w:vAlign w:val="center"/>
          </w:tcPr>
          <w:p w14:paraId="3D923D0A" w14:textId="61123E4C" w:rsidR="00131CCE" w:rsidRPr="00996C0B" w:rsidRDefault="00131CCE"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sidRPr="00BC2EDF">
              <w:rPr>
                <w:rFonts w:eastAsia="Times New Roman" w:cs="Arial"/>
                <w:sz w:val="18"/>
                <w:szCs w:val="18"/>
              </w:rPr>
              <w:t>N/A</w:t>
            </w:r>
          </w:p>
        </w:tc>
        <w:tc>
          <w:tcPr>
            <w:tcW w:w="810" w:type="dxa"/>
            <w:tcBorders>
              <w:top w:val="nil"/>
              <w:bottom w:val="nil"/>
            </w:tcBorders>
            <w:shd w:val="clear" w:color="auto" w:fill="FFFFFF" w:themeFill="background1"/>
            <w:vAlign w:val="center"/>
          </w:tcPr>
          <w:p w14:paraId="2E3C8086" w14:textId="000CA22F" w:rsidR="00131CCE" w:rsidRPr="00996C0B" w:rsidRDefault="00131CCE"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sidRPr="00BC2EDF">
              <w:rPr>
                <w:rFonts w:eastAsia="Times New Roman" w:cs="Arial"/>
                <w:sz w:val="18"/>
                <w:szCs w:val="18"/>
              </w:rPr>
              <w:t>N/A</w:t>
            </w:r>
          </w:p>
        </w:tc>
        <w:tc>
          <w:tcPr>
            <w:tcW w:w="720" w:type="dxa"/>
            <w:tcBorders>
              <w:top w:val="nil"/>
              <w:bottom w:val="nil"/>
            </w:tcBorders>
            <w:shd w:val="clear" w:color="auto" w:fill="FFFFFF" w:themeFill="background1"/>
            <w:vAlign w:val="center"/>
          </w:tcPr>
          <w:p w14:paraId="621B70FD" w14:textId="1846EA95" w:rsidR="00131CCE" w:rsidRPr="00996C0B" w:rsidRDefault="00131CCE"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sidRPr="00BC2EDF">
              <w:rPr>
                <w:rFonts w:eastAsia="Times New Roman" w:cs="Arial"/>
                <w:sz w:val="18"/>
                <w:szCs w:val="18"/>
              </w:rPr>
              <w:t>96%</w:t>
            </w:r>
          </w:p>
        </w:tc>
        <w:tc>
          <w:tcPr>
            <w:tcW w:w="990" w:type="dxa"/>
            <w:tcBorders>
              <w:top w:val="nil"/>
              <w:bottom w:val="nil"/>
            </w:tcBorders>
            <w:shd w:val="clear" w:color="auto" w:fill="FFFFFF" w:themeFill="background1"/>
            <w:vAlign w:val="center"/>
          </w:tcPr>
          <w:p w14:paraId="51CA91B8" w14:textId="2E28A503" w:rsidR="00131CCE" w:rsidRPr="00996C0B" w:rsidRDefault="00131CCE"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sidRPr="00BC2EDF">
              <w:rPr>
                <w:rFonts w:eastAsia="Times New Roman" w:cs="Arial"/>
                <w:sz w:val="18"/>
                <w:szCs w:val="18"/>
              </w:rPr>
              <w:t>97%</w:t>
            </w:r>
          </w:p>
        </w:tc>
        <w:tc>
          <w:tcPr>
            <w:tcW w:w="900" w:type="dxa"/>
            <w:tcBorders>
              <w:top w:val="nil"/>
              <w:bottom w:val="nil"/>
            </w:tcBorders>
            <w:shd w:val="clear" w:color="auto" w:fill="FFFFFF" w:themeFill="background1"/>
            <w:vAlign w:val="center"/>
          </w:tcPr>
          <w:p w14:paraId="63452AB1" w14:textId="3FF9C84F" w:rsidR="00131CCE" w:rsidRPr="00996C0B" w:rsidRDefault="00131CCE"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sidRPr="00BC2EDF">
              <w:rPr>
                <w:rFonts w:eastAsia="Times New Roman" w:cs="Arial"/>
                <w:sz w:val="18"/>
                <w:szCs w:val="18"/>
              </w:rPr>
              <w:t>94%</w:t>
            </w:r>
          </w:p>
        </w:tc>
        <w:tc>
          <w:tcPr>
            <w:tcW w:w="1080" w:type="dxa"/>
            <w:tcBorders>
              <w:top w:val="nil"/>
              <w:bottom w:val="nil"/>
            </w:tcBorders>
            <w:shd w:val="clear" w:color="auto" w:fill="FFFFFF" w:themeFill="background1"/>
            <w:vAlign w:val="center"/>
          </w:tcPr>
          <w:p w14:paraId="6F83A2E3" w14:textId="7A302A18" w:rsidR="00131CCE" w:rsidRPr="00996C0B" w:rsidRDefault="00131CCE"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Pr>
                <w:rFonts w:eastAsia="Times New Roman" w:cs="Arial"/>
                <w:sz w:val="18"/>
                <w:szCs w:val="18"/>
              </w:rPr>
              <w:t>93%</w:t>
            </w:r>
          </w:p>
        </w:tc>
        <w:tc>
          <w:tcPr>
            <w:tcW w:w="1288" w:type="dxa"/>
            <w:tcBorders>
              <w:top w:val="nil"/>
              <w:bottom w:val="nil"/>
              <w:right w:val="nil"/>
            </w:tcBorders>
            <w:shd w:val="clear" w:color="auto" w:fill="FFFFFF" w:themeFill="background1"/>
            <w:vAlign w:val="center"/>
          </w:tcPr>
          <w:p w14:paraId="280CCF75" w14:textId="394FFBDD" w:rsidR="00131CCE" w:rsidRPr="00996C0B" w:rsidRDefault="00131CCE" w:rsidP="0007415A">
            <w:pPr>
              <w:spacing w:before="120"/>
              <w:jc w:val="center"/>
              <w:cnfStyle w:val="000000010000" w:firstRow="0" w:lastRow="0" w:firstColumn="0" w:lastColumn="0" w:oddVBand="0" w:evenVBand="0" w:oddHBand="0" w:evenHBand="1" w:firstRowFirstColumn="0" w:firstRowLastColumn="0" w:lastRowFirstColumn="0" w:lastRowLastColumn="0"/>
              <w:rPr>
                <w:sz w:val="20"/>
                <w:szCs w:val="20"/>
              </w:rPr>
            </w:pPr>
            <w:r>
              <w:rPr>
                <w:rFonts w:eastAsia="Calibri" w:cs="Arial"/>
                <w:sz w:val="18"/>
                <w:szCs w:val="18"/>
              </w:rPr>
              <w:t>Not Met</w:t>
            </w:r>
          </w:p>
        </w:tc>
      </w:tr>
      <w:tr w:rsidR="00131CCE" w14:paraId="2EE3F655" w14:textId="77777777" w:rsidTr="0053497C">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032" w:type="dxa"/>
            <w:tcBorders>
              <w:top w:val="nil"/>
              <w:left w:val="nil"/>
              <w:bottom w:val="nil"/>
            </w:tcBorders>
            <w:shd w:val="clear" w:color="auto" w:fill="E2D7D4"/>
          </w:tcPr>
          <w:p w14:paraId="71C21D65" w14:textId="1F2B62BD" w:rsidR="00131CCE" w:rsidRPr="00996C0B" w:rsidRDefault="00131CCE" w:rsidP="0007415A">
            <w:pPr>
              <w:spacing w:before="120"/>
              <w:rPr>
                <w:b w:val="0"/>
                <w:sz w:val="20"/>
                <w:szCs w:val="20"/>
              </w:rPr>
            </w:pPr>
            <w:r w:rsidRPr="00C55FF3">
              <w:rPr>
                <w:rFonts w:eastAsia="Calibri" w:cs="Arial"/>
                <w:b w:val="0"/>
                <w:sz w:val="20"/>
                <w:szCs w:val="20"/>
              </w:rPr>
              <w:t>Percentage of DoD-designated commercial ports available for military use within DoD-established timelines</w:t>
            </w:r>
          </w:p>
        </w:tc>
        <w:tc>
          <w:tcPr>
            <w:tcW w:w="810" w:type="dxa"/>
            <w:tcBorders>
              <w:top w:val="nil"/>
              <w:bottom w:val="nil"/>
            </w:tcBorders>
            <w:shd w:val="clear" w:color="auto" w:fill="E2D7D4"/>
            <w:vAlign w:val="center"/>
          </w:tcPr>
          <w:p w14:paraId="3EEE9F4E" w14:textId="306677F2" w:rsidR="00131CCE" w:rsidRPr="00996C0B" w:rsidRDefault="00131CCE"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BC2EDF">
              <w:rPr>
                <w:rFonts w:eastAsia="Times New Roman" w:cs="Arial"/>
                <w:sz w:val="18"/>
                <w:szCs w:val="18"/>
              </w:rPr>
              <w:t>N/A</w:t>
            </w:r>
          </w:p>
        </w:tc>
        <w:tc>
          <w:tcPr>
            <w:tcW w:w="720" w:type="dxa"/>
            <w:tcBorders>
              <w:top w:val="nil"/>
              <w:bottom w:val="nil"/>
            </w:tcBorders>
            <w:shd w:val="clear" w:color="auto" w:fill="E2D7D4"/>
            <w:vAlign w:val="center"/>
          </w:tcPr>
          <w:p w14:paraId="636257AA" w14:textId="33CEEA9C" w:rsidR="00131CCE" w:rsidRPr="00996C0B" w:rsidRDefault="00131CCE"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BC2EDF">
              <w:rPr>
                <w:rFonts w:eastAsia="Times New Roman" w:cs="Arial"/>
                <w:sz w:val="18"/>
                <w:szCs w:val="18"/>
              </w:rPr>
              <w:t>N/A</w:t>
            </w:r>
          </w:p>
        </w:tc>
        <w:tc>
          <w:tcPr>
            <w:tcW w:w="810" w:type="dxa"/>
            <w:tcBorders>
              <w:top w:val="nil"/>
              <w:bottom w:val="nil"/>
            </w:tcBorders>
            <w:shd w:val="clear" w:color="auto" w:fill="E2D7D4"/>
            <w:vAlign w:val="center"/>
          </w:tcPr>
          <w:p w14:paraId="4EC9F6EA" w14:textId="59FE4EB9" w:rsidR="00131CCE" w:rsidRPr="00996C0B" w:rsidRDefault="00131CCE"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BC2EDF">
              <w:rPr>
                <w:rFonts w:eastAsia="Times New Roman" w:cs="Arial"/>
                <w:sz w:val="18"/>
                <w:szCs w:val="18"/>
              </w:rPr>
              <w:t>N/A</w:t>
            </w:r>
          </w:p>
        </w:tc>
        <w:tc>
          <w:tcPr>
            <w:tcW w:w="720" w:type="dxa"/>
            <w:tcBorders>
              <w:top w:val="nil"/>
              <w:bottom w:val="nil"/>
            </w:tcBorders>
            <w:shd w:val="clear" w:color="auto" w:fill="E2D7D4"/>
            <w:vAlign w:val="center"/>
          </w:tcPr>
          <w:p w14:paraId="351246E6" w14:textId="1B3DC7BF" w:rsidR="00131CCE" w:rsidRPr="00996C0B" w:rsidRDefault="00131CCE"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BC2EDF">
              <w:rPr>
                <w:rFonts w:eastAsia="Times New Roman" w:cs="Arial"/>
                <w:sz w:val="18"/>
                <w:szCs w:val="18"/>
              </w:rPr>
              <w:t>94%</w:t>
            </w:r>
          </w:p>
        </w:tc>
        <w:tc>
          <w:tcPr>
            <w:tcW w:w="990" w:type="dxa"/>
            <w:tcBorders>
              <w:top w:val="nil"/>
              <w:bottom w:val="nil"/>
            </w:tcBorders>
            <w:shd w:val="clear" w:color="auto" w:fill="E2D7D4"/>
            <w:vAlign w:val="center"/>
          </w:tcPr>
          <w:p w14:paraId="1936C1DE" w14:textId="15A3439F" w:rsidR="00131CCE" w:rsidRPr="00996C0B" w:rsidRDefault="00131CCE"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BC2EDF">
              <w:rPr>
                <w:rFonts w:eastAsia="Times New Roman" w:cs="Arial"/>
                <w:sz w:val="18"/>
                <w:szCs w:val="18"/>
              </w:rPr>
              <w:t>100%</w:t>
            </w:r>
          </w:p>
        </w:tc>
        <w:tc>
          <w:tcPr>
            <w:tcW w:w="900" w:type="dxa"/>
            <w:tcBorders>
              <w:top w:val="nil"/>
              <w:bottom w:val="nil"/>
            </w:tcBorders>
            <w:shd w:val="clear" w:color="auto" w:fill="E2D7D4"/>
            <w:vAlign w:val="center"/>
          </w:tcPr>
          <w:p w14:paraId="64B83318" w14:textId="678FAA5F" w:rsidR="00131CCE" w:rsidRPr="00996C0B" w:rsidRDefault="00131CCE"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BC2EDF">
              <w:rPr>
                <w:rFonts w:eastAsia="Times New Roman" w:cs="Arial"/>
                <w:sz w:val="18"/>
                <w:szCs w:val="18"/>
              </w:rPr>
              <w:t>87%</w:t>
            </w:r>
          </w:p>
        </w:tc>
        <w:tc>
          <w:tcPr>
            <w:tcW w:w="1080" w:type="dxa"/>
            <w:tcBorders>
              <w:top w:val="nil"/>
              <w:bottom w:val="nil"/>
            </w:tcBorders>
            <w:shd w:val="clear" w:color="auto" w:fill="E2D7D4"/>
            <w:vAlign w:val="center"/>
          </w:tcPr>
          <w:p w14:paraId="098D0A92" w14:textId="324F862B" w:rsidR="00131CCE" w:rsidRPr="00996C0B" w:rsidRDefault="00131CCE"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rFonts w:eastAsia="Times New Roman" w:cs="Arial"/>
                <w:sz w:val="18"/>
                <w:szCs w:val="18"/>
              </w:rPr>
              <w:t>99%</w:t>
            </w:r>
          </w:p>
        </w:tc>
        <w:tc>
          <w:tcPr>
            <w:tcW w:w="1288" w:type="dxa"/>
            <w:tcBorders>
              <w:top w:val="nil"/>
              <w:bottom w:val="nil"/>
              <w:right w:val="nil"/>
            </w:tcBorders>
            <w:shd w:val="clear" w:color="auto" w:fill="E2D7D4"/>
            <w:vAlign w:val="center"/>
          </w:tcPr>
          <w:p w14:paraId="02DB3745" w14:textId="7A42C7D8" w:rsidR="00131CCE" w:rsidRPr="00996C0B" w:rsidRDefault="00131CCE" w:rsidP="0007415A">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Pr>
                <w:rFonts w:eastAsia="Calibri" w:cs="Arial"/>
                <w:sz w:val="18"/>
                <w:szCs w:val="18"/>
              </w:rPr>
              <w:t>Met</w:t>
            </w:r>
          </w:p>
        </w:tc>
      </w:tr>
      <w:tr w:rsidR="0007415A" w:rsidRPr="005D2B91" w14:paraId="246721C9" w14:textId="77777777" w:rsidTr="0053497C">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032" w:type="dxa"/>
            <w:tcBorders>
              <w:top w:val="nil"/>
              <w:left w:val="nil"/>
              <w:bottom w:val="nil"/>
            </w:tcBorders>
          </w:tcPr>
          <w:p w14:paraId="66D3A535" w14:textId="389C0CA5" w:rsidR="0007415A" w:rsidRPr="0007415A" w:rsidRDefault="0007415A" w:rsidP="0007415A">
            <w:pPr>
              <w:spacing w:before="120"/>
              <w:rPr>
                <w:b w:val="0"/>
                <w:sz w:val="20"/>
                <w:szCs w:val="20"/>
              </w:rPr>
            </w:pPr>
            <w:r w:rsidRPr="0007415A">
              <w:rPr>
                <w:b w:val="0"/>
                <w:sz w:val="20"/>
                <w:szCs w:val="20"/>
              </w:rPr>
              <w:t>Number of U.S. Merchant Marine Academy (USMMA) graduates.</w:t>
            </w:r>
          </w:p>
        </w:tc>
        <w:tc>
          <w:tcPr>
            <w:tcW w:w="810" w:type="dxa"/>
            <w:tcBorders>
              <w:top w:val="nil"/>
              <w:bottom w:val="nil"/>
            </w:tcBorders>
            <w:vAlign w:val="center"/>
          </w:tcPr>
          <w:p w14:paraId="6075CE86" w14:textId="26696450" w:rsidR="0007415A" w:rsidRPr="0007415A" w:rsidRDefault="0007415A" w:rsidP="0007415A">
            <w:pPr>
              <w:spacing w:before="120" w:line="202" w:lineRule="exact"/>
              <w:ind w:left="72" w:right="-2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07415A">
              <w:rPr>
                <w:sz w:val="20"/>
                <w:szCs w:val="20"/>
              </w:rPr>
              <w:t>198</w:t>
            </w:r>
          </w:p>
        </w:tc>
        <w:tc>
          <w:tcPr>
            <w:tcW w:w="720" w:type="dxa"/>
            <w:tcBorders>
              <w:top w:val="nil"/>
              <w:bottom w:val="nil"/>
            </w:tcBorders>
            <w:vAlign w:val="center"/>
          </w:tcPr>
          <w:p w14:paraId="2280D694" w14:textId="35563F8F" w:rsidR="0007415A" w:rsidRPr="0007415A" w:rsidRDefault="0007415A" w:rsidP="0007415A">
            <w:pPr>
              <w:spacing w:before="120" w:line="202" w:lineRule="exact"/>
              <w:ind w:left="193" w:right="-2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07415A">
              <w:rPr>
                <w:sz w:val="20"/>
                <w:szCs w:val="20"/>
              </w:rPr>
              <w:t>205</w:t>
            </w:r>
          </w:p>
        </w:tc>
        <w:tc>
          <w:tcPr>
            <w:tcW w:w="810" w:type="dxa"/>
            <w:tcBorders>
              <w:top w:val="nil"/>
              <w:bottom w:val="nil"/>
            </w:tcBorders>
            <w:vAlign w:val="center"/>
          </w:tcPr>
          <w:p w14:paraId="43B4B4D2" w14:textId="1907B437" w:rsidR="0007415A" w:rsidRPr="0007415A" w:rsidRDefault="0007415A" w:rsidP="0007415A">
            <w:pPr>
              <w:spacing w:before="120" w:line="202" w:lineRule="exact"/>
              <w:ind w:left="72"/>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07415A">
              <w:rPr>
                <w:sz w:val="20"/>
                <w:szCs w:val="20"/>
              </w:rPr>
              <w:t>219</w:t>
            </w:r>
          </w:p>
        </w:tc>
        <w:tc>
          <w:tcPr>
            <w:tcW w:w="720" w:type="dxa"/>
            <w:tcBorders>
              <w:top w:val="nil"/>
              <w:bottom w:val="nil"/>
            </w:tcBorders>
            <w:vAlign w:val="center"/>
          </w:tcPr>
          <w:p w14:paraId="0689B9F4" w14:textId="339516F7" w:rsidR="0007415A" w:rsidRPr="0007415A" w:rsidRDefault="0007415A" w:rsidP="0007415A">
            <w:pPr>
              <w:spacing w:before="120" w:line="202" w:lineRule="exact"/>
              <w:ind w:right="-2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07415A">
              <w:rPr>
                <w:sz w:val="20"/>
                <w:szCs w:val="20"/>
              </w:rPr>
              <w:t>189</w:t>
            </w:r>
          </w:p>
        </w:tc>
        <w:tc>
          <w:tcPr>
            <w:tcW w:w="990" w:type="dxa"/>
            <w:tcBorders>
              <w:top w:val="nil"/>
              <w:bottom w:val="nil"/>
            </w:tcBorders>
            <w:vAlign w:val="center"/>
          </w:tcPr>
          <w:p w14:paraId="6CAF7B10" w14:textId="5DD607A9" w:rsidR="0007415A" w:rsidRPr="0007415A" w:rsidRDefault="0007415A" w:rsidP="0007415A">
            <w:pPr>
              <w:spacing w:before="120" w:line="202" w:lineRule="exact"/>
              <w:ind w:right="-2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07415A">
              <w:rPr>
                <w:sz w:val="20"/>
                <w:szCs w:val="20"/>
              </w:rPr>
              <w:t>224</w:t>
            </w:r>
          </w:p>
        </w:tc>
        <w:tc>
          <w:tcPr>
            <w:tcW w:w="900" w:type="dxa"/>
            <w:tcBorders>
              <w:top w:val="nil"/>
              <w:bottom w:val="nil"/>
            </w:tcBorders>
            <w:vAlign w:val="center"/>
          </w:tcPr>
          <w:p w14:paraId="23110236" w14:textId="0B712C21" w:rsidR="0007415A" w:rsidRPr="0007415A" w:rsidRDefault="0007415A" w:rsidP="0007415A">
            <w:pPr>
              <w:spacing w:before="120" w:line="202" w:lineRule="exact"/>
              <w:ind w:left="-6" w:right="-2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07415A">
              <w:rPr>
                <w:sz w:val="20"/>
                <w:szCs w:val="20"/>
              </w:rPr>
              <w:t>202</w:t>
            </w:r>
          </w:p>
        </w:tc>
        <w:tc>
          <w:tcPr>
            <w:tcW w:w="1080" w:type="dxa"/>
            <w:tcBorders>
              <w:top w:val="nil"/>
              <w:bottom w:val="nil"/>
            </w:tcBorders>
            <w:vAlign w:val="center"/>
          </w:tcPr>
          <w:p w14:paraId="5E8E8C96" w14:textId="6B8E2D36" w:rsidR="0007415A" w:rsidRPr="0007415A" w:rsidRDefault="0007415A" w:rsidP="0007415A">
            <w:pPr>
              <w:spacing w:before="120" w:line="202" w:lineRule="exact"/>
              <w:ind w:left="72" w:right="-2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07415A">
              <w:rPr>
                <w:sz w:val="20"/>
                <w:szCs w:val="20"/>
              </w:rPr>
              <w:t>223</w:t>
            </w:r>
          </w:p>
        </w:tc>
        <w:tc>
          <w:tcPr>
            <w:tcW w:w="1288" w:type="dxa"/>
            <w:tcBorders>
              <w:top w:val="nil"/>
              <w:bottom w:val="nil"/>
              <w:right w:val="nil"/>
            </w:tcBorders>
            <w:vAlign w:val="center"/>
          </w:tcPr>
          <w:p w14:paraId="1DB42E76" w14:textId="0E81CC67" w:rsidR="0007415A" w:rsidRPr="0007415A" w:rsidRDefault="0007415A" w:rsidP="0007415A">
            <w:pPr>
              <w:spacing w:before="120" w:line="202" w:lineRule="exact"/>
              <w:ind w:right="-2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rPr>
            </w:pPr>
            <w:r w:rsidRPr="0007415A">
              <w:rPr>
                <w:sz w:val="20"/>
                <w:szCs w:val="20"/>
              </w:rPr>
              <w:t>Met</w:t>
            </w:r>
          </w:p>
        </w:tc>
      </w:tr>
      <w:tr w:rsidR="00131CCE" w14:paraId="4E8D9DB4" w14:textId="77777777" w:rsidTr="0053497C">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032" w:type="dxa"/>
            <w:tcBorders>
              <w:top w:val="nil"/>
              <w:left w:val="nil"/>
              <w:bottom w:val="nil"/>
            </w:tcBorders>
            <w:shd w:val="clear" w:color="auto" w:fill="E3D6D3"/>
          </w:tcPr>
          <w:p w14:paraId="2387E959" w14:textId="77777777" w:rsidR="00564980" w:rsidRPr="003D45D0" w:rsidRDefault="00564980" w:rsidP="0007415A">
            <w:pPr>
              <w:spacing w:before="120"/>
              <w:rPr>
                <w:b w:val="0"/>
                <w:sz w:val="20"/>
                <w:szCs w:val="20"/>
              </w:rPr>
            </w:pPr>
            <w:r w:rsidRPr="00591570">
              <w:rPr>
                <w:b w:val="0"/>
                <w:sz w:val="20"/>
                <w:szCs w:val="20"/>
              </w:rPr>
              <w:t>N</w:t>
            </w:r>
            <w:r>
              <w:rPr>
                <w:b w:val="0"/>
                <w:sz w:val="20"/>
                <w:szCs w:val="20"/>
              </w:rPr>
              <w:t xml:space="preserve">umber of State Maritime Academy </w:t>
            </w:r>
            <w:r w:rsidRPr="00591570">
              <w:rPr>
                <w:b w:val="0"/>
                <w:sz w:val="20"/>
                <w:szCs w:val="20"/>
              </w:rPr>
              <w:t>graduates</w:t>
            </w:r>
          </w:p>
        </w:tc>
        <w:tc>
          <w:tcPr>
            <w:tcW w:w="810" w:type="dxa"/>
            <w:tcBorders>
              <w:top w:val="nil"/>
              <w:bottom w:val="nil"/>
            </w:tcBorders>
            <w:shd w:val="clear" w:color="auto" w:fill="E3D6D3"/>
            <w:vAlign w:val="center"/>
          </w:tcPr>
          <w:p w14:paraId="300FC031" w14:textId="77777777" w:rsidR="00564980" w:rsidRDefault="00564980" w:rsidP="0007415A">
            <w:pPr>
              <w:spacing w:before="120" w:line="202" w:lineRule="exact"/>
              <w:ind w:left="283" w:right="-2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Pr>
                <w:rFonts w:eastAsia="Times New Roman" w:cs="Times New Roman"/>
                <w:spacing w:val="1"/>
                <w:sz w:val="18"/>
                <w:szCs w:val="18"/>
              </w:rPr>
              <w:t>575</w:t>
            </w:r>
          </w:p>
        </w:tc>
        <w:tc>
          <w:tcPr>
            <w:tcW w:w="720" w:type="dxa"/>
            <w:tcBorders>
              <w:top w:val="nil"/>
              <w:bottom w:val="nil"/>
            </w:tcBorders>
            <w:shd w:val="clear" w:color="auto" w:fill="E3D6D3"/>
            <w:vAlign w:val="center"/>
          </w:tcPr>
          <w:p w14:paraId="674CEEDE" w14:textId="77777777" w:rsidR="00564980" w:rsidRDefault="00564980" w:rsidP="0007415A">
            <w:pPr>
              <w:spacing w:before="120" w:line="202" w:lineRule="exact"/>
              <w:ind w:left="193" w:right="-2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Pr>
                <w:rFonts w:eastAsia="Times New Roman" w:cs="Times New Roman"/>
                <w:spacing w:val="1"/>
                <w:sz w:val="18"/>
                <w:szCs w:val="18"/>
              </w:rPr>
              <w:t>545</w:t>
            </w:r>
          </w:p>
        </w:tc>
        <w:tc>
          <w:tcPr>
            <w:tcW w:w="810" w:type="dxa"/>
            <w:tcBorders>
              <w:top w:val="nil"/>
              <w:bottom w:val="nil"/>
            </w:tcBorders>
            <w:shd w:val="clear" w:color="auto" w:fill="E3D6D3"/>
            <w:vAlign w:val="center"/>
          </w:tcPr>
          <w:p w14:paraId="0D74970A" w14:textId="0FE94172" w:rsidR="00564980" w:rsidRDefault="00564980" w:rsidP="0007415A">
            <w:pPr>
              <w:spacing w:before="120" w:line="202" w:lineRule="exact"/>
              <w:ind w:left="227" w:right="-2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Pr>
                <w:rFonts w:eastAsia="Times New Roman" w:cs="Times New Roman"/>
                <w:spacing w:val="1"/>
                <w:sz w:val="18"/>
                <w:szCs w:val="18"/>
              </w:rPr>
              <w:t>64</w:t>
            </w:r>
            <w:r>
              <w:rPr>
                <w:rFonts w:eastAsia="Times New Roman" w:cs="Times New Roman"/>
                <w:spacing w:val="-1"/>
                <w:sz w:val="18"/>
                <w:szCs w:val="18"/>
              </w:rPr>
              <w:t>2</w:t>
            </w:r>
          </w:p>
        </w:tc>
        <w:tc>
          <w:tcPr>
            <w:tcW w:w="720" w:type="dxa"/>
            <w:tcBorders>
              <w:top w:val="nil"/>
              <w:bottom w:val="nil"/>
            </w:tcBorders>
            <w:shd w:val="clear" w:color="auto" w:fill="E3D6D3"/>
            <w:vAlign w:val="center"/>
          </w:tcPr>
          <w:p w14:paraId="4CD30CAF" w14:textId="6CA81F48" w:rsidR="00564980" w:rsidRDefault="00564980" w:rsidP="0007415A">
            <w:pPr>
              <w:spacing w:before="120" w:line="202" w:lineRule="exact"/>
              <w:ind w:left="72" w:right="-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Pr>
                <w:rFonts w:eastAsia="Times New Roman" w:cs="Times New Roman"/>
                <w:spacing w:val="1"/>
                <w:sz w:val="18"/>
                <w:szCs w:val="18"/>
              </w:rPr>
              <w:t>65</w:t>
            </w:r>
            <w:r>
              <w:rPr>
                <w:rFonts w:eastAsia="Times New Roman" w:cs="Times New Roman"/>
                <w:spacing w:val="-1"/>
                <w:sz w:val="18"/>
                <w:szCs w:val="18"/>
              </w:rPr>
              <w:t>8</w:t>
            </w:r>
          </w:p>
        </w:tc>
        <w:tc>
          <w:tcPr>
            <w:tcW w:w="990" w:type="dxa"/>
            <w:tcBorders>
              <w:top w:val="nil"/>
              <w:bottom w:val="nil"/>
            </w:tcBorders>
            <w:shd w:val="clear" w:color="auto" w:fill="E3D6D3"/>
            <w:vAlign w:val="center"/>
          </w:tcPr>
          <w:p w14:paraId="579A7C4D" w14:textId="77777777" w:rsidR="00564980" w:rsidRDefault="00564980" w:rsidP="0007415A">
            <w:pPr>
              <w:spacing w:before="120" w:line="202" w:lineRule="exact"/>
              <w:ind w:right="-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Pr>
                <w:rFonts w:eastAsia="Times New Roman" w:cs="Times New Roman"/>
                <w:spacing w:val="1"/>
                <w:sz w:val="18"/>
                <w:szCs w:val="18"/>
              </w:rPr>
              <w:t>734</w:t>
            </w:r>
          </w:p>
        </w:tc>
        <w:tc>
          <w:tcPr>
            <w:tcW w:w="900" w:type="dxa"/>
            <w:tcBorders>
              <w:top w:val="nil"/>
              <w:bottom w:val="nil"/>
            </w:tcBorders>
            <w:shd w:val="clear" w:color="auto" w:fill="E3D6D3"/>
            <w:vAlign w:val="center"/>
          </w:tcPr>
          <w:p w14:paraId="5C9F70EF" w14:textId="77777777" w:rsidR="00564980" w:rsidRDefault="00564980" w:rsidP="0007415A">
            <w:pPr>
              <w:spacing w:before="120" w:line="202" w:lineRule="exact"/>
              <w:ind w:left="358" w:right="-2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Pr>
                <w:rFonts w:eastAsia="Times New Roman" w:cs="Times New Roman"/>
                <w:spacing w:val="1"/>
                <w:sz w:val="18"/>
                <w:szCs w:val="18"/>
              </w:rPr>
              <w:t>660</w:t>
            </w:r>
          </w:p>
        </w:tc>
        <w:tc>
          <w:tcPr>
            <w:tcW w:w="1080" w:type="dxa"/>
            <w:tcBorders>
              <w:top w:val="nil"/>
              <w:bottom w:val="nil"/>
            </w:tcBorders>
            <w:shd w:val="clear" w:color="auto" w:fill="E3D6D3"/>
            <w:vAlign w:val="center"/>
          </w:tcPr>
          <w:p w14:paraId="6BBC6E4B" w14:textId="6118B296" w:rsidR="00564980" w:rsidRDefault="002B6591" w:rsidP="0007415A">
            <w:pPr>
              <w:spacing w:before="120" w:line="202" w:lineRule="exact"/>
              <w:ind w:right="-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Pr>
                <w:rFonts w:eastAsia="Times New Roman" w:cs="Times New Roman"/>
                <w:spacing w:val="-2"/>
                <w:sz w:val="18"/>
                <w:szCs w:val="18"/>
              </w:rPr>
              <w:t>974</w:t>
            </w:r>
          </w:p>
        </w:tc>
        <w:tc>
          <w:tcPr>
            <w:tcW w:w="1288" w:type="dxa"/>
            <w:tcBorders>
              <w:top w:val="nil"/>
              <w:bottom w:val="nil"/>
              <w:right w:val="nil"/>
            </w:tcBorders>
            <w:shd w:val="clear" w:color="auto" w:fill="E3D6D3"/>
            <w:vAlign w:val="center"/>
          </w:tcPr>
          <w:p w14:paraId="36E01B8C" w14:textId="0542E378" w:rsidR="00564980" w:rsidRDefault="002B6591" w:rsidP="0007415A">
            <w:pPr>
              <w:spacing w:before="120" w:line="202" w:lineRule="exact"/>
              <w:ind w:right="-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Pr>
                <w:rFonts w:eastAsia="Times New Roman" w:cs="Times New Roman"/>
                <w:spacing w:val="-2"/>
                <w:sz w:val="18"/>
                <w:szCs w:val="18"/>
              </w:rPr>
              <w:t>Met</w:t>
            </w:r>
          </w:p>
        </w:tc>
      </w:tr>
    </w:tbl>
    <w:p w14:paraId="64490A84" w14:textId="77777777" w:rsidR="0053497C" w:rsidRDefault="0053497C" w:rsidP="00092BBA">
      <w:pPr>
        <w:rPr>
          <w:i/>
        </w:rPr>
        <w:sectPr w:rsidR="0053497C" w:rsidSect="00903687">
          <w:headerReference w:type="first" r:id="rId19"/>
          <w:pgSz w:w="12240" w:h="15840"/>
          <w:pgMar w:top="1440" w:right="1440" w:bottom="1440" w:left="1440" w:header="576" w:footer="720" w:gutter="0"/>
          <w:cols w:space="720"/>
          <w:docGrid w:linePitch="360"/>
        </w:sectPr>
      </w:pPr>
    </w:p>
    <w:p w14:paraId="02677777" w14:textId="5D09CC41" w:rsidR="0047739C" w:rsidRPr="0047739C" w:rsidRDefault="0047739C" w:rsidP="00F86AB7">
      <w:pPr>
        <w:pStyle w:val="Title"/>
      </w:pPr>
      <w:bookmarkStart w:id="10" w:name="_Toc480802956"/>
      <w:r w:rsidRPr="0047739C">
        <w:lastRenderedPageBreak/>
        <w:t>FY 2018 DOT Performance Plan</w:t>
      </w:r>
    </w:p>
    <w:p w14:paraId="12698E22" w14:textId="64F1A879" w:rsidR="00240DA5" w:rsidRPr="00CE4D0E" w:rsidRDefault="00121655" w:rsidP="00CE4D0E">
      <w:pPr>
        <w:pStyle w:val="Heading1"/>
        <w:spacing w:after="240"/>
        <w:jc w:val="center"/>
        <w:rPr>
          <w:sz w:val="32"/>
          <w:szCs w:val="32"/>
        </w:rPr>
      </w:pPr>
      <w:bookmarkStart w:id="11" w:name="_Toc483414855"/>
      <w:r w:rsidRPr="00F86AB7">
        <w:rPr>
          <w:sz w:val="32"/>
          <w:szCs w:val="32"/>
        </w:rPr>
        <w:t>Improve the Safety of the Transportation System</w:t>
      </w:r>
      <w:bookmarkEnd w:id="10"/>
      <w:bookmarkEnd w:id="11"/>
    </w:p>
    <w:p w14:paraId="0AD41666" w14:textId="144E7682" w:rsidR="0047739C" w:rsidRPr="00CE4D0E" w:rsidRDefault="00362545" w:rsidP="00CE4D0E">
      <w:pPr>
        <w:spacing w:before="120" w:after="120" w:line="240" w:lineRule="auto"/>
        <w:rPr>
          <w:rFonts w:cs="Times New Roman"/>
          <w:szCs w:val="24"/>
        </w:rPr>
      </w:pPr>
      <w:r w:rsidRPr="00240DA5">
        <w:rPr>
          <w:rFonts w:cs="Times New Roman"/>
          <w:i/>
          <w:sz w:val="28"/>
          <w:szCs w:val="28"/>
        </w:rPr>
        <w:t>Improve the safety of the transportation system by addressing behavioral, vehicular, and infrastructure safety issues through prevention, mitigation, and response using innovative and effective partnerships, programs, and resources</w:t>
      </w:r>
      <w:r w:rsidR="00CE4D0E">
        <w:rPr>
          <w:rFonts w:cs="Times New Roman"/>
          <w:szCs w:val="24"/>
        </w:rPr>
        <w:t>.</w:t>
      </w:r>
    </w:p>
    <w:p w14:paraId="2E5C8AF0" w14:textId="271FD326" w:rsidR="00362545" w:rsidRPr="00022CD4" w:rsidRDefault="009C2749" w:rsidP="00CE4D0E">
      <w:pPr>
        <w:spacing w:before="120" w:after="120" w:line="240" w:lineRule="auto"/>
        <w:rPr>
          <w:rFonts w:cs="Times New Roman"/>
          <w:szCs w:val="24"/>
        </w:rPr>
      </w:pPr>
      <w:r>
        <w:rPr>
          <w:rFonts w:cs="Times New Roman"/>
          <w:szCs w:val="24"/>
        </w:rPr>
        <w:t>DOT’s</w:t>
      </w:r>
      <w:r w:rsidR="00362545" w:rsidRPr="00022CD4">
        <w:rPr>
          <w:rFonts w:cs="Times New Roman"/>
          <w:szCs w:val="24"/>
        </w:rPr>
        <w:t xml:space="preserve"> top priority is to make the U.S. transportation system the safest in the world. The Nation has made good progress in reducing overall transportation-related fatalities and injuries during the past two decades even though the U.S. population and travel increased significantly. The U.S. Department of Transportation (DOT) must continue to promote safer behaviors, vehicle and equipment designs, and infrastructure that will further reduce risks and minimize injury for all travelers.</w:t>
      </w:r>
      <w:r w:rsidR="00CE4D0E">
        <w:rPr>
          <w:rFonts w:cs="Times New Roman"/>
          <w:szCs w:val="24"/>
        </w:rPr>
        <w:t xml:space="preserve"> </w:t>
      </w:r>
    </w:p>
    <w:p w14:paraId="6862F056" w14:textId="0AF41D5E" w:rsidR="00E42A64" w:rsidRDefault="00362545" w:rsidP="00CE4D0E">
      <w:pPr>
        <w:spacing w:before="120" w:after="120" w:line="240" w:lineRule="auto"/>
        <w:rPr>
          <w:rFonts w:cs="Times New Roman"/>
          <w:szCs w:val="24"/>
        </w:rPr>
      </w:pPr>
      <w:r w:rsidRPr="00022CD4">
        <w:rPr>
          <w:rFonts w:cs="Times New Roman"/>
          <w:szCs w:val="24"/>
        </w:rPr>
        <w:t>DOT will work with its stakeholders—including transportation agencies, elected officials, law enforcement, industry representatives, bicycle and pedestrian groups, safety advocates, drivers, the disability and older adult communities, and the public—to keep the transportation system safe. The Department will use its safety regulatory authority over automobiles, aviation, rail, trucks, motorcoaches, pipelines, and hazardous materials as cost-effectively as possible to reduce crashes and injuries, and implement our expanded regulatory authority for public transit.</w:t>
      </w:r>
    </w:p>
    <w:p w14:paraId="57A3814C" w14:textId="52175A57" w:rsidR="00BA3DED" w:rsidRDefault="00362545" w:rsidP="00CE4D0E">
      <w:pPr>
        <w:spacing w:before="120" w:after="120" w:line="240" w:lineRule="auto"/>
        <w:rPr>
          <w:rFonts w:cs="Times New Roman"/>
          <w:szCs w:val="24"/>
        </w:rPr>
      </w:pPr>
      <w:r w:rsidRPr="00022CD4">
        <w:rPr>
          <w:rFonts w:cs="Times New Roman"/>
          <w:szCs w:val="24"/>
        </w:rPr>
        <w:t xml:space="preserve">DOT will continue to direct </w:t>
      </w:r>
      <w:r w:rsidR="007070CE">
        <w:rPr>
          <w:rFonts w:cs="Times New Roman"/>
          <w:szCs w:val="24"/>
        </w:rPr>
        <w:t>f</w:t>
      </w:r>
      <w:r w:rsidRPr="00022CD4">
        <w:rPr>
          <w:rFonts w:cs="Times New Roman"/>
          <w:szCs w:val="24"/>
        </w:rPr>
        <w:t>ederal resources to the highest safety risks and implement program reforms that will advance our safety mission. DOT will address these challenges</w:t>
      </w:r>
      <w:r w:rsidR="007070CE">
        <w:rPr>
          <w:rFonts w:cs="Times New Roman"/>
          <w:szCs w:val="24"/>
        </w:rPr>
        <w:t xml:space="preserve"> </w:t>
      </w:r>
      <w:r w:rsidRPr="00022CD4">
        <w:rPr>
          <w:rFonts w:cs="Times New Roman"/>
          <w:szCs w:val="24"/>
        </w:rPr>
        <w:t>through multimodal and mode specific strategies targeted toward identified risks, and work to ensure transportation systems are safe for all users.</w:t>
      </w:r>
      <w:r w:rsidR="00CF60D5">
        <w:rPr>
          <w:rFonts w:cs="Times New Roman"/>
          <w:szCs w:val="24"/>
        </w:rPr>
        <w:t xml:space="preserve"> </w:t>
      </w:r>
    </w:p>
    <w:p w14:paraId="539F9C88" w14:textId="4F525CF7" w:rsidR="00A470B4" w:rsidRDefault="003F160D" w:rsidP="00CE4D0E">
      <w:pPr>
        <w:spacing w:before="120" w:after="120" w:line="240" w:lineRule="auto"/>
        <w:rPr>
          <w:rFonts w:cs="Times New Roman"/>
          <w:szCs w:val="24"/>
        </w:rPr>
      </w:pPr>
      <w:r>
        <w:rPr>
          <w:rFonts w:cs="Times New Roman"/>
          <w:szCs w:val="24"/>
        </w:rPr>
        <w:t xml:space="preserve">All </w:t>
      </w:r>
      <w:r w:rsidR="00362545" w:rsidRPr="00022CD4">
        <w:rPr>
          <w:rFonts w:cs="Times New Roman"/>
          <w:szCs w:val="24"/>
        </w:rPr>
        <w:t xml:space="preserve">DOT Operating Administrations (OAs) contribute to </w:t>
      </w:r>
      <w:r>
        <w:rPr>
          <w:rFonts w:cs="Times New Roman"/>
          <w:szCs w:val="24"/>
        </w:rPr>
        <w:t>the department’s</w:t>
      </w:r>
      <w:r w:rsidR="00362545" w:rsidRPr="00022CD4">
        <w:rPr>
          <w:rFonts w:cs="Times New Roman"/>
          <w:szCs w:val="24"/>
        </w:rPr>
        <w:t xml:space="preserve"> safety goals</w:t>
      </w:r>
      <w:r>
        <w:rPr>
          <w:rFonts w:cs="Times New Roman"/>
          <w:szCs w:val="24"/>
        </w:rPr>
        <w:t>.</w:t>
      </w:r>
    </w:p>
    <w:p w14:paraId="2D44E6A6" w14:textId="77777777" w:rsidR="00362545" w:rsidRPr="0047739C" w:rsidRDefault="00362545" w:rsidP="00EB7676">
      <w:pPr>
        <w:pStyle w:val="Heading2"/>
        <w:spacing w:after="240"/>
      </w:pPr>
      <w:bookmarkStart w:id="12" w:name="_Toc387418063"/>
      <w:bookmarkStart w:id="13" w:name="_Toc483414856"/>
      <w:r w:rsidRPr="0047739C">
        <w:t>Roadway Safety (FHWA, FMCSA, NHTSA)</w:t>
      </w:r>
      <w:bookmarkEnd w:id="12"/>
      <w:bookmarkEnd w:id="13"/>
    </w:p>
    <w:p w14:paraId="08F8B72F" w14:textId="0DE3F550" w:rsidR="00781538" w:rsidRDefault="00781538" w:rsidP="00A470B4">
      <w:pPr>
        <w:spacing w:after="120" w:line="240" w:lineRule="auto"/>
        <w:rPr>
          <w:rFonts w:cs="Times New Roman"/>
          <w:szCs w:val="24"/>
        </w:rPr>
      </w:pPr>
      <w:r w:rsidRPr="00781538">
        <w:rPr>
          <w:rFonts w:cs="Times New Roman"/>
          <w:szCs w:val="24"/>
        </w:rPr>
        <w:t>Over the past 10 years, the number of fatalities on the Nat</w:t>
      </w:r>
      <w:r w:rsidR="0047739C">
        <w:rPr>
          <w:rFonts w:cs="Times New Roman"/>
          <w:szCs w:val="24"/>
        </w:rPr>
        <w:t>ion’s roadways has</w:t>
      </w:r>
      <w:r w:rsidRPr="00781538">
        <w:rPr>
          <w:rFonts w:cs="Times New Roman"/>
          <w:szCs w:val="24"/>
        </w:rPr>
        <w:t xml:space="preserve"> dropped by nearly 18 percent.  However, some of that success has been offset recently by increases in the number of fatalities.  During 2015, 35,092 people died in crashes on the Nation’s roadways.  An average of 96 people died each day in motor vehicle crashes, one fatality every 15 minutes.  </w:t>
      </w:r>
    </w:p>
    <w:p w14:paraId="48983727" w14:textId="77777777" w:rsidR="00FB46C2" w:rsidRPr="00D03136" w:rsidRDefault="00FB46C2" w:rsidP="00A470B4">
      <w:pPr>
        <w:spacing w:after="120" w:line="240" w:lineRule="auto"/>
        <w:rPr>
          <w:szCs w:val="24"/>
        </w:rPr>
      </w:pPr>
      <w:r w:rsidRPr="00D03136">
        <w:rPr>
          <w:szCs w:val="24"/>
        </w:rPr>
        <w:t>The safety of our Nation’s transportation system is a top priority of DOT. Within DOT, FHWA, FMCSA, and NHTSA work together to address multi</w:t>
      </w:r>
      <w:r w:rsidR="009C2749">
        <w:rPr>
          <w:szCs w:val="24"/>
        </w:rPr>
        <w:t>ple dimensions of roadway safety. Roadway crashes</w:t>
      </w:r>
      <w:r w:rsidRPr="00D03136">
        <w:rPr>
          <w:szCs w:val="24"/>
        </w:rPr>
        <w:t xml:space="preserve"> </w:t>
      </w:r>
      <w:r w:rsidR="002812BC">
        <w:rPr>
          <w:szCs w:val="24"/>
        </w:rPr>
        <w:t>represent</w:t>
      </w:r>
      <w:r w:rsidRPr="00D03136">
        <w:rPr>
          <w:szCs w:val="24"/>
        </w:rPr>
        <w:t xml:space="preserve"> 94 percent of all transportation-related fatalities in the United States. </w:t>
      </w:r>
      <w:r w:rsidR="002812BC">
        <w:rPr>
          <w:szCs w:val="24"/>
        </w:rPr>
        <w:t xml:space="preserve">Each DOT OA plays a specific role in </w:t>
      </w:r>
      <w:r w:rsidRPr="00D03136">
        <w:rPr>
          <w:szCs w:val="24"/>
        </w:rPr>
        <w:t>address</w:t>
      </w:r>
      <w:r w:rsidR="002812BC">
        <w:rPr>
          <w:szCs w:val="24"/>
        </w:rPr>
        <w:t>ing</w:t>
      </w:r>
      <w:r w:rsidRPr="00D03136">
        <w:rPr>
          <w:szCs w:val="24"/>
        </w:rPr>
        <w:t xml:space="preserve"> pre-crash, crash, and post-crash factors that contribute to injuries and fatalities:</w:t>
      </w:r>
    </w:p>
    <w:p w14:paraId="1288AC09" w14:textId="77777777" w:rsidR="00FB46C2" w:rsidRPr="00D03136" w:rsidRDefault="00FB46C2" w:rsidP="007935D7">
      <w:pPr>
        <w:numPr>
          <w:ilvl w:val="0"/>
          <w:numId w:val="6"/>
        </w:numPr>
        <w:spacing w:before="120" w:after="120" w:line="240" w:lineRule="auto"/>
        <w:contextualSpacing/>
        <w:rPr>
          <w:szCs w:val="24"/>
        </w:rPr>
      </w:pPr>
      <w:r w:rsidRPr="00D03136">
        <w:rPr>
          <w:szCs w:val="24"/>
        </w:rPr>
        <w:t xml:space="preserve">FHWA improves safe mobility and infrastructure of our Nation’s roadways through national leadership and innovation. </w:t>
      </w:r>
    </w:p>
    <w:p w14:paraId="203C9915" w14:textId="77777777" w:rsidR="00FB46C2" w:rsidRPr="00D03136" w:rsidRDefault="00FB46C2" w:rsidP="007935D7">
      <w:pPr>
        <w:numPr>
          <w:ilvl w:val="0"/>
          <w:numId w:val="6"/>
        </w:numPr>
        <w:spacing w:before="120" w:after="120" w:line="240" w:lineRule="auto"/>
        <w:contextualSpacing/>
        <w:rPr>
          <w:szCs w:val="24"/>
        </w:rPr>
      </w:pPr>
      <w:r w:rsidRPr="00D03136">
        <w:rPr>
          <w:szCs w:val="24"/>
        </w:rPr>
        <w:t xml:space="preserve">FMCSA aims to reduce commercial motor vehicle (CMV) transportation crashes, injuries and fatalities through education, innovation, regulation, enforcement and partnerships. </w:t>
      </w:r>
    </w:p>
    <w:p w14:paraId="4FC97CDD" w14:textId="77777777" w:rsidR="00AD36F0" w:rsidRPr="00AD36F0" w:rsidRDefault="00FB46C2" w:rsidP="007935D7">
      <w:pPr>
        <w:numPr>
          <w:ilvl w:val="0"/>
          <w:numId w:val="6"/>
        </w:numPr>
        <w:spacing w:before="120" w:after="240" w:line="240" w:lineRule="auto"/>
        <w:contextualSpacing/>
        <w:rPr>
          <w:szCs w:val="24"/>
        </w:rPr>
      </w:pPr>
      <w:r w:rsidRPr="00D03136">
        <w:rPr>
          <w:szCs w:val="24"/>
        </w:rPr>
        <w:lastRenderedPageBreak/>
        <w:t xml:space="preserve">NHTSA develops motor vehicle safety standards and evidence-based safety campaigns and programs.  It also conducts advanced vehicle and behavioral safety research, and vehicle defects investigations and enforcement.  </w:t>
      </w:r>
    </w:p>
    <w:p w14:paraId="7FC81A00" w14:textId="77777777" w:rsidR="00AD36F0" w:rsidRDefault="00AD36F0" w:rsidP="00A470B4">
      <w:pPr>
        <w:spacing w:after="120" w:line="240" w:lineRule="auto"/>
        <w:rPr>
          <w:rFonts w:cs="Times New Roman"/>
          <w:szCs w:val="24"/>
        </w:rPr>
      </w:pPr>
      <w:r w:rsidRPr="00D03136">
        <w:rPr>
          <w:rFonts w:cs="Times New Roman"/>
          <w:szCs w:val="24"/>
        </w:rPr>
        <w:t>In the first 1</w:t>
      </w:r>
      <w:r>
        <w:rPr>
          <w:rFonts w:cs="Times New Roman"/>
          <w:szCs w:val="24"/>
        </w:rPr>
        <w:t>5</w:t>
      </w:r>
      <w:r w:rsidRPr="00D03136">
        <w:rPr>
          <w:rFonts w:cs="Times New Roman"/>
          <w:szCs w:val="24"/>
        </w:rPr>
        <w:t xml:space="preserve"> years of the 21st century, more than </w:t>
      </w:r>
      <w:r>
        <w:rPr>
          <w:rFonts w:cs="Times New Roman"/>
          <w:szCs w:val="24"/>
        </w:rPr>
        <w:t>611</w:t>
      </w:r>
      <w:r w:rsidRPr="00D03136">
        <w:rPr>
          <w:rFonts w:cs="Times New Roman"/>
          <w:szCs w:val="24"/>
        </w:rPr>
        <w:t xml:space="preserve">,000 people died on the Nation’s roadways. </w:t>
      </w:r>
      <w:r>
        <w:rPr>
          <w:rFonts w:cs="Times New Roman"/>
          <w:szCs w:val="24"/>
        </w:rPr>
        <w:t>Among certain age groups, motor vehicle crashes are still a leading cause of death – mostly for young people.  In 2014, motor vehicle crashes were the leading cause of death for young adults ages 16 – 24, and the second leading cause of death for children ages 4 – 15</w:t>
      </w:r>
      <w:r>
        <w:rPr>
          <w:rStyle w:val="FootnoteReference"/>
          <w:rFonts w:cs="Times New Roman"/>
          <w:szCs w:val="24"/>
        </w:rPr>
        <w:footnoteReference w:id="2"/>
      </w:r>
      <w:r>
        <w:rPr>
          <w:rFonts w:cs="Times New Roman"/>
          <w:szCs w:val="24"/>
        </w:rPr>
        <w:t xml:space="preserve">.  </w:t>
      </w:r>
      <w:r w:rsidRPr="00D03136">
        <w:rPr>
          <w:rFonts w:cs="Times New Roman"/>
          <w:szCs w:val="24"/>
        </w:rPr>
        <w:t xml:space="preserve">The total economic and social cost of highway crashes is $871 billion per year, according to </w:t>
      </w:r>
      <w:hyperlink r:id="rId20" w:history="1">
        <w:r w:rsidRPr="00D03136">
          <w:rPr>
            <w:rFonts w:cs="Times New Roman"/>
            <w:color w:val="0000FF" w:themeColor="hyperlink"/>
            <w:szCs w:val="24"/>
            <w:u w:val="single"/>
          </w:rPr>
          <w:t>NHTSA estimates</w:t>
        </w:r>
      </w:hyperlink>
      <w:r w:rsidRPr="00D03136">
        <w:rPr>
          <w:rFonts w:cs="Times New Roman"/>
          <w:szCs w:val="24"/>
        </w:rPr>
        <w:t>, an indication of the economic magnitude of highway crashes.</w:t>
      </w:r>
      <w:r>
        <w:rPr>
          <w:rFonts w:cs="Times New Roman"/>
          <w:szCs w:val="24"/>
        </w:rPr>
        <w:t xml:space="preserve"> </w:t>
      </w:r>
      <w:r w:rsidRPr="00D03136">
        <w:rPr>
          <w:rFonts w:cs="Times New Roman"/>
          <w:szCs w:val="24"/>
        </w:rPr>
        <w:t>DOT’s goal is to reduce roadway fatalities by the end of CY 201</w:t>
      </w:r>
      <w:r>
        <w:rPr>
          <w:rFonts w:cs="Times New Roman"/>
          <w:szCs w:val="24"/>
        </w:rPr>
        <w:t>7</w:t>
      </w:r>
      <w:r w:rsidRPr="00D03136">
        <w:rPr>
          <w:rFonts w:cs="Times New Roman"/>
          <w:szCs w:val="24"/>
        </w:rPr>
        <w:t xml:space="preserve"> to 1.02 per 100 million vehicle miles traveled (VMT).  </w:t>
      </w:r>
    </w:p>
    <w:p w14:paraId="511C3239" w14:textId="12770B81" w:rsidR="00AD36F0" w:rsidRDefault="00AD36F0" w:rsidP="00961E73">
      <w:pPr>
        <w:spacing w:after="120" w:line="240" w:lineRule="auto"/>
        <w:rPr>
          <w:rFonts w:eastAsia="Times New Roman"/>
          <w:szCs w:val="24"/>
        </w:rPr>
      </w:pPr>
      <w:r>
        <w:rPr>
          <w:rFonts w:eastAsia="Times New Roman"/>
          <w:szCs w:val="24"/>
        </w:rPr>
        <w:t>The Federal Government has the authority to establish national safety standards for vehicles, roadways and motor carriers. However, most of the activities that address safety issues are a partnership between Federal</w:t>
      </w:r>
      <w:r w:rsidR="00961E73">
        <w:rPr>
          <w:rFonts w:eastAsia="Times New Roman"/>
          <w:szCs w:val="24"/>
        </w:rPr>
        <w:t>, State, and local governments.</w:t>
      </w:r>
    </w:p>
    <w:p w14:paraId="204A7A96" w14:textId="77777777" w:rsidR="002509E1" w:rsidRPr="0047739C" w:rsidRDefault="00C930B9" w:rsidP="00CE4D0E">
      <w:pPr>
        <w:pStyle w:val="Heading4"/>
        <w:rPr>
          <w:rFonts w:cs="Times New Roman"/>
        </w:rPr>
      </w:pPr>
      <w:bookmarkStart w:id="14" w:name="_Toc387418064"/>
      <w:r w:rsidRPr="0047739C">
        <w:t>Key Strategies</w:t>
      </w:r>
    </w:p>
    <w:p w14:paraId="644D7E18" w14:textId="77777777" w:rsidR="00C930B9" w:rsidRDefault="00C930B9" w:rsidP="0061240F">
      <w:pPr>
        <w:spacing w:after="0" w:line="240" w:lineRule="auto"/>
        <w:rPr>
          <w:rFonts w:cs="Times New Roman"/>
          <w:szCs w:val="24"/>
        </w:rPr>
      </w:pPr>
      <w:r w:rsidRPr="00362545">
        <w:rPr>
          <w:rFonts w:cs="Times New Roman"/>
          <w:szCs w:val="24"/>
        </w:rPr>
        <w:t>DOT emphasizes a data-driven approach to prioritize and determine the most effective ways to reduce crashes and fatalities. Data collection provides the foundation to better understand and quantify the nature of the problem and to develop evidence-based countermeasures as well as develop safer vehicles. Recognizing its importance, DOT will pursue data improvement initiatives in FY 201</w:t>
      </w:r>
      <w:r>
        <w:rPr>
          <w:rFonts w:cs="Times New Roman"/>
          <w:szCs w:val="24"/>
        </w:rPr>
        <w:t>7</w:t>
      </w:r>
      <w:r w:rsidRPr="00362545">
        <w:rPr>
          <w:rFonts w:cs="Times New Roman"/>
          <w:szCs w:val="24"/>
        </w:rPr>
        <w:t xml:space="preserve"> to further enhance and link existing systems. Modernizing and consolidating data programs enables not only DOT to make better traffic safety programming decisions, but allows State and loc</w:t>
      </w:r>
      <w:r>
        <w:rPr>
          <w:rFonts w:cs="Times New Roman"/>
          <w:szCs w:val="24"/>
        </w:rPr>
        <w:t xml:space="preserve">al communities to do the same. </w:t>
      </w:r>
    </w:p>
    <w:p w14:paraId="0BEB4201" w14:textId="77777777" w:rsidR="00F2632F" w:rsidRPr="00F2632F" w:rsidRDefault="00425161" w:rsidP="009619C3">
      <w:pPr>
        <w:spacing w:before="120" w:after="120" w:line="240" w:lineRule="auto"/>
        <w:rPr>
          <w:rFonts w:cs="Times New Roman"/>
          <w:color w:val="000000"/>
          <w:position w:val="-3"/>
          <w:szCs w:val="24"/>
        </w:rPr>
      </w:pPr>
      <w:r>
        <w:rPr>
          <w:rFonts w:cs="Times New Roman"/>
          <w:color w:val="000000"/>
          <w:position w:val="-3"/>
          <w:szCs w:val="24"/>
        </w:rPr>
        <w:t>The Fixing America’s Surface Transportation Act</w:t>
      </w:r>
      <w:r w:rsidR="00037096">
        <w:rPr>
          <w:rFonts w:cs="Times New Roman"/>
          <w:color w:val="000000"/>
          <w:position w:val="-3"/>
          <w:szCs w:val="24"/>
        </w:rPr>
        <w:t xml:space="preserve"> (FAST Act</w:t>
      </w:r>
      <w:r w:rsidR="00981032">
        <w:rPr>
          <w:rFonts w:cs="Times New Roman"/>
          <w:color w:val="000000"/>
          <w:position w:val="-3"/>
          <w:szCs w:val="24"/>
        </w:rPr>
        <w:t>),</w:t>
      </w:r>
      <w:r w:rsidR="003D678F">
        <w:rPr>
          <w:rFonts w:cs="Times New Roman"/>
          <w:color w:val="000000"/>
          <w:position w:val="-3"/>
          <w:szCs w:val="24"/>
        </w:rPr>
        <w:t xml:space="preserve"> which authorizes DOT’s oversight of surface transportation,</w:t>
      </w:r>
      <w:r>
        <w:rPr>
          <w:rFonts w:cs="Times New Roman"/>
          <w:color w:val="000000"/>
          <w:position w:val="-3"/>
          <w:szCs w:val="24"/>
        </w:rPr>
        <w:t xml:space="preserve"> was signed into law by President Obama on December 4, 2015. </w:t>
      </w:r>
      <w:r w:rsidRPr="005A20B5">
        <w:rPr>
          <w:rFonts w:cs="Times New Roman"/>
          <w:color w:val="000000"/>
          <w:position w:val="-3"/>
          <w:szCs w:val="24"/>
        </w:rPr>
        <w:t xml:space="preserve">The FAST Act covers </w:t>
      </w:r>
      <w:r w:rsidR="00D702D3">
        <w:rPr>
          <w:rFonts w:cs="Times New Roman"/>
          <w:color w:val="000000"/>
          <w:position w:val="-3"/>
          <w:szCs w:val="24"/>
        </w:rPr>
        <w:t>five fiscal years through 2020</w:t>
      </w:r>
      <w:r w:rsidRPr="005A20B5">
        <w:rPr>
          <w:rFonts w:cs="Times New Roman"/>
          <w:color w:val="000000"/>
          <w:position w:val="-3"/>
          <w:szCs w:val="24"/>
        </w:rPr>
        <w:t>, and is the first law in over ten years that offers long-term funding certainty to the Federal surface transportation program</w:t>
      </w:r>
      <w:r>
        <w:rPr>
          <w:rFonts w:cs="Times New Roman"/>
          <w:color w:val="000000"/>
          <w:position w:val="-3"/>
          <w:szCs w:val="24"/>
        </w:rPr>
        <w:t xml:space="preserve">. States and local </w:t>
      </w:r>
      <w:r w:rsidRPr="005A20B5">
        <w:rPr>
          <w:rFonts w:cs="Times New Roman"/>
          <w:color w:val="000000"/>
          <w:position w:val="-3"/>
          <w:szCs w:val="24"/>
        </w:rPr>
        <w:t xml:space="preserve">governments can </w:t>
      </w:r>
      <w:r>
        <w:rPr>
          <w:rFonts w:cs="Times New Roman"/>
          <w:color w:val="000000"/>
          <w:position w:val="-3"/>
          <w:szCs w:val="24"/>
        </w:rPr>
        <w:t xml:space="preserve">now </w:t>
      </w:r>
      <w:r w:rsidRPr="005A20B5">
        <w:rPr>
          <w:rFonts w:cs="Times New Roman"/>
          <w:color w:val="000000"/>
          <w:position w:val="-3"/>
          <w:szCs w:val="24"/>
        </w:rPr>
        <w:t>move forward with critical transportation projects, like new highways and transit lines, with the confidence that they will have a Federal par</w:t>
      </w:r>
      <w:r w:rsidR="003D678F">
        <w:rPr>
          <w:rFonts w:cs="Times New Roman"/>
          <w:color w:val="000000"/>
          <w:position w:val="-3"/>
          <w:szCs w:val="24"/>
        </w:rPr>
        <w:t>tner over the long term. The Act</w:t>
      </w:r>
      <w:r w:rsidRPr="005A20B5">
        <w:rPr>
          <w:rFonts w:cs="Times New Roman"/>
          <w:color w:val="000000"/>
          <w:position w:val="-3"/>
          <w:szCs w:val="24"/>
        </w:rPr>
        <w:t xml:space="preserve"> also makes changes and reforms to many Federal transportation programs, including streamlining the approval processes for new transportation projects, providing new safety tools, and establishing new programs to advance critical freight projects</w:t>
      </w:r>
      <w:r w:rsidR="003D678F">
        <w:rPr>
          <w:rFonts w:cs="Times New Roman"/>
          <w:color w:val="000000"/>
          <w:position w:val="-3"/>
          <w:szCs w:val="24"/>
        </w:rPr>
        <w:t>. The FAST Act</w:t>
      </w:r>
      <w:r>
        <w:rPr>
          <w:rFonts w:cs="Times New Roman"/>
          <w:color w:val="000000"/>
          <w:position w:val="-3"/>
          <w:szCs w:val="24"/>
        </w:rPr>
        <w:t xml:space="preserve"> also includes additional motor vehicle safety measures, such as the authority to </w:t>
      </w:r>
      <w:r w:rsidRPr="009A718B">
        <w:rPr>
          <w:rFonts w:cs="Times New Roman"/>
          <w:color w:val="000000"/>
          <w:position w:val="-3"/>
          <w:szCs w:val="24"/>
        </w:rPr>
        <w:t>prohibit rental car companies from knowingly renting vehicles that are subject to safety recalls</w:t>
      </w:r>
      <w:r>
        <w:rPr>
          <w:rFonts w:cs="Times New Roman"/>
          <w:color w:val="000000"/>
          <w:position w:val="-3"/>
          <w:szCs w:val="24"/>
        </w:rPr>
        <w:t xml:space="preserve">; </w:t>
      </w:r>
      <w:r w:rsidRPr="009A718B">
        <w:rPr>
          <w:rFonts w:cs="Times New Roman"/>
          <w:color w:val="000000"/>
          <w:position w:val="-3"/>
          <w:szCs w:val="24"/>
        </w:rPr>
        <w:t>increased maximum fines against non-compliant auto manufactures from $35 million to $105 million</w:t>
      </w:r>
      <w:r>
        <w:rPr>
          <w:rFonts w:cs="Times New Roman"/>
          <w:color w:val="000000"/>
          <w:position w:val="-3"/>
          <w:szCs w:val="24"/>
        </w:rPr>
        <w:t xml:space="preserve">; and </w:t>
      </w:r>
      <w:r w:rsidRPr="009A718B">
        <w:rPr>
          <w:rFonts w:cs="Times New Roman"/>
          <w:color w:val="000000"/>
          <w:position w:val="-3"/>
          <w:szCs w:val="24"/>
        </w:rPr>
        <w:t>streamlines the Federal truck and bus safety grant programs, giving more flexibility to States to improve safety in these areas</w:t>
      </w:r>
      <w:r>
        <w:rPr>
          <w:rFonts w:cs="Times New Roman"/>
          <w:color w:val="000000"/>
          <w:position w:val="-3"/>
          <w:szCs w:val="24"/>
        </w:rPr>
        <w:t>.</w:t>
      </w:r>
      <w:r w:rsidR="00F2632F">
        <w:rPr>
          <w:rFonts w:cs="Times New Roman"/>
          <w:color w:val="000000"/>
          <w:position w:val="-3"/>
          <w:szCs w:val="24"/>
        </w:rPr>
        <w:t xml:space="preserve"> </w:t>
      </w:r>
    </w:p>
    <w:p w14:paraId="5B4FC753" w14:textId="77777777" w:rsidR="00BA3DED" w:rsidRPr="009619C3" w:rsidRDefault="00BA3DED" w:rsidP="009619C3">
      <w:pPr>
        <w:pStyle w:val="Heading5"/>
        <w:shd w:val="clear" w:color="auto" w:fill="4F81BD" w:themeFill="accent1"/>
        <w:rPr>
          <w:rFonts w:cs="Times New Roman"/>
          <w:b/>
          <w:i/>
          <w:color w:val="FFFFFF" w:themeColor="background1"/>
        </w:rPr>
      </w:pPr>
      <w:r w:rsidRPr="009619C3">
        <w:rPr>
          <w:b/>
          <w:i/>
          <w:color w:val="FFFFFF" w:themeColor="background1"/>
        </w:rPr>
        <w:t>FHWA</w:t>
      </w:r>
    </w:p>
    <w:p w14:paraId="03A904F1" w14:textId="77777777" w:rsidR="00493455" w:rsidRPr="00960204" w:rsidRDefault="00493455" w:rsidP="009619C3">
      <w:pPr>
        <w:numPr>
          <w:ilvl w:val="0"/>
          <w:numId w:val="4"/>
        </w:numPr>
        <w:spacing w:before="120" w:after="120" w:line="240" w:lineRule="auto"/>
        <w:contextualSpacing/>
        <w:rPr>
          <w:rFonts w:cs="Times New Roman"/>
          <w:szCs w:val="24"/>
        </w:rPr>
      </w:pPr>
      <w:r>
        <w:rPr>
          <w:rFonts w:cs="Times New Roman"/>
          <w:szCs w:val="24"/>
        </w:rPr>
        <w:t>Providing States with guidance for the implementation of safety programs and reporting (including HSIP, Older Driver and Pedestrian Special Rule Interim Guidance, High Risk Rural Roads, and State Safety Data Systems);</w:t>
      </w:r>
    </w:p>
    <w:p w14:paraId="062F439B" w14:textId="77777777" w:rsidR="00493455" w:rsidRPr="00E44CE1" w:rsidRDefault="00493455" w:rsidP="009619C3">
      <w:pPr>
        <w:numPr>
          <w:ilvl w:val="0"/>
          <w:numId w:val="4"/>
        </w:numPr>
        <w:spacing w:before="120" w:after="120" w:line="240" w:lineRule="auto"/>
        <w:contextualSpacing/>
        <w:rPr>
          <w:rFonts w:cs="Times New Roman"/>
          <w:szCs w:val="24"/>
        </w:rPr>
      </w:pPr>
      <w:r>
        <w:rPr>
          <w:rFonts w:cs="Times New Roman"/>
          <w:szCs w:val="24"/>
        </w:rPr>
        <w:lastRenderedPageBreak/>
        <w:t>Working with State DOTs to improve the State’s obligation of their HSIP funds;</w:t>
      </w:r>
    </w:p>
    <w:p w14:paraId="5E4151AC" w14:textId="77777777" w:rsidR="00493455" w:rsidRPr="00362545" w:rsidRDefault="00493455" w:rsidP="009619C3">
      <w:pPr>
        <w:numPr>
          <w:ilvl w:val="0"/>
          <w:numId w:val="4"/>
        </w:numPr>
        <w:spacing w:before="120" w:after="120" w:line="240" w:lineRule="auto"/>
        <w:contextualSpacing/>
        <w:rPr>
          <w:rFonts w:cs="Times New Roman"/>
          <w:szCs w:val="24"/>
        </w:rPr>
      </w:pPr>
      <w:r>
        <w:rPr>
          <w:szCs w:val="24"/>
        </w:rPr>
        <w:t>Providing</w:t>
      </w:r>
      <w:r w:rsidRPr="00362545">
        <w:rPr>
          <w:szCs w:val="24"/>
        </w:rPr>
        <w:t xml:space="preserve"> technical assistance and expertise to research, design, and implement roadway in</w:t>
      </w:r>
      <w:r>
        <w:rPr>
          <w:szCs w:val="24"/>
        </w:rPr>
        <w:t>frastructure</w:t>
      </w:r>
      <w:r w:rsidRPr="00362545">
        <w:rPr>
          <w:szCs w:val="24"/>
        </w:rPr>
        <w:t xml:space="preserve"> improvements; and to modernize highway geometric features and safety hardware as part of road and bridge construction, </w:t>
      </w:r>
      <w:r>
        <w:rPr>
          <w:szCs w:val="24"/>
        </w:rPr>
        <w:t>rehabilitation and restoration projects;</w:t>
      </w:r>
    </w:p>
    <w:p w14:paraId="0AE70E73" w14:textId="77777777" w:rsidR="00493455" w:rsidRPr="008C3E46" w:rsidRDefault="00493455" w:rsidP="009619C3">
      <w:pPr>
        <w:numPr>
          <w:ilvl w:val="0"/>
          <w:numId w:val="4"/>
        </w:numPr>
        <w:spacing w:before="120" w:after="120" w:line="240" w:lineRule="auto"/>
        <w:contextualSpacing/>
        <w:rPr>
          <w:rFonts w:cs="Times New Roman"/>
          <w:szCs w:val="24"/>
        </w:rPr>
      </w:pPr>
      <w:r>
        <w:rPr>
          <w:szCs w:val="24"/>
        </w:rPr>
        <w:t>Managing</w:t>
      </w:r>
      <w:r w:rsidRPr="00362545">
        <w:rPr>
          <w:szCs w:val="24"/>
        </w:rPr>
        <w:t xml:space="preserve"> the Focu</w:t>
      </w:r>
      <w:r>
        <w:rPr>
          <w:szCs w:val="24"/>
        </w:rPr>
        <w:t>sed Approach to Safety to better address</w:t>
      </w:r>
      <w:r w:rsidRPr="00362545">
        <w:rPr>
          <w:szCs w:val="24"/>
        </w:rPr>
        <w:t xml:space="preserve"> critical </w:t>
      </w:r>
      <w:r>
        <w:rPr>
          <w:szCs w:val="24"/>
        </w:rPr>
        <w:t xml:space="preserve">infrastructure </w:t>
      </w:r>
      <w:r w:rsidRPr="00362545">
        <w:rPr>
          <w:szCs w:val="24"/>
        </w:rPr>
        <w:t>safety challenges, specifically for roadway departure, intersection-</w:t>
      </w:r>
      <w:r>
        <w:rPr>
          <w:szCs w:val="24"/>
        </w:rPr>
        <w:t>related, and pedestrian crashes;</w:t>
      </w:r>
      <w:r w:rsidRPr="00362545">
        <w:rPr>
          <w:szCs w:val="24"/>
        </w:rPr>
        <w:t xml:space="preserve"> </w:t>
      </w:r>
    </w:p>
    <w:p w14:paraId="5D2218E2" w14:textId="77777777" w:rsidR="00F2632F" w:rsidRPr="00F2632F" w:rsidRDefault="00493455" w:rsidP="009619C3">
      <w:pPr>
        <w:numPr>
          <w:ilvl w:val="0"/>
          <w:numId w:val="4"/>
        </w:numPr>
        <w:spacing w:before="120" w:after="120" w:line="240" w:lineRule="auto"/>
        <w:contextualSpacing/>
        <w:rPr>
          <w:rFonts w:cs="Times New Roman"/>
          <w:szCs w:val="24"/>
        </w:rPr>
      </w:pPr>
      <w:r>
        <w:rPr>
          <w:szCs w:val="24"/>
        </w:rPr>
        <w:t>Implementing</w:t>
      </w:r>
      <w:r w:rsidRPr="00362545">
        <w:rPr>
          <w:szCs w:val="24"/>
        </w:rPr>
        <w:t xml:space="preserve"> the regulatory requirements </w:t>
      </w:r>
      <w:r>
        <w:rPr>
          <w:szCs w:val="24"/>
        </w:rPr>
        <w:t>for</w:t>
      </w:r>
      <w:r w:rsidRPr="00362545">
        <w:rPr>
          <w:szCs w:val="24"/>
        </w:rPr>
        <w:t xml:space="preserve"> safety performance management and th</w:t>
      </w:r>
      <w:r>
        <w:rPr>
          <w:szCs w:val="24"/>
        </w:rPr>
        <w:t>e requirements for HSIP</w:t>
      </w:r>
      <w:r w:rsidRPr="00362545">
        <w:rPr>
          <w:szCs w:val="24"/>
        </w:rPr>
        <w:t xml:space="preserve"> </w:t>
      </w:r>
      <w:r>
        <w:rPr>
          <w:szCs w:val="24"/>
        </w:rPr>
        <w:t xml:space="preserve">to help States </w:t>
      </w:r>
      <w:r w:rsidRPr="00362545">
        <w:rPr>
          <w:szCs w:val="24"/>
        </w:rPr>
        <w:t>improv</w:t>
      </w:r>
      <w:r>
        <w:rPr>
          <w:szCs w:val="24"/>
        </w:rPr>
        <w:t>e</w:t>
      </w:r>
      <w:r w:rsidRPr="00362545">
        <w:rPr>
          <w:szCs w:val="24"/>
        </w:rPr>
        <w:t xml:space="preserve"> roadwa</w:t>
      </w:r>
      <w:r>
        <w:rPr>
          <w:szCs w:val="24"/>
        </w:rPr>
        <w:t>y and safety data; and</w:t>
      </w:r>
    </w:p>
    <w:p w14:paraId="00217E68" w14:textId="77777777" w:rsidR="00493455" w:rsidRPr="00F2632F" w:rsidRDefault="00493455" w:rsidP="009619C3">
      <w:pPr>
        <w:numPr>
          <w:ilvl w:val="0"/>
          <w:numId w:val="4"/>
        </w:numPr>
        <w:spacing w:before="120" w:after="120" w:line="240" w:lineRule="auto"/>
        <w:contextualSpacing/>
        <w:rPr>
          <w:rFonts w:cs="Times New Roman"/>
          <w:szCs w:val="24"/>
        </w:rPr>
      </w:pPr>
      <w:r w:rsidRPr="00F2632F">
        <w:rPr>
          <w:rFonts w:cs="Times New Roman"/>
          <w:color w:val="000000"/>
          <w:position w:val="-3"/>
        </w:rPr>
        <w:t>Promoting the latest innovative safety tools and countermeasures as part of the Every Day Counts (EDC) initiative for Data Driven Safety Analysis (DDSA and Safe Transportation for Every Pedestrian (STEP).</w:t>
      </w:r>
    </w:p>
    <w:p w14:paraId="1FFB0944" w14:textId="77777777" w:rsidR="00C930B9" w:rsidRPr="009619C3" w:rsidRDefault="00026F5E" w:rsidP="009619C3">
      <w:pPr>
        <w:pStyle w:val="Heading5"/>
        <w:shd w:val="clear" w:color="auto" w:fill="4F81BD" w:themeFill="accent1"/>
        <w:rPr>
          <w:b/>
          <w:i/>
          <w:color w:val="FFFFFF" w:themeColor="background1"/>
        </w:rPr>
      </w:pPr>
      <w:r w:rsidRPr="009619C3">
        <w:rPr>
          <w:b/>
          <w:i/>
          <w:color w:val="FFFFFF" w:themeColor="background1"/>
        </w:rPr>
        <w:t>NHTSA</w:t>
      </w:r>
    </w:p>
    <w:p w14:paraId="027438D5" w14:textId="77777777" w:rsidR="00493455" w:rsidRPr="00493455" w:rsidRDefault="00F2632F" w:rsidP="009619C3">
      <w:pPr>
        <w:pStyle w:val="ListParagraph"/>
        <w:numPr>
          <w:ilvl w:val="0"/>
          <w:numId w:val="59"/>
        </w:numPr>
        <w:spacing w:before="120" w:after="120"/>
        <w:rPr>
          <w:rFonts w:cs="Times New Roman"/>
        </w:rPr>
      </w:pPr>
      <w:r>
        <w:rPr>
          <w:rFonts w:cs="Times New Roman"/>
        </w:rPr>
        <w:t xml:space="preserve">Implementing a </w:t>
      </w:r>
      <w:r w:rsidR="00493455" w:rsidRPr="00493455">
        <w:rPr>
          <w:rFonts w:cs="Times New Roman"/>
        </w:rPr>
        <w:t>vehicle research</w:t>
      </w:r>
      <w:r>
        <w:rPr>
          <w:rFonts w:cs="Times New Roman"/>
        </w:rPr>
        <w:t xml:space="preserve"> plan to accelerate the</w:t>
      </w:r>
      <w:r w:rsidR="00493455" w:rsidRPr="00493455">
        <w:rPr>
          <w:rFonts w:cs="Times New Roman"/>
        </w:rPr>
        <w:t xml:space="preserve"> potential benefits of connected automated vehicles on U.S. roadways.  This includes in-vehicle technologies, such as automatic emergency braking, the use of radar, cameras and navigation as well as communications between vehicles;</w:t>
      </w:r>
    </w:p>
    <w:p w14:paraId="3FB4EEEA" w14:textId="77777777" w:rsidR="00493455" w:rsidRDefault="00493455" w:rsidP="009619C3">
      <w:pPr>
        <w:numPr>
          <w:ilvl w:val="0"/>
          <w:numId w:val="1"/>
        </w:numPr>
        <w:spacing w:before="120" w:after="120" w:line="240" w:lineRule="auto"/>
        <w:contextualSpacing/>
        <w:rPr>
          <w:rFonts w:cs="Times New Roman"/>
          <w:szCs w:val="24"/>
        </w:rPr>
      </w:pPr>
      <w:r>
        <w:rPr>
          <w:rFonts w:cs="Times New Roman"/>
          <w:szCs w:val="24"/>
        </w:rPr>
        <w:t>Continuing an ongoing initiative to restructure and strengthen its vehicle defects investigations program to ensure that the agency can better address vehicle safety defects today and in the future;</w:t>
      </w:r>
    </w:p>
    <w:p w14:paraId="1B3E4EF2" w14:textId="77777777" w:rsidR="00493455" w:rsidRPr="00811643" w:rsidRDefault="00493455" w:rsidP="009619C3">
      <w:pPr>
        <w:numPr>
          <w:ilvl w:val="0"/>
          <w:numId w:val="1"/>
        </w:numPr>
        <w:spacing w:before="120" w:after="120" w:line="240" w:lineRule="auto"/>
        <w:contextualSpacing/>
        <w:rPr>
          <w:rFonts w:cs="Times New Roman"/>
          <w:szCs w:val="24"/>
        </w:rPr>
      </w:pPr>
      <w:r>
        <w:rPr>
          <w:rFonts w:cs="Times New Roman"/>
          <w:szCs w:val="24"/>
        </w:rPr>
        <w:t xml:space="preserve">Encouraging consumers to check for open recalls and to get their vehicles fixed as soon as possible through targeted public awareness campaigns.  </w:t>
      </w:r>
    </w:p>
    <w:p w14:paraId="40674C6B" w14:textId="77777777" w:rsidR="00493455" w:rsidRPr="00A64976" w:rsidRDefault="00493455" w:rsidP="009619C3">
      <w:pPr>
        <w:numPr>
          <w:ilvl w:val="0"/>
          <w:numId w:val="1"/>
        </w:numPr>
        <w:spacing w:before="120" w:after="120" w:line="240" w:lineRule="auto"/>
        <w:contextualSpacing/>
        <w:rPr>
          <w:rFonts w:cs="Times New Roman"/>
          <w:szCs w:val="24"/>
        </w:rPr>
      </w:pPr>
      <w:r>
        <w:rPr>
          <w:rFonts w:cs="Times New Roman"/>
          <w:szCs w:val="24"/>
        </w:rPr>
        <w:t>Maintaining a comprehensive series of programs to address unsafe driver behaviors particularly through high visibility enforcement (HVE) campaigns.  These proven campaigns combine public outreach and intensified enforcement to both catch illegal behavior and serve as a deterrent to others.  More than 10,000 State and local law enforcement agencies participate in HVE campaigns each year;</w:t>
      </w:r>
    </w:p>
    <w:p w14:paraId="55EB68AE" w14:textId="77777777" w:rsidR="00493455" w:rsidRPr="000B7200" w:rsidRDefault="00493455" w:rsidP="009619C3">
      <w:pPr>
        <w:numPr>
          <w:ilvl w:val="0"/>
          <w:numId w:val="1"/>
        </w:numPr>
        <w:spacing w:before="120" w:after="120" w:line="240" w:lineRule="auto"/>
        <w:contextualSpacing/>
        <w:rPr>
          <w:rFonts w:cs="Times New Roman"/>
          <w:szCs w:val="24"/>
        </w:rPr>
      </w:pPr>
      <w:r>
        <w:rPr>
          <w:rFonts w:cs="Times New Roman"/>
          <w:szCs w:val="24"/>
        </w:rPr>
        <w:t xml:space="preserve">Launching a new public-private partnership, the </w:t>
      </w:r>
      <w:r w:rsidRPr="003127F4">
        <w:rPr>
          <w:rFonts w:cs="Times New Roman"/>
          <w:i/>
          <w:szCs w:val="24"/>
        </w:rPr>
        <w:t>Road to Zero Coalition</w:t>
      </w:r>
      <w:r>
        <w:rPr>
          <w:rFonts w:cs="Times New Roman"/>
          <w:szCs w:val="24"/>
        </w:rPr>
        <w:t>, to better engage stakeholders in developing new and innovative strategies to address traffic injury prevention;</w:t>
      </w:r>
    </w:p>
    <w:p w14:paraId="431BC3D0" w14:textId="77777777" w:rsidR="00493455" w:rsidRPr="004C3B1C" w:rsidRDefault="00493455" w:rsidP="009619C3">
      <w:pPr>
        <w:numPr>
          <w:ilvl w:val="0"/>
          <w:numId w:val="1"/>
        </w:numPr>
        <w:spacing w:before="120" w:after="120" w:line="240" w:lineRule="auto"/>
        <w:contextualSpacing/>
        <w:rPr>
          <w:rFonts w:cs="Times New Roman"/>
          <w:szCs w:val="24"/>
        </w:rPr>
      </w:pPr>
      <w:r>
        <w:rPr>
          <w:rFonts w:cs="Times New Roman"/>
          <w:szCs w:val="24"/>
        </w:rPr>
        <w:t>Mobilizing</w:t>
      </w:r>
      <w:r w:rsidRPr="00A970DE">
        <w:rPr>
          <w:rFonts w:cs="Times New Roman"/>
          <w:szCs w:val="24"/>
        </w:rPr>
        <w:t xml:space="preserve"> a </w:t>
      </w:r>
      <w:r>
        <w:rPr>
          <w:rFonts w:cs="Times New Roman"/>
          <w:szCs w:val="24"/>
        </w:rPr>
        <w:t>cadre</w:t>
      </w:r>
      <w:r w:rsidRPr="00A970DE">
        <w:rPr>
          <w:rFonts w:cs="Times New Roman"/>
          <w:szCs w:val="24"/>
        </w:rPr>
        <w:t xml:space="preserve"> of peer law enforcement liaisons (LELs) to provide ongoing technical assistance</w:t>
      </w:r>
      <w:r>
        <w:rPr>
          <w:rFonts w:cs="Times New Roman"/>
          <w:szCs w:val="24"/>
        </w:rPr>
        <w:t xml:space="preserve"> and training</w:t>
      </w:r>
      <w:r w:rsidRPr="00A970DE">
        <w:rPr>
          <w:rFonts w:cs="Times New Roman"/>
          <w:szCs w:val="24"/>
        </w:rPr>
        <w:t xml:space="preserve"> to law enforcement </w:t>
      </w:r>
      <w:r>
        <w:rPr>
          <w:rFonts w:cs="Times New Roman"/>
          <w:szCs w:val="24"/>
        </w:rPr>
        <w:t xml:space="preserve">agencies </w:t>
      </w:r>
      <w:r w:rsidRPr="00A970DE">
        <w:rPr>
          <w:rFonts w:cs="Times New Roman"/>
          <w:szCs w:val="24"/>
        </w:rPr>
        <w:t>at the State and</w:t>
      </w:r>
      <w:r>
        <w:rPr>
          <w:rFonts w:cs="Times New Roman"/>
          <w:szCs w:val="24"/>
        </w:rPr>
        <w:t xml:space="preserve"> </w:t>
      </w:r>
      <w:r w:rsidRPr="00A970DE">
        <w:rPr>
          <w:rFonts w:cs="Times New Roman"/>
          <w:szCs w:val="24"/>
        </w:rPr>
        <w:t>local level</w:t>
      </w:r>
      <w:r>
        <w:rPr>
          <w:rFonts w:cs="Times New Roman"/>
          <w:szCs w:val="24"/>
        </w:rPr>
        <w:t>;</w:t>
      </w:r>
    </w:p>
    <w:p w14:paraId="1B33CBEB" w14:textId="77777777" w:rsidR="00493455" w:rsidRPr="007034ED" w:rsidRDefault="00493455" w:rsidP="009619C3">
      <w:pPr>
        <w:numPr>
          <w:ilvl w:val="0"/>
          <w:numId w:val="1"/>
        </w:numPr>
        <w:spacing w:before="120" w:after="120" w:line="240" w:lineRule="auto"/>
        <w:contextualSpacing/>
      </w:pPr>
      <w:r>
        <w:rPr>
          <w:rFonts w:cs="Times New Roman"/>
          <w:szCs w:val="24"/>
        </w:rPr>
        <w:t xml:space="preserve">Supporting a national network of 5,000 child safety seat inspection stations, and nearly 40,000 certified safety seat technicians.  These include </w:t>
      </w:r>
      <w:r w:rsidRPr="007034ED">
        <w:t xml:space="preserve">first responders, </w:t>
      </w:r>
      <w:r>
        <w:t xml:space="preserve">law enforcement officers, </w:t>
      </w:r>
      <w:r w:rsidRPr="007034ED">
        <w:t xml:space="preserve">medical and public health professionals and </w:t>
      </w:r>
      <w:r>
        <w:t xml:space="preserve">safety advocates who </w:t>
      </w:r>
      <w:r w:rsidRPr="007034ED">
        <w:t>work within their communities to improve occupant protection for all families</w:t>
      </w:r>
    </w:p>
    <w:p w14:paraId="2D22C98B" w14:textId="77777777" w:rsidR="00493455" w:rsidRPr="00362545" w:rsidRDefault="00493455" w:rsidP="009619C3">
      <w:pPr>
        <w:numPr>
          <w:ilvl w:val="0"/>
          <w:numId w:val="1"/>
        </w:numPr>
        <w:spacing w:before="120" w:after="120" w:line="240" w:lineRule="auto"/>
        <w:contextualSpacing/>
        <w:rPr>
          <w:rFonts w:cs="Times New Roman"/>
          <w:szCs w:val="24"/>
        </w:rPr>
      </w:pPr>
      <w:r>
        <w:rPr>
          <w:rFonts w:cs="Times New Roman"/>
          <w:szCs w:val="24"/>
        </w:rPr>
        <w:t>Continuing to</w:t>
      </w:r>
      <w:r w:rsidRPr="00362545">
        <w:rPr>
          <w:rFonts w:cs="Times New Roman"/>
          <w:szCs w:val="24"/>
        </w:rPr>
        <w:t xml:space="preserve"> implement</w:t>
      </w:r>
      <w:r>
        <w:rPr>
          <w:rFonts w:cs="Times New Roman"/>
          <w:szCs w:val="24"/>
        </w:rPr>
        <w:t xml:space="preserve"> </w:t>
      </w:r>
      <w:r w:rsidRPr="00362545">
        <w:rPr>
          <w:rFonts w:cs="Times New Roman"/>
          <w:szCs w:val="24"/>
        </w:rPr>
        <w:t xml:space="preserve">the </w:t>
      </w:r>
      <w:r w:rsidRPr="00A0689D">
        <w:rPr>
          <w:rFonts w:cs="Times New Roman"/>
          <w:i/>
          <w:szCs w:val="24"/>
        </w:rPr>
        <w:t>DOT Blueprint for Ending Distracted Driving</w:t>
      </w:r>
      <w:r w:rsidRPr="00362545">
        <w:rPr>
          <w:rFonts w:cs="Times New Roman"/>
          <w:szCs w:val="24"/>
        </w:rPr>
        <w:t xml:space="preserve"> and vehicle and behavioral safety research</w:t>
      </w:r>
      <w:r>
        <w:rPr>
          <w:rFonts w:cs="Times New Roman"/>
          <w:szCs w:val="24"/>
        </w:rPr>
        <w:t xml:space="preserve"> on reducing distracted driving;</w:t>
      </w:r>
      <w:r w:rsidRPr="00362545">
        <w:rPr>
          <w:rFonts w:cs="Times New Roman"/>
          <w:szCs w:val="24"/>
        </w:rPr>
        <w:t xml:space="preserve"> </w:t>
      </w:r>
    </w:p>
    <w:p w14:paraId="2A9AA4CD" w14:textId="77777777" w:rsidR="00493455" w:rsidRPr="003C0A5E" w:rsidRDefault="00493455" w:rsidP="009619C3">
      <w:pPr>
        <w:numPr>
          <w:ilvl w:val="0"/>
          <w:numId w:val="5"/>
        </w:numPr>
        <w:spacing w:before="120" w:after="120" w:line="240" w:lineRule="auto"/>
        <w:contextualSpacing/>
        <w:rPr>
          <w:rFonts w:eastAsia="Times New Roman" w:cs="Times New Roman"/>
          <w:szCs w:val="24"/>
        </w:rPr>
      </w:pPr>
      <w:r w:rsidRPr="003C0A5E">
        <w:rPr>
          <w:rFonts w:cs="Times New Roman"/>
          <w:szCs w:val="24"/>
        </w:rPr>
        <w:t>Providing program guidance and technical assistance to States to implement their Highway Safety Plans, which detail how States will use their highway safety grant funds;</w:t>
      </w:r>
    </w:p>
    <w:p w14:paraId="09B11502" w14:textId="77777777" w:rsidR="00F2632F" w:rsidRDefault="00493455" w:rsidP="009619C3">
      <w:pPr>
        <w:numPr>
          <w:ilvl w:val="0"/>
          <w:numId w:val="5"/>
        </w:numPr>
        <w:spacing w:before="120" w:after="120" w:line="240" w:lineRule="auto"/>
        <w:contextualSpacing/>
        <w:rPr>
          <w:rFonts w:eastAsia="Times New Roman" w:cs="Times New Roman"/>
          <w:szCs w:val="24"/>
        </w:rPr>
      </w:pPr>
      <w:r w:rsidRPr="003C0A5E">
        <w:rPr>
          <w:rFonts w:cs="Times New Roman"/>
          <w:szCs w:val="24"/>
        </w:rPr>
        <w:t xml:space="preserve">Ongoing data modernization efforts to strengthen the collection and analysis of vehicle crash data through the development of more robust data systems; and </w:t>
      </w:r>
    </w:p>
    <w:p w14:paraId="697F9A9B" w14:textId="6F087416" w:rsidR="00493455" w:rsidRPr="00F2632F" w:rsidRDefault="00493455" w:rsidP="009619C3">
      <w:pPr>
        <w:numPr>
          <w:ilvl w:val="0"/>
          <w:numId w:val="5"/>
        </w:numPr>
        <w:spacing w:before="120" w:after="120" w:line="240" w:lineRule="auto"/>
        <w:contextualSpacing/>
        <w:rPr>
          <w:rFonts w:eastAsia="Times New Roman" w:cs="Times New Roman"/>
          <w:szCs w:val="24"/>
        </w:rPr>
      </w:pPr>
      <w:r w:rsidRPr="00F2632F">
        <w:rPr>
          <w:rFonts w:cs="Times New Roman"/>
          <w:szCs w:val="24"/>
        </w:rPr>
        <w:lastRenderedPageBreak/>
        <w:t xml:space="preserve">Providing national leadership to promote and develop effective emergency medical services in all 50 States, and develop a Next Generation 911 system that will improve post-crash care and survival rates by </w:t>
      </w:r>
      <w:r w:rsidRPr="00F2632F">
        <w:rPr>
          <w:rFonts w:eastAsia="Times New Roman" w:cs="Times New Roman"/>
          <w:szCs w:val="24"/>
        </w:rPr>
        <w:t>upgrading</w:t>
      </w:r>
      <w:r w:rsidRPr="00F2632F">
        <w:rPr>
          <w:rFonts w:eastAsia="Times New Roman"/>
          <w:szCs w:val="24"/>
        </w:rPr>
        <w:t xml:space="preserve"> the capacity of emergency response systems to utilize new forms of electronic communication.  </w:t>
      </w:r>
    </w:p>
    <w:p w14:paraId="5F5B24F1" w14:textId="77777777" w:rsidR="00C930B9" w:rsidRPr="009619C3" w:rsidRDefault="00C930B9" w:rsidP="009619C3">
      <w:pPr>
        <w:pStyle w:val="Heading5"/>
        <w:shd w:val="clear" w:color="auto" w:fill="4F81BD" w:themeFill="accent1"/>
        <w:rPr>
          <w:b/>
          <w:i/>
          <w:color w:val="FFFFFF" w:themeColor="background1"/>
        </w:rPr>
      </w:pPr>
      <w:r w:rsidRPr="009619C3">
        <w:rPr>
          <w:b/>
          <w:i/>
          <w:color w:val="FFFFFF" w:themeColor="background1"/>
        </w:rPr>
        <w:t>FMCSA</w:t>
      </w:r>
    </w:p>
    <w:p w14:paraId="473C6FC6" w14:textId="77777777" w:rsidR="00F2632F" w:rsidRDefault="00F2632F" w:rsidP="009619C3">
      <w:pPr>
        <w:numPr>
          <w:ilvl w:val="0"/>
          <w:numId w:val="5"/>
        </w:numPr>
        <w:spacing w:before="120" w:after="120" w:line="240" w:lineRule="auto"/>
        <w:ind w:left="778"/>
        <w:contextualSpacing/>
        <w:rPr>
          <w:rFonts w:eastAsia="Times New Roman" w:cs="Times New Roman"/>
          <w:szCs w:val="24"/>
        </w:rPr>
      </w:pPr>
      <w:r>
        <w:rPr>
          <w:rFonts w:eastAsia="Times New Roman" w:cs="Times New Roman"/>
          <w:szCs w:val="24"/>
        </w:rPr>
        <w:t>Implementing Phase III of the Compliance, Safety, and Accountability (CSA) initiative to train States to be able to use all of the CSA interventions and enforcement actions;</w:t>
      </w:r>
    </w:p>
    <w:p w14:paraId="7498CDAD" w14:textId="77777777" w:rsidR="00C930B9" w:rsidRDefault="00C930B9" w:rsidP="009619C3">
      <w:pPr>
        <w:numPr>
          <w:ilvl w:val="0"/>
          <w:numId w:val="5"/>
        </w:numPr>
        <w:spacing w:before="120" w:after="120" w:line="240" w:lineRule="auto"/>
        <w:ind w:left="778"/>
        <w:contextualSpacing/>
        <w:rPr>
          <w:rFonts w:eastAsia="Times New Roman" w:cs="Times New Roman"/>
          <w:szCs w:val="24"/>
        </w:rPr>
      </w:pPr>
      <w:r>
        <w:rPr>
          <w:rFonts w:eastAsia="Times New Roman" w:cs="Times New Roman"/>
          <w:szCs w:val="24"/>
        </w:rPr>
        <w:t>Completing a</w:t>
      </w:r>
      <w:r w:rsidRPr="0085104D">
        <w:rPr>
          <w:rFonts w:eastAsia="Times New Roman" w:cs="Times New Roman"/>
          <w:szCs w:val="24"/>
        </w:rPr>
        <w:t xml:space="preserve"> rulemaking to revise 49 CFR Part 385, Safety Fitness Procedures</w:t>
      </w:r>
      <w:r>
        <w:rPr>
          <w:rFonts w:eastAsia="Times New Roman" w:cs="Times New Roman"/>
          <w:szCs w:val="24"/>
        </w:rPr>
        <w:t xml:space="preserve">.  </w:t>
      </w:r>
      <w:r w:rsidRPr="0085104D">
        <w:rPr>
          <w:rFonts w:eastAsia="Times New Roman" w:cs="Times New Roman"/>
          <w:szCs w:val="24"/>
        </w:rPr>
        <w:t>FMCSA would establish safety fitness determinations based on safety data from inspections and violation history ra</w:t>
      </w:r>
      <w:r w:rsidR="00E044EC">
        <w:rPr>
          <w:rFonts w:eastAsia="Times New Roman" w:cs="Times New Roman"/>
          <w:szCs w:val="24"/>
        </w:rPr>
        <w:t>ther than just an investigation;</w:t>
      </w:r>
      <w:r w:rsidRPr="0085104D">
        <w:rPr>
          <w:rFonts w:eastAsia="Times New Roman" w:cs="Times New Roman"/>
          <w:szCs w:val="24"/>
        </w:rPr>
        <w:t xml:space="preserve"> </w:t>
      </w:r>
    </w:p>
    <w:p w14:paraId="25176261" w14:textId="77777777" w:rsidR="00C930B9" w:rsidRDefault="00C930B9" w:rsidP="009619C3">
      <w:pPr>
        <w:numPr>
          <w:ilvl w:val="0"/>
          <w:numId w:val="5"/>
        </w:numPr>
        <w:spacing w:before="120" w:after="120" w:line="240" w:lineRule="auto"/>
        <w:ind w:left="778"/>
        <w:contextualSpacing/>
        <w:rPr>
          <w:rFonts w:eastAsia="Times New Roman" w:cs="Times New Roman"/>
          <w:szCs w:val="24"/>
        </w:rPr>
      </w:pPr>
      <w:r>
        <w:rPr>
          <w:rFonts w:eastAsia="Times New Roman" w:cs="Times New Roman"/>
          <w:szCs w:val="24"/>
        </w:rPr>
        <w:t>Revising the</w:t>
      </w:r>
      <w:r w:rsidRPr="00A506C2">
        <w:rPr>
          <w:rFonts w:eastAsia="Times New Roman" w:cs="Times New Roman"/>
          <w:szCs w:val="24"/>
        </w:rPr>
        <w:t xml:space="preserve"> new entrant</w:t>
      </w:r>
      <w:r w:rsidR="00E044EC">
        <w:rPr>
          <w:rFonts w:eastAsia="Times New Roman" w:cs="Times New Roman"/>
          <w:szCs w:val="24"/>
        </w:rPr>
        <w:t xml:space="preserve"> safety audit program to allow</w:t>
      </w:r>
      <w:r w:rsidRPr="00A506C2">
        <w:rPr>
          <w:rFonts w:eastAsia="Times New Roman" w:cs="Times New Roman"/>
          <w:szCs w:val="24"/>
        </w:rPr>
        <w:t xml:space="preserve"> offsite safety audits for new motor carriers that </w:t>
      </w:r>
      <w:r w:rsidR="00E044EC">
        <w:rPr>
          <w:rFonts w:eastAsia="Times New Roman" w:cs="Times New Roman"/>
          <w:szCs w:val="24"/>
        </w:rPr>
        <w:t>have</w:t>
      </w:r>
      <w:r w:rsidRPr="00A506C2">
        <w:rPr>
          <w:rFonts w:eastAsia="Times New Roman" w:cs="Times New Roman"/>
          <w:szCs w:val="24"/>
        </w:rPr>
        <w:t xml:space="preserve"> evidence of compliance</w:t>
      </w:r>
      <w:r w:rsidR="00E044EC">
        <w:rPr>
          <w:rFonts w:eastAsia="Times New Roman" w:cs="Times New Roman"/>
          <w:szCs w:val="24"/>
        </w:rPr>
        <w:t>, helping</w:t>
      </w:r>
      <w:r w:rsidRPr="00A506C2">
        <w:rPr>
          <w:rFonts w:eastAsia="Times New Roman" w:cs="Times New Roman"/>
          <w:szCs w:val="24"/>
        </w:rPr>
        <w:t xml:space="preserve"> States to complete more safety au</w:t>
      </w:r>
      <w:r w:rsidR="00E044EC">
        <w:rPr>
          <w:rFonts w:eastAsia="Times New Roman" w:cs="Times New Roman"/>
          <w:szCs w:val="24"/>
        </w:rPr>
        <w:t>dits in the mandated timeframes;</w:t>
      </w:r>
    </w:p>
    <w:p w14:paraId="0D25F8E2" w14:textId="77777777" w:rsidR="00037096" w:rsidRPr="00362545" w:rsidRDefault="00037096" w:rsidP="009619C3">
      <w:pPr>
        <w:numPr>
          <w:ilvl w:val="0"/>
          <w:numId w:val="5"/>
        </w:numPr>
        <w:spacing w:before="120" w:after="120" w:line="240" w:lineRule="auto"/>
        <w:ind w:left="778"/>
        <w:contextualSpacing/>
        <w:rPr>
          <w:rFonts w:eastAsia="Times New Roman" w:cs="Times New Roman"/>
          <w:szCs w:val="24"/>
        </w:rPr>
      </w:pPr>
      <w:r w:rsidRPr="00362545">
        <w:rPr>
          <w:rFonts w:eastAsia="Times New Roman" w:cs="Times New Roman"/>
          <w:szCs w:val="24"/>
        </w:rPr>
        <w:t>Improved</w:t>
      </w:r>
      <w:r w:rsidRPr="00362545">
        <w:rPr>
          <w:rFonts w:eastAsia="Times New Roman"/>
          <w:szCs w:val="24"/>
        </w:rPr>
        <w:t xml:space="preserve"> information technology used</w:t>
      </w:r>
      <w:r>
        <w:rPr>
          <w:rFonts w:eastAsia="Times New Roman"/>
          <w:szCs w:val="24"/>
        </w:rPr>
        <w:t xml:space="preserve"> to identify high-risk carriers; and</w:t>
      </w:r>
    </w:p>
    <w:p w14:paraId="04C9C12F" w14:textId="77777777" w:rsidR="00037096" w:rsidRDefault="00037096" w:rsidP="009619C3">
      <w:pPr>
        <w:numPr>
          <w:ilvl w:val="0"/>
          <w:numId w:val="5"/>
        </w:numPr>
        <w:spacing w:before="120" w:after="120" w:line="240" w:lineRule="auto"/>
        <w:ind w:left="778"/>
        <w:rPr>
          <w:szCs w:val="24"/>
        </w:rPr>
      </w:pPr>
      <w:r w:rsidRPr="00362545">
        <w:rPr>
          <w:szCs w:val="24"/>
        </w:rPr>
        <w:t>Providing safety grant funding opportunities to State and local government agencies.</w:t>
      </w:r>
    </w:p>
    <w:p w14:paraId="4B04DBB3" w14:textId="77777777" w:rsidR="00C930B9" w:rsidRPr="0047739C" w:rsidRDefault="00C930B9" w:rsidP="00CE4D0E">
      <w:pPr>
        <w:pStyle w:val="Heading4"/>
      </w:pPr>
      <w:r w:rsidRPr="0047739C">
        <w:t>Next Steps</w:t>
      </w:r>
    </w:p>
    <w:p w14:paraId="146D41A4" w14:textId="77777777" w:rsidR="00C930B9" w:rsidRPr="00362545" w:rsidRDefault="00C930B9" w:rsidP="00C930B9">
      <w:pPr>
        <w:numPr>
          <w:ilvl w:val="0"/>
          <w:numId w:val="2"/>
        </w:numPr>
        <w:spacing w:after="0" w:line="240" w:lineRule="auto"/>
        <w:contextualSpacing/>
        <w:rPr>
          <w:rFonts w:cs="Times New Roman"/>
          <w:szCs w:val="24"/>
        </w:rPr>
      </w:pPr>
      <w:r w:rsidRPr="00362545">
        <w:rPr>
          <w:rFonts w:cs="Times New Roman"/>
          <w:szCs w:val="24"/>
        </w:rPr>
        <w:t>Establish</w:t>
      </w:r>
      <w:r>
        <w:rPr>
          <w:rFonts w:cs="Times New Roman"/>
          <w:szCs w:val="24"/>
        </w:rPr>
        <w:t>ing</w:t>
      </w:r>
      <w:r w:rsidRPr="00362545">
        <w:rPr>
          <w:rFonts w:cs="Times New Roman"/>
          <w:szCs w:val="24"/>
        </w:rPr>
        <w:t xml:space="preserve"> safety performance measures in each State</w:t>
      </w:r>
      <w:r w:rsidR="00E044EC">
        <w:rPr>
          <w:rFonts w:cs="Times New Roman"/>
          <w:szCs w:val="24"/>
        </w:rPr>
        <w:t xml:space="preserve"> (</w:t>
      </w:r>
      <w:r>
        <w:rPr>
          <w:rFonts w:cs="Times New Roman"/>
          <w:szCs w:val="24"/>
        </w:rPr>
        <w:t>including</w:t>
      </w:r>
      <w:r w:rsidRPr="00362545">
        <w:rPr>
          <w:rFonts w:cs="Times New Roman"/>
          <w:szCs w:val="24"/>
        </w:rPr>
        <w:t xml:space="preserve"> number of fatalities and serious injuries and rate of fatalities and serious injuries per </w:t>
      </w:r>
      <w:r w:rsidR="00425161">
        <w:rPr>
          <w:rFonts w:cs="Times New Roman"/>
          <w:szCs w:val="24"/>
        </w:rPr>
        <w:t xml:space="preserve">100 million </w:t>
      </w:r>
      <w:r w:rsidR="00E044EC">
        <w:rPr>
          <w:rFonts w:cs="Times New Roman"/>
          <w:szCs w:val="24"/>
        </w:rPr>
        <w:t>VMT);</w:t>
      </w:r>
      <w:r w:rsidRPr="00362545">
        <w:rPr>
          <w:rFonts w:cs="Times New Roman"/>
          <w:szCs w:val="24"/>
        </w:rPr>
        <w:t xml:space="preserve"> </w:t>
      </w:r>
    </w:p>
    <w:p w14:paraId="3E7BDB5D" w14:textId="77777777" w:rsidR="00C930B9" w:rsidRPr="00362545" w:rsidRDefault="00C930B9" w:rsidP="00C930B9">
      <w:pPr>
        <w:numPr>
          <w:ilvl w:val="0"/>
          <w:numId w:val="2"/>
        </w:numPr>
        <w:spacing w:after="0" w:line="240" w:lineRule="auto"/>
        <w:contextualSpacing/>
        <w:rPr>
          <w:rFonts w:cs="Times New Roman"/>
          <w:szCs w:val="24"/>
        </w:rPr>
      </w:pPr>
      <w:r w:rsidRPr="00362545">
        <w:rPr>
          <w:rFonts w:cs="Times New Roman"/>
          <w:szCs w:val="24"/>
        </w:rPr>
        <w:t>Improved coordination of departmental programs in th</w:t>
      </w:r>
      <w:r w:rsidR="00E044EC">
        <w:rPr>
          <w:rFonts w:cs="Times New Roman"/>
          <w:szCs w:val="24"/>
        </w:rPr>
        <w:t>e implementation of State SHSPs;</w:t>
      </w:r>
    </w:p>
    <w:p w14:paraId="309B4DC3" w14:textId="77777777" w:rsidR="00C930B9" w:rsidRPr="00362545" w:rsidRDefault="00C930B9" w:rsidP="00C930B9">
      <w:pPr>
        <w:numPr>
          <w:ilvl w:val="0"/>
          <w:numId w:val="2"/>
        </w:numPr>
        <w:spacing w:after="0" w:line="240" w:lineRule="auto"/>
        <w:contextualSpacing/>
        <w:rPr>
          <w:rFonts w:cs="Times New Roman"/>
          <w:szCs w:val="24"/>
        </w:rPr>
      </w:pPr>
      <w:r w:rsidRPr="00362545">
        <w:rPr>
          <w:rFonts w:cs="Times New Roman"/>
          <w:szCs w:val="24"/>
        </w:rPr>
        <w:t>Improved use of the Systemic Approach to Safety to implement safety improvements based on high-risk roadway features correlated with specific severe cras</w:t>
      </w:r>
      <w:r w:rsidR="00E044EC">
        <w:rPr>
          <w:rFonts w:cs="Times New Roman"/>
          <w:szCs w:val="24"/>
        </w:rPr>
        <w:t>h types;</w:t>
      </w:r>
      <w:r w:rsidRPr="00362545">
        <w:rPr>
          <w:rFonts w:cs="Times New Roman"/>
          <w:szCs w:val="24"/>
        </w:rPr>
        <w:t xml:space="preserve"> </w:t>
      </w:r>
    </w:p>
    <w:p w14:paraId="5102F68C" w14:textId="77777777" w:rsidR="00C930B9" w:rsidRPr="00362545" w:rsidRDefault="00C930B9" w:rsidP="00C930B9">
      <w:pPr>
        <w:numPr>
          <w:ilvl w:val="0"/>
          <w:numId w:val="2"/>
        </w:numPr>
        <w:spacing w:after="0" w:line="240" w:lineRule="auto"/>
        <w:contextualSpacing/>
        <w:rPr>
          <w:rFonts w:cs="Times New Roman"/>
          <w:szCs w:val="24"/>
        </w:rPr>
      </w:pPr>
      <w:r w:rsidRPr="00362545">
        <w:rPr>
          <w:rFonts w:cs="Times New Roman"/>
          <w:szCs w:val="24"/>
        </w:rPr>
        <w:t>Analysis and evaluation of the HSI</w:t>
      </w:r>
      <w:r w:rsidR="00E044EC">
        <w:rPr>
          <w:rFonts w:cs="Times New Roman"/>
          <w:szCs w:val="24"/>
        </w:rPr>
        <w:t>P through review of online reports;</w:t>
      </w:r>
    </w:p>
    <w:p w14:paraId="79B94859" w14:textId="77777777" w:rsidR="00C930B9" w:rsidRPr="00362545" w:rsidRDefault="00C930B9" w:rsidP="00C930B9">
      <w:pPr>
        <w:numPr>
          <w:ilvl w:val="0"/>
          <w:numId w:val="2"/>
        </w:numPr>
        <w:spacing w:after="0" w:line="240" w:lineRule="auto"/>
        <w:contextualSpacing/>
        <w:rPr>
          <w:rFonts w:cs="Times New Roman"/>
          <w:szCs w:val="24"/>
        </w:rPr>
      </w:pPr>
      <w:r w:rsidRPr="00362545">
        <w:rPr>
          <w:rFonts w:cs="Times New Roman"/>
          <w:szCs w:val="24"/>
        </w:rPr>
        <w:t xml:space="preserve">Support the Secretary’s Safety Initiative by developing resources and providing technical assistance to address </w:t>
      </w:r>
      <w:r>
        <w:rPr>
          <w:rFonts w:cs="Times New Roman"/>
          <w:szCs w:val="24"/>
        </w:rPr>
        <w:t>the safe use of non-motorized transportation</w:t>
      </w:r>
      <w:r w:rsidR="00E044EC">
        <w:rPr>
          <w:rFonts w:cs="Times New Roman"/>
          <w:szCs w:val="24"/>
        </w:rPr>
        <w:t>;</w:t>
      </w:r>
    </w:p>
    <w:p w14:paraId="54198953" w14:textId="77777777" w:rsidR="00C930B9" w:rsidRDefault="00C930B9" w:rsidP="00C930B9">
      <w:pPr>
        <w:numPr>
          <w:ilvl w:val="0"/>
          <w:numId w:val="2"/>
        </w:numPr>
        <w:spacing w:after="0" w:line="240" w:lineRule="auto"/>
        <w:contextualSpacing/>
        <w:rPr>
          <w:rFonts w:cs="Times New Roman"/>
          <w:szCs w:val="24"/>
        </w:rPr>
      </w:pPr>
      <w:r w:rsidRPr="00362545">
        <w:rPr>
          <w:rFonts w:cs="Times New Roman"/>
          <w:szCs w:val="24"/>
        </w:rPr>
        <w:t>Promote EDC Data-Driven Safety Analysis tools and resour</w:t>
      </w:r>
      <w:r w:rsidR="00E044EC">
        <w:rPr>
          <w:rFonts w:cs="Times New Roman"/>
          <w:szCs w:val="24"/>
        </w:rPr>
        <w:t>ces to State and local agencies;</w:t>
      </w:r>
    </w:p>
    <w:p w14:paraId="72B60CE4" w14:textId="77777777" w:rsidR="00C930B9" w:rsidRPr="00362545" w:rsidRDefault="00C930B9" w:rsidP="00C930B9">
      <w:pPr>
        <w:numPr>
          <w:ilvl w:val="0"/>
          <w:numId w:val="2"/>
        </w:numPr>
        <w:spacing w:after="0" w:line="240" w:lineRule="auto"/>
        <w:contextualSpacing/>
        <w:rPr>
          <w:rFonts w:cs="Times New Roman"/>
          <w:szCs w:val="24"/>
        </w:rPr>
      </w:pPr>
      <w:r>
        <w:rPr>
          <w:rFonts w:cs="Times New Roman"/>
          <w:szCs w:val="24"/>
        </w:rPr>
        <w:t>Increase States use of HSIP to implement live-saving infras</w:t>
      </w:r>
      <w:r w:rsidR="00E044EC">
        <w:rPr>
          <w:rFonts w:cs="Times New Roman"/>
          <w:szCs w:val="24"/>
        </w:rPr>
        <w:t>tructure safety countermeasures;</w:t>
      </w:r>
    </w:p>
    <w:p w14:paraId="4D197B91" w14:textId="77777777" w:rsidR="00C930B9" w:rsidRPr="00362545" w:rsidRDefault="00C930B9" w:rsidP="00C930B9">
      <w:pPr>
        <w:numPr>
          <w:ilvl w:val="0"/>
          <w:numId w:val="2"/>
        </w:numPr>
        <w:spacing w:after="0" w:line="240" w:lineRule="auto"/>
        <w:contextualSpacing/>
        <w:rPr>
          <w:rFonts w:cs="Times New Roman"/>
          <w:szCs w:val="24"/>
        </w:rPr>
      </w:pPr>
      <w:r>
        <w:rPr>
          <w:rFonts w:cs="Times New Roman"/>
          <w:szCs w:val="24"/>
        </w:rPr>
        <w:t xml:space="preserve">Refine and expand </w:t>
      </w:r>
      <w:r w:rsidRPr="00362545">
        <w:rPr>
          <w:rFonts w:cs="Times New Roman"/>
          <w:szCs w:val="24"/>
        </w:rPr>
        <w:t xml:space="preserve"> technical resources, guidelines and training </w:t>
      </w:r>
      <w:r>
        <w:rPr>
          <w:rFonts w:cs="Times New Roman"/>
          <w:szCs w:val="24"/>
        </w:rPr>
        <w:t>to</w:t>
      </w:r>
      <w:r w:rsidRPr="00362545">
        <w:rPr>
          <w:rFonts w:cs="Times New Roman"/>
          <w:szCs w:val="24"/>
        </w:rPr>
        <w:t xml:space="preserve"> State and local organizations seeking to develop or expand highway safety programs and initiatives</w:t>
      </w:r>
      <w:r w:rsidR="00E044EC">
        <w:rPr>
          <w:rFonts w:cs="Times New Roman"/>
          <w:szCs w:val="24"/>
        </w:rPr>
        <w:t xml:space="preserve">, working </w:t>
      </w:r>
      <w:r>
        <w:rPr>
          <w:rFonts w:cs="Times New Roman"/>
          <w:szCs w:val="24"/>
        </w:rPr>
        <w:t xml:space="preserve"> with researchers, associations, and other stakeholders to develop and distribute technical </w:t>
      </w:r>
      <w:r w:rsidR="00E044EC">
        <w:rPr>
          <w:rFonts w:cs="Times New Roman"/>
          <w:szCs w:val="24"/>
        </w:rPr>
        <w:t>materials;</w:t>
      </w:r>
    </w:p>
    <w:p w14:paraId="65A64383" w14:textId="77777777" w:rsidR="00E044EC" w:rsidRDefault="001A6CFB" w:rsidP="00C930B9">
      <w:pPr>
        <w:numPr>
          <w:ilvl w:val="0"/>
          <w:numId w:val="2"/>
        </w:numPr>
        <w:spacing w:after="0" w:line="240" w:lineRule="auto"/>
        <w:contextualSpacing/>
        <w:rPr>
          <w:rFonts w:cs="Times New Roman"/>
          <w:szCs w:val="24"/>
        </w:rPr>
      </w:pPr>
      <w:r w:rsidRPr="00E044EC">
        <w:rPr>
          <w:rFonts w:cs="Times New Roman"/>
          <w:szCs w:val="24"/>
        </w:rPr>
        <w:t>Implement the</w:t>
      </w:r>
      <w:r w:rsidR="00C930B9" w:rsidRPr="00E044EC">
        <w:rPr>
          <w:rFonts w:cs="Times New Roman"/>
          <w:szCs w:val="24"/>
        </w:rPr>
        <w:t xml:space="preserve"> modernized and more robust crash data collection system that will enhance all aspects of motor vehicle and roadway safety research, pro</w:t>
      </w:r>
      <w:r w:rsidR="00E044EC">
        <w:rPr>
          <w:rFonts w:cs="Times New Roman"/>
          <w:szCs w:val="24"/>
        </w:rPr>
        <w:t>gram development and education;</w:t>
      </w:r>
    </w:p>
    <w:p w14:paraId="3678F0A0" w14:textId="77777777" w:rsidR="00C930B9" w:rsidRPr="00E044EC" w:rsidRDefault="00E044EC" w:rsidP="00C930B9">
      <w:pPr>
        <w:numPr>
          <w:ilvl w:val="0"/>
          <w:numId w:val="2"/>
        </w:numPr>
        <w:spacing w:after="0" w:line="240" w:lineRule="auto"/>
        <w:contextualSpacing/>
        <w:rPr>
          <w:rFonts w:cs="Times New Roman"/>
          <w:szCs w:val="24"/>
        </w:rPr>
      </w:pPr>
      <w:r>
        <w:rPr>
          <w:rFonts w:cs="Times New Roman"/>
          <w:szCs w:val="24"/>
        </w:rPr>
        <w:t>C</w:t>
      </w:r>
      <w:r w:rsidR="00C930B9" w:rsidRPr="00E044EC">
        <w:rPr>
          <w:rFonts w:cs="Times New Roman"/>
          <w:szCs w:val="24"/>
        </w:rPr>
        <w:t>rash test 8</w:t>
      </w:r>
      <w:r w:rsidR="001A6CFB" w:rsidRPr="00E044EC">
        <w:rPr>
          <w:rFonts w:cs="Times New Roman"/>
          <w:szCs w:val="24"/>
        </w:rPr>
        <w:t>5</w:t>
      </w:r>
      <w:r w:rsidR="00C930B9" w:rsidRPr="00E044EC">
        <w:rPr>
          <w:rFonts w:cs="Times New Roman"/>
          <w:szCs w:val="24"/>
        </w:rPr>
        <w:t xml:space="preserve"> percent of the new model year fleet to provide consumers with more information on the relative safety of new vehicles th</w:t>
      </w:r>
      <w:r>
        <w:rPr>
          <w:rFonts w:cs="Times New Roman"/>
          <w:szCs w:val="24"/>
        </w:rPr>
        <w:t>rough its 5-star rating program;</w:t>
      </w:r>
      <w:r w:rsidR="00C930B9" w:rsidRPr="00E044EC">
        <w:rPr>
          <w:rFonts w:cs="Times New Roman"/>
          <w:szCs w:val="24"/>
        </w:rPr>
        <w:t xml:space="preserve"> </w:t>
      </w:r>
    </w:p>
    <w:p w14:paraId="58B40383" w14:textId="77777777" w:rsidR="00C930B9" w:rsidRDefault="00C930B9" w:rsidP="00C930B9">
      <w:pPr>
        <w:numPr>
          <w:ilvl w:val="0"/>
          <w:numId w:val="2"/>
        </w:numPr>
        <w:spacing w:after="0" w:line="240" w:lineRule="auto"/>
        <w:contextualSpacing/>
        <w:rPr>
          <w:rFonts w:cs="Times New Roman"/>
          <w:szCs w:val="24"/>
        </w:rPr>
      </w:pPr>
      <w:r>
        <w:rPr>
          <w:rFonts w:cs="Times New Roman"/>
          <w:szCs w:val="24"/>
        </w:rPr>
        <w:t>Conduct four</w:t>
      </w:r>
      <w:r w:rsidRPr="00362545">
        <w:rPr>
          <w:rFonts w:cs="Times New Roman"/>
          <w:szCs w:val="24"/>
        </w:rPr>
        <w:t xml:space="preserve"> national HVE campaigns in FY </w:t>
      </w:r>
      <w:r w:rsidR="001A6CFB" w:rsidRPr="00362545">
        <w:rPr>
          <w:rFonts w:cs="Times New Roman"/>
          <w:szCs w:val="24"/>
        </w:rPr>
        <w:t>201</w:t>
      </w:r>
      <w:r w:rsidR="001A6CFB">
        <w:rPr>
          <w:rFonts w:cs="Times New Roman"/>
          <w:szCs w:val="24"/>
        </w:rPr>
        <w:t>7</w:t>
      </w:r>
      <w:r w:rsidR="001A6CFB" w:rsidRPr="00362545">
        <w:rPr>
          <w:rFonts w:cs="Times New Roman"/>
          <w:szCs w:val="24"/>
        </w:rPr>
        <w:t xml:space="preserve"> </w:t>
      </w:r>
      <w:r w:rsidRPr="00362545">
        <w:rPr>
          <w:rFonts w:cs="Times New Roman"/>
          <w:szCs w:val="24"/>
        </w:rPr>
        <w:t xml:space="preserve">to promote seat belt use, and deter impaired </w:t>
      </w:r>
      <w:r>
        <w:rPr>
          <w:rFonts w:cs="Times New Roman"/>
          <w:szCs w:val="24"/>
        </w:rPr>
        <w:t>driving, and</w:t>
      </w:r>
      <w:r w:rsidRPr="00362545">
        <w:rPr>
          <w:rFonts w:cs="Times New Roman"/>
          <w:szCs w:val="24"/>
        </w:rPr>
        <w:t xml:space="preserve"> d</w:t>
      </w:r>
      <w:r w:rsidR="00E044EC">
        <w:rPr>
          <w:rFonts w:cs="Times New Roman"/>
          <w:szCs w:val="24"/>
        </w:rPr>
        <w:t>istracted driving;</w:t>
      </w:r>
      <w:r w:rsidRPr="00362545">
        <w:rPr>
          <w:rFonts w:cs="Times New Roman"/>
          <w:szCs w:val="24"/>
        </w:rPr>
        <w:t xml:space="preserve"> </w:t>
      </w:r>
    </w:p>
    <w:p w14:paraId="0CF7AD2F" w14:textId="77777777" w:rsidR="0049102B" w:rsidRDefault="0049102B" w:rsidP="00C930B9">
      <w:pPr>
        <w:numPr>
          <w:ilvl w:val="0"/>
          <w:numId w:val="2"/>
        </w:numPr>
        <w:spacing w:after="0" w:line="240" w:lineRule="auto"/>
        <w:contextualSpacing/>
        <w:rPr>
          <w:rFonts w:cs="Times New Roman"/>
          <w:szCs w:val="24"/>
        </w:rPr>
      </w:pPr>
      <w:r>
        <w:rPr>
          <w:rFonts w:cs="Times New Roman"/>
          <w:szCs w:val="24"/>
        </w:rPr>
        <w:t xml:space="preserve">Convene five traffic safety stakeholder summits across the country in early 2016 leading to a national safety summit </w:t>
      </w:r>
      <w:r w:rsidR="00E044EC">
        <w:rPr>
          <w:rFonts w:cs="Times New Roman"/>
          <w:szCs w:val="24"/>
        </w:rPr>
        <w:t>in Washington, DC in March 2016;</w:t>
      </w:r>
      <w:r>
        <w:rPr>
          <w:rFonts w:cs="Times New Roman"/>
          <w:szCs w:val="24"/>
        </w:rPr>
        <w:t xml:space="preserve">  </w:t>
      </w:r>
    </w:p>
    <w:p w14:paraId="14BB8977" w14:textId="77777777" w:rsidR="00C930B9" w:rsidRDefault="00C930B9" w:rsidP="00C930B9">
      <w:pPr>
        <w:numPr>
          <w:ilvl w:val="0"/>
          <w:numId w:val="2"/>
        </w:numPr>
        <w:spacing w:after="0" w:line="240" w:lineRule="auto"/>
        <w:contextualSpacing/>
        <w:rPr>
          <w:rFonts w:cs="Times New Roman"/>
          <w:szCs w:val="24"/>
        </w:rPr>
      </w:pPr>
      <w:r>
        <w:rPr>
          <w:rFonts w:cs="Times New Roman"/>
          <w:szCs w:val="24"/>
        </w:rPr>
        <w:lastRenderedPageBreak/>
        <w:t>Develop concrete actions that States and other safety advocates can take to address drowsy driving by holding stakeholder meetings</w:t>
      </w:r>
      <w:r w:rsidRPr="003338DC">
        <w:rPr>
          <w:rFonts w:cs="Times New Roman"/>
          <w:szCs w:val="24"/>
        </w:rPr>
        <w:t xml:space="preserve"> </w:t>
      </w:r>
      <w:r>
        <w:rPr>
          <w:rFonts w:cs="Times New Roman"/>
          <w:szCs w:val="24"/>
        </w:rPr>
        <w:t>and conducting research to help develop measures of drowsy driving, analyze existing data sources, and examine the potential of new State policies to change awareness and a</w:t>
      </w:r>
      <w:r w:rsidR="00E044EC">
        <w:rPr>
          <w:rFonts w:cs="Times New Roman"/>
          <w:szCs w:val="24"/>
        </w:rPr>
        <w:t>ttitudes towards drowsy driving;</w:t>
      </w:r>
      <w:r>
        <w:rPr>
          <w:rFonts w:cs="Times New Roman"/>
          <w:szCs w:val="24"/>
        </w:rPr>
        <w:t xml:space="preserve">  </w:t>
      </w:r>
    </w:p>
    <w:p w14:paraId="79956634" w14:textId="77777777" w:rsidR="00C930B9" w:rsidRPr="00DB754D" w:rsidRDefault="00C930B9" w:rsidP="00C930B9">
      <w:pPr>
        <w:pStyle w:val="ListParagraph"/>
        <w:numPr>
          <w:ilvl w:val="0"/>
          <w:numId w:val="2"/>
        </w:numPr>
      </w:pPr>
      <w:r w:rsidRPr="00D35A06">
        <w:rPr>
          <w:rFonts w:cs="Times New Roman"/>
        </w:rPr>
        <w:t xml:space="preserve">Publish </w:t>
      </w:r>
      <w:r w:rsidRPr="00DB754D">
        <w:rPr>
          <w:rFonts w:cs="Times New Roman"/>
        </w:rPr>
        <w:t>p</w:t>
      </w:r>
      <w:r w:rsidRPr="00DB754D">
        <w:t>roposals to require vehicle-to-vehicle (V2V) devices on all light new vehicles, and on distraction guidelines that apply</w:t>
      </w:r>
      <w:r w:rsidR="00E044EC">
        <w:t xml:space="preserve"> to nomadic devices in vehicles;</w:t>
      </w:r>
      <w:r w:rsidRPr="00DB754D">
        <w:t xml:space="preserve">  </w:t>
      </w:r>
    </w:p>
    <w:p w14:paraId="37024900" w14:textId="76C4EA93" w:rsidR="00D9240E" w:rsidRPr="00EB7676" w:rsidRDefault="00C930B9" w:rsidP="008D3866">
      <w:pPr>
        <w:numPr>
          <w:ilvl w:val="0"/>
          <w:numId w:val="2"/>
        </w:numPr>
        <w:spacing w:after="0" w:line="240" w:lineRule="auto"/>
        <w:rPr>
          <w:rFonts w:cs="Times New Roman"/>
          <w:color w:val="000000"/>
          <w:szCs w:val="24"/>
        </w:rPr>
      </w:pPr>
      <w:r w:rsidRPr="00362545">
        <w:rPr>
          <w:rFonts w:cs="Times New Roman"/>
          <w:color w:val="000000"/>
          <w:position w:val="-3"/>
          <w:szCs w:val="24"/>
        </w:rPr>
        <w:t>Publish the Final Rule on Electronic Logging Devices</w:t>
      </w:r>
      <w:r>
        <w:rPr>
          <w:rFonts w:cs="Times New Roman"/>
          <w:color w:val="000000"/>
          <w:position w:val="-3"/>
          <w:szCs w:val="24"/>
        </w:rPr>
        <w:t xml:space="preserve"> (ELD</w:t>
      </w:r>
      <w:r w:rsidR="00E044EC">
        <w:rPr>
          <w:rFonts w:cs="Times New Roman"/>
          <w:color w:val="000000"/>
          <w:position w:val="-3"/>
          <w:szCs w:val="24"/>
        </w:rPr>
        <w:t>) to</w:t>
      </w:r>
      <w:r w:rsidRPr="0085104D">
        <w:rPr>
          <w:rFonts w:cs="Times New Roman"/>
          <w:color w:val="000000"/>
          <w:position w:val="-3"/>
          <w:szCs w:val="24"/>
        </w:rPr>
        <w:t xml:space="preserve"> establish minimum performance and design standards for ELDs; requirements for the mandatory use of these devices by drivers currently required to prepare hours of service (HOS) records of duty status; requirements concerning HOS supporting documents; and measures to address concerns about harassment resulting from the mandatory use of ELDs.  </w:t>
      </w:r>
    </w:p>
    <w:p w14:paraId="6DB76462" w14:textId="4D1EAF41" w:rsidR="00D9240E" w:rsidRPr="009619C3" w:rsidRDefault="000A3F2D" w:rsidP="00EB7676">
      <w:pPr>
        <w:pStyle w:val="Heading2"/>
        <w:spacing w:after="240"/>
      </w:pPr>
      <w:r w:rsidRPr="00CA7FF6">
        <w:rPr>
          <w:color w:val="FFFFFF" w:themeColor="background1"/>
          <w:sz w:val="32"/>
          <w:szCs w:val="32"/>
        </w:rPr>
        <w:t xml:space="preserve"> </w:t>
      </w:r>
      <w:bookmarkStart w:id="15" w:name="_Toc483414857"/>
      <w:r w:rsidR="008D3866" w:rsidRPr="009619C3">
        <w:t>Aviation Safety</w:t>
      </w:r>
      <w:r w:rsidR="009619C3">
        <w:t xml:space="preserve"> (FAA)</w:t>
      </w:r>
      <w:bookmarkEnd w:id="15"/>
    </w:p>
    <w:p w14:paraId="189E3E5C" w14:textId="77777777" w:rsidR="00BA3DED" w:rsidRDefault="004C32B9" w:rsidP="009619C3">
      <w:pPr>
        <w:spacing w:before="120" w:after="120" w:line="240" w:lineRule="auto"/>
        <w:rPr>
          <w:rFonts w:cs="Times New Roman"/>
          <w:szCs w:val="24"/>
        </w:rPr>
      </w:pPr>
      <w:r w:rsidRPr="00362545">
        <w:rPr>
          <w:rFonts w:cs="Times New Roman"/>
          <w:szCs w:val="24"/>
        </w:rPr>
        <w:t>Aviation fatality rates are at historic lows and continue to drop over time</w:t>
      </w:r>
      <w:r>
        <w:rPr>
          <w:rFonts w:cs="Times New Roman"/>
          <w:szCs w:val="24"/>
        </w:rPr>
        <w:t>.</w:t>
      </w:r>
      <w:r w:rsidRPr="00362545">
        <w:rPr>
          <w:rFonts w:cs="Times New Roman"/>
          <w:szCs w:val="24"/>
        </w:rPr>
        <w:t xml:space="preserve"> </w:t>
      </w:r>
      <w:r>
        <w:rPr>
          <w:rFonts w:cs="Times New Roman"/>
          <w:szCs w:val="24"/>
        </w:rPr>
        <w:t xml:space="preserve">The </w:t>
      </w:r>
      <w:r w:rsidRPr="002F48C1">
        <w:rPr>
          <w:rFonts w:cs="Times New Roman"/>
          <w:szCs w:val="24"/>
        </w:rPr>
        <w:t>Federal Aviation Administration (FAA)</w:t>
      </w:r>
      <w:r>
        <w:rPr>
          <w:rFonts w:cs="Times New Roman"/>
          <w:szCs w:val="24"/>
        </w:rPr>
        <w:t xml:space="preserve"> </w:t>
      </w:r>
      <w:r w:rsidRPr="00362545">
        <w:rPr>
          <w:rFonts w:cs="Times New Roman"/>
          <w:szCs w:val="24"/>
        </w:rPr>
        <w:t>has an imperative to be smarter about how it assures safety as the aviation industry grows more complex. FAA has more safety data than it ha</w:t>
      </w:r>
      <w:r>
        <w:rPr>
          <w:rFonts w:cs="Times New Roman"/>
          <w:szCs w:val="24"/>
        </w:rPr>
        <w:t>s</w:t>
      </w:r>
      <w:r w:rsidRPr="00362545">
        <w:rPr>
          <w:rFonts w:cs="Times New Roman"/>
          <w:szCs w:val="24"/>
        </w:rPr>
        <w:t xml:space="preserve"> ever had before. This provides an opportunity to be more proactive about safety and use </w:t>
      </w:r>
      <w:r>
        <w:rPr>
          <w:rFonts w:cs="Times New Roman"/>
          <w:szCs w:val="24"/>
        </w:rPr>
        <w:t xml:space="preserve">safety management </w:t>
      </w:r>
      <w:r w:rsidRPr="00362545">
        <w:rPr>
          <w:rFonts w:cs="Times New Roman"/>
          <w:szCs w:val="24"/>
        </w:rPr>
        <w:t xml:space="preserve">principles to make smarter, risk-based decisions. </w:t>
      </w:r>
    </w:p>
    <w:p w14:paraId="4C43A2D7" w14:textId="77777777" w:rsidR="004C32B9" w:rsidRDefault="004C32B9" w:rsidP="009619C3">
      <w:pPr>
        <w:spacing w:before="120" w:after="120" w:line="240" w:lineRule="auto"/>
        <w:rPr>
          <w:rFonts w:cs="Times New Roman"/>
          <w:szCs w:val="24"/>
        </w:rPr>
      </w:pPr>
      <w:r w:rsidRPr="00362545">
        <w:rPr>
          <w:rFonts w:cs="Times New Roman"/>
          <w:szCs w:val="24"/>
        </w:rPr>
        <w:t xml:space="preserve">FAA focuses on three areas of aviation safety: </w:t>
      </w:r>
    </w:p>
    <w:p w14:paraId="59CADF21" w14:textId="77777777" w:rsidR="004C32B9" w:rsidRDefault="004C32B9" w:rsidP="009619C3">
      <w:pPr>
        <w:pStyle w:val="ListParagraph"/>
        <w:numPr>
          <w:ilvl w:val="0"/>
          <w:numId w:val="10"/>
        </w:numPr>
        <w:spacing w:before="120" w:after="120"/>
        <w:ind w:left="810" w:hanging="270"/>
        <w:rPr>
          <w:rFonts w:cs="Times New Roman"/>
        </w:rPr>
      </w:pPr>
      <w:r>
        <w:rPr>
          <w:rFonts w:cs="Times New Roman"/>
        </w:rPr>
        <w:t>Commercial Aviation;</w:t>
      </w:r>
    </w:p>
    <w:p w14:paraId="56DEEAB3" w14:textId="77777777" w:rsidR="004C32B9" w:rsidRDefault="004C32B9" w:rsidP="009619C3">
      <w:pPr>
        <w:pStyle w:val="ListParagraph"/>
        <w:numPr>
          <w:ilvl w:val="0"/>
          <w:numId w:val="10"/>
        </w:numPr>
        <w:spacing w:before="120" w:after="120"/>
        <w:ind w:left="810" w:hanging="270"/>
        <w:rPr>
          <w:rFonts w:cs="Times New Roman"/>
        </w:rPr>
      </w:pPr>
      <w:r w:rsidRPr="002E49F3">
        <w:rPr>
          <w:rFonts w:cs="Times New Roman"/>
        </w:rPr>
        <w:t>General Aviation</w:t>
      </w:r>
      <w:r>
        <w:rPr>
          <w:rFonts w:cs="Times New Roman"/>
        </w:rPr>
        <w:t>;</w:t>
      </w:r>
      <w:r w:rsidRPr="002E49F3">
        <w:rPr>
          <w:rFonts w:cs="Times New Roman"/>
        </w:rPr>
        <w:t xml:space="preserve"> and</w:t>
      </w:r>
    </w:p>
    <w:p w14:paraId="40DEBC94" w14:textId="77777777" w:rsidR="004C32B9" w:rsidRDefault="004C32B9" w:rsidP="009619C3">
      <w:pPr>
        <w:pStyle w:val="ListParagraph"/>
        <w:numPr>
          <w:ilvl w:val="0"/>
          <w:numId w:val="10"/>
        </w:numPr>
        <w:spacing w:before="120" w:after="120"/>
        <w:ind w:left="810" w:hanging="270"/>
        <w:rPr>
          <w:rFonts w:cs="Times New Roman"/>
        </w:rPr>
      </w:pPr>
      <w:r w:rsidRPr="002E49F3">
        <w:rPr>
          <w:rFonts w:cs="Times New Roman"/>
        </w:rPr>
        <w:t>Runway Safety.</w:t>
      </w:r>
    </w:p>
    <w:p w14:paraId="4DBD712B" w14:textId="1989C19D" w:rsidR="004C32B9" w:rsidRDefault="003D678F" w:rsidP="009619C3">
      <w:pPr>
        <w:spacing w:before="120" w:after="120" w:line="240" w:lineRule="auto"/>
        <w:rPr>
          <w:rFonts w:cs="Times New Roman"/>
          <w:szCs w:val="24"/>
        </w:rPr>
      </w:pPr>
      <w:r>
        <w:rPr>
          <w:rFonts w:cs="Times New Roman"/>
          <w:szCs w:val="24"/>
        </w:rPr>
        <w:t>To</w:t>
      </w:r>
      <w:r w:rsidR="00ED6B58" w:rsidRPr="00362545">
        <w:rPr>
          <w:rFonts w:cs="Times New Roman"/>
          <w:szCs w:val="24"/>
        </w:rPr>
        <w:t xml:space="preserve"> continue to improve the current level of s</w:t>
      </w:r>
      <w:r w:rsidR="00ED6B58">
        <w:rPr>
          <w:rFonts w:cs="Times New Roman"/>
          <w:szCs w:val="24"/>
        </w:rPr>
        <w:t>afety in the national airspace</w:t>
      </w:r>
      <w:r w:rsidR="00ED6B58" w:rsidRPr="00362545">
        <w:rPr>
          <w:rFonts w:cs="Times New Roman"/>
          <w:szCs w:val="24"/>
        </w:rPr>
        <w:t xml:space="preserve"> </w:t>
      </w:r>
      <w:r w:rsidR="004C32B9" w:rsidRPr="00362545">
        <w:rPr>
          <w:rFonts w:cs="Times New Roman"/>
          <w:szCs w:val="24"/>
        </w:rPr>
        <w:t xml:space="preserve">FAA recognizes the need to </w:t>
      </w:r>
      <w:r>
        <w:rPr>
          <w:rFonts w:cs="Times New Roman"/>
          <w:szCs w:val="24"/>
        </w:rPr>
        <w:t>address</w:t>
      </w:r>
      <w:r w:rsidR="004C32B9" w:rsidRPr="00362545">
        <w:rPr>
          <w:rFonts w:cs="Times New Roman"/>
          <w:szCs w:val="24"/>
        </w:rPr>
        <w:t xml:space="preserve"> precursors to accidents</w:t>
      </w:r>
      <w:r w:rsidR="004C32B9">
        <w:rPr>
          <w:rFonts w:cs="Times New Roman"/>
          <w:szCs w:val="24"/>
        </w:rPr>
        <w:t xml:space="preserve">. </w:t>
      </w:r>
      <w:r w:rsidR="004C32B9" w:rsidRPr="00362545">
        <w:rPr>
          <w:rFonts w:cs="Times New Roman"/>
          <w:szCs w:val="24"/>
        </w:rPr>
        <w:t>In the past, FAA focused on actual incidents and accidents to identify risk within the aviation system. The number of accidents has now dropped to a level in which this is a more difficult activity to</w:t>
      </w:r>
      <w:r w:rsidR="00037096">
        <w:rPr>
          <w:rFonts w:cs="Times New Roman"/>
          <w:szCs w:val="24"/>
        </w:rPr>
        <w:t xml:space="preserve"> asses</w:t>
      </w:r>
      <w:r w:rsidR="004457C9">
        <w:rPr>
          <w:rFonts w:cs="Times New Roman"/>
          <w:szCs w:val="24"/>
        </w:rPr>
        <w:t>s</w:t>
      </w:r>
      <w:r w:rsidR="00037096">
        <w:rPr>
          <w:rFonts w:cs="Times New Roman"/>
          <w:szCs w:val="24"/>
        </w:rPr>
        <w:t xml:space="preserve"> risk.</w:t>
      </w:r>
      <w:r w:rsidR="004C32B9" w:rsidRPr="00362545">
        <w:rPr>
          <w:rFonts w:cs="Times New Roman"/>
          <w:szCs w:val="24"/>
        </w:rPr>
        <w:t xml:space="preserve"> </w:t>
      </w:r>
    </w:p>
    <w:p w14:paraId="06365878" w14:textId="77777777" w:rsidR="008D3866" w:rsidRDefault="004C32B9" w:rsidP="009619C3">
      <w:pPr>
        <w:spacing w:before="120" w:after="120" w:line="240" w:lineRule="auto"/>
        <w:rPr>
          <w:rFonts w:cs="Times New Roman"/>
          <w:szCs w:val="24"/>
        </w:rPr>
      </w:pPr>
      <w:r w:rsidRPr="00362545">
        <w:rPr>
          <w:rFonts w:cs="Times New Roman"/>
          <w:szCs w:val="24"/>
        </w:rPr>
        <w:t xml:space="preserve">FAA is developing alternate methods to identify and address emerging safety risks and accident precursors to reduce the likelihood of such events. The </w:t>
      </w:r>
      <w:r>
        <w:rPr>
          <w:rFonts w:cs="Times New Roman"/>
          <w:szCs w:val="24"/>
        </w:rPr>
        <w:t>Aviation Safety Information Analysis and Sharing (</w:t>
      </w:r>
      <w:r w:rsidRPr="00362545">
        <w:rPr>
          <w:rFonts w:cs="Times New Roman"/>
          <w:szCs w:val="24"/>
        </w:rPr>
        <w:t>ASIAS</w:t>
      </w:r>
      <w:r>
        <w:rPr>
          <w:rFonts w:cs="Times New Roman"/>
          <w:szCs w:val="24"/>
        </w:rPr>
        <w:t>)</w:t>
      </w:r>
      <w:r w:rsidRPr="00362545">
        <w:rPr>
          <w:rFonts w:cs="Times New Roman"/>
          <w:szCs w:val="24"/>
        </w:rPr>
        <w:t xml:space="preserve"> initiative is one of the key programs maintained by FAA, and frequently partners with </w:t>
      </w:r>
      <w:r>
        <w:rPr>
          <w:rFonts w:cs="Times New Roman"/>
          <w:szCs w:val="24"/>
        </w:rPr>
        <w:t>the Commercial Aviation Safety Team (</w:t>
      </w:r>
      <w:r w:rsidRPr="00362545">
        <w:rPr>
          <w:rFonts w:cs="Times New Roman"/>
          <w:szCs w:val="24"/>
        </w:rPr>
        <w:t>CAST</w:t>
      </w:r>
      <w:r>
        <w:rPr>
          <w:rFonts w:cs="Times New Roman"/>
          <w:szCs w:val="24"/>
        </w:rPr>
        <w:t>)</w:t>
      </w:r>
      <w:r w:rsidRPr="00362545">
        <w:rPr>
          <w:rFonts w:cs="Times New Roman"/>
          <w:szCs w:val="24"/>
        </w:rPr>
        <w:t xml:space="preserve"> to monitor known risk, evaluate the effectiveness of deployed mitigations, and detect emerging risk. ASIAS has access to multiple data sources across Government and industry, including voluntarily provided safety data, through the participation of 46 Part 121 member air carriers and nine corporate operators. ASIAS has matured to the point that FAA and industry can leverage voluntarily provided safety data from operators </w:t>
      </w:r>
    </w:p>
    <w:p w14:paraId="6DECB48E" w14:textId="77777777" w:rsidR="004C32B9" w:rsidRDefault="004C32B9" w:rsidP="009619C3">
      <w:pPr>
        <w:spacing w:before="120" w:after="120" w:line="240" w:lineRule="auto"/>
        <w:rPr>
          <w:rFonts w:cs="Times New Roman"/>
          <w:szCs w:val="24"/>
        </w:rPr>
      </w:pPr>
      <w:r w:rsidRPr="00362545">
        <w:rPr>
          <w:rFonts w:cs="Times New Roman"/>
          <w:szCs w:val="24"/>
        </w:rPr>
        <w:t xml:space="preserve">that represent 96 percent of U.S. air carrier commercial operations. ASIAS retains access to a wide variety of both public and proprietary data sources, each of which provides information from different parts of the </w:t>
      </w:r>
      <w:r>
        <w:rPr>
          <w:rFonts w:cs="Times New Roman"/>
          <w:szCs w:val="24"/>
        </w:rPr>
        <w:t>National Airspace System (</w:t>
      </w:r>
      <w:r w:rsidRPr="00362545">
        <w:rPr>
          <w:rFonts w:cs="Times New Roman"/>
          <w:szCs w:val="24"/>
        </w:rPr>
        <w:t>NAS</w:t>
      </w:r>
      <w:r>
        <w:rPr>
          <w:rFonts w:cs="Times New Roman"/>
          <w:szCs w:val="24"/>
        </w:rPr>
        <w:t>)</w:t>
      </w:r>
      <w:r w:rsidRPr="00362545">
        <w:rPr>
          <w:rFonts w:cs="Times New Roman"/>
          <w:szCs w:val="24"/>
        </w:rPr>
        <w:t>. CAST leverages data from ASIAS to understand the underlying contributing factors and develop mitigation strategies.</w:t>
      </w:r>
    </w:p>
    <w:p w14:paraId="7F60E764" w14:textId="77777777" w:rsidR="00C76E5F" w:rsidRPr="009619C3" w:rsidRDefault="00C76E5F" w:rsidP="00CE4D0E">
      <w:pPr>
        <w:pStyle w:val="Heading4"/>
      </w:pPr>
      <w:r w:rsidRPr="009619C3">
        <w:lastRenderedPageBreak/>
        <w:t>Key Strategies</w:t>
      </w:r>
    </w:p>
    <w:p w14:paraId="1E36BEDA" w14:textId="77777777" w:rsidR="00411E77" w:rsidRPr="00C76E5F" w:rsidRDefault="00411E77" w:rsidP="00411E77">
      <w:pPr>
        <w:spacing w:after="120" w:line="240" w:lineRule="auto"/>
        <w:rPr>
          <w:rFonts w:cs="Times New Roman"/>
          <w:szCs w:val="24"/>
        </w:rPr>
      </w:pPr>
      <w:r>
        <w:rPr>
          <w:rFonts w:cs="Times New Roman"/>
          <w:b/>
          <w:szCs w:val="24"/>
        </w:rPr>
        <w:t>Compliance P</w:t>
      </w:r>
      <w:r w:rsidRPr="00755A6B">
        <w:rPr>
          <w:rFonts w:cs="Times New Roman"/>
          <w:b/>
          <w:szCs w:val="24"/>
        </w:rPr>
        <w:t>hilosophy</w:t>
      </w:r>
      <w:r>
        <w:rPr>
          <w:rFonts w:cs="Times New Roman"/>
          <w:b/>
          <w:szCs w:val="24"/>
        </w:rPr>
        <w:t xml:space="preserve">: </w:t>
      </w:r>
      <w:r w:rsidRPr="00C76E5F">
        <w:rPr>
          <w:rFonts w:cs="Times New Roman"/>
          <w:szCs w:val="24"/>
        </w:rPr>
        <w:t xml:space="preserve">In 2016, the FAA continued efforts to implement the </w:t>
      </w:r>
      <w:r w:rsidRPr="00C76E5F">
        <w:rPr>
          <w:rFonts w:cs="Times New Roman"/>
          <w:i/>
          <w:iCs/>
          <w:szCs w:val="24"/>
        </w:rPr>
        <w:t xml:space="preserve">Federal Aviation Administration Compliance Philosophy </w:t>
      </w:r>
      <w:r w:rsidRPr="00C76E5F">
        <w:rPr>
          <w:rFonts w:cs="Times New Roman"/>
          <w:szCs w:val="24"/>
        </w:rPr>
        <w:t xml:space="preserve">throughout the agency and communicate this new approach to aviation stakeholders. </w:t>
      </w:r>
    </w:p>
    <w:p w14:paraId="35446439" w14:textId="77777777" w:rsidR="00411E77" w:rsidRPr="00C76E5F" w:rsidRDefault="00411E77" w:rsidP="00411E77">
      <w:pPr>
        <w:spacing w:after="120" w:line="240" w:lineRule="auto"/>
        <w:rPr>
          <w:rFonts w:cs="Times New Roman"/>
          <w:szCs w:val="24"/>
        </w:rPr>
      </w:pPr>
      <w:r w:rsidRPr="00C76E5F">
        <w:rPr>
          <w:rFonts w:cs="Times New Roman"/>
          <w:szCs w:val="24"/>
        </w:rPr>
        <w:t xml:space="preserve">The compliance philosophy is the overarching guidance for implementing the FAA’s strategic safety oversight approach, pertaining to all users of our nation’s airspace. The compliance philosophy represents a focus on using, where appropriate, non-enforcement methods for correcting unintentional deviations or noncompliance that arise from factors such as flawed systems and procedures, simple mistakes, lack of understanding, or diminished skills. A compliance action is not adjudication, nor does it constitute a finding of violation. </w:t>
      </w:r>
    </w:p>
    <w:p w14:paraId="1BC5ACEF" w14:textId="77777777" w:rsidR="00411E77" w:rsidRPr="00C76E5F" w:rsidRDefault="00411E77" w:rsidP="00411E77">
      <w:pPr>
        <w:spacing w:after="120" w:line="240" w:lineRule="auto"/>
        <w:rPr>
          <w:rFonts w:cs="Times New Roman"/>
          <w:szCs w:val="24"/>
        </w:rPr>
      </w:pPr>
      <w:r w:rsidRPr="00C76E5F">
        <w:rPr>
          <w:rFonts w:cs="Times New Roman"/>
          <w:szCs w:val="24"/>
        </w:rPr>
        <w:t>The compliance philosophy emphasizes the importance of sharing information with and among our aviation community partners and analyzing data in order to identify safety risks and investigate the root causes of those risks. Under this philosophy, the FAA places its highest value on improving safety performance, with the understanding that traditional enforcement actions - such as civil penalties - are just one tool available to the agency as it protects the safety of our aviation system. An open and transparent exchange of information requires mutual cooperation and trust that can be challenging to achieve in a traditional, enforcement-focused regulatory model; but one that must occur to keep our increasingly congested airspace safe.</w:t>
      </w:r>
    </w:p>
    <w:p w14:paraId="09881895" w14:textId="77777777" w:rsidR="00411E77" w:rsidRPr="00B437CA" w:rsidRDefault="00411E77" w:rsidP="00411E77">
      <w:pPr>
        <w:spacing w:after="120" w:line="240" w:lineRule="auto"/>
        <w:rPr>
          <w:rFonts w:cs="Times New Roman"/>
          <w:szCs w:val="24"/>
        </w:rPr>
      </w:pPr>
      <w:r w:rsidRPr="00C76E5F">
        <w:rPr>
          <w:rFonts w:cs="Times New Roman"/>
          <w:szCs w:val="24"/>
        </w:rPr>
        <w:t xml:space="preserve">More information about the compliance philosophy can be found on the FAA’s website at: </w:t>
      </w:r>
      <w:r w:rsidRPr="00C76E5F">
        <w:rPr>
          <w:rFonts w:cs="Times New Roman"/>
          <w:i/>
          <w:iCs/>
          <w:szCs w:val="24"/>
        </w:rPr>
        <w:t>https://www.faa.gov/about/initiatives/cp/</w:t>
      </w:r>
      <w:r w:rsidRPr="00C76E5F">
        <w:rPr>
          <w:rFonts w:cs="Times New Roman"/>
          <w:szCs w:val="24"/>
        </w:rPr>
        <w:t>.</w:t>
      </w:r>
    </w:p>
    <w:p w14:paraId="4523B1BE" w14:textId="77777777" w:rsidR="00411E77" w:rsidRPr="00362545" w:rsidRDefault="00411E77" w:rsidP="00411E77">
      <w:pPr>
        <w:spacing w:after="120" w:line="240" w:lineRule="auto"/>
        <w:rPr>
          <w:rFonts w:cs="Times New Roman"/>
          <w:szCs w:val="24"/>
        </w:rPr>
      </w:pPr>
      <w:r w:rsidRPr="00362545">
        <w:rPr>
          <w:rFonts w:cs="Times New Roman"/>
          <w:b/>
          <w:szCs w:val="24"/>
        </w:rPr>
        <w:t>Risk-Based Decision Making:</w:t>
      </w:r>
      <w:r w:rsidRPr="00362545">
        <w:rPr>
          <w:rFonts w:cs="Times New Roman"/>
          <w:szCs w:val="24"/>
        </w:rPr>
        <w:t xml:space="preserve"> The aviation landscape has changed dramatically over the last decade. Several factors are increasing the complexity of the industry and introducing different types of safety risk into the aerospace system. These factors include new aerospace designs and technologies (e.g., Unmanned Aircraft Systems), changes in FAA’s surveillance and oversight model (e.g., designee management programs), and different business models for the design and manufacture of aircraft and products (e.g., supply chains). </w:t>
      </w:r>
    </w:p>
    <w:p w14:paraId="0566A6E9" w14:textId="77777777" w:rsidR="00411E77" w:rsidRDefault="00411E77" w:rsidP="00411E77">
      <w:pPr>
        <w:spacing w:after="120" w:line="240" w:lineRule="auto"/>
        <w:rPr>
          <w:rFonts w:cs="Times New Roman"/>
          <w:szCs w:val="24"/>
        </w:rPr>
      </w:pPr>
      <w:r>
        <w:rPr>
          <w:rFonts w:cs="Times New Roman"/>
          <w:szCs w:val="24"/>
        </w:rPr>
        <w:t xml:space="preserve">The </w:t>
      </w:r>
      <w:r w:rsidRPr="00362545">
        <w:rPr>
          <w:rFonts w:cs="Times New Roman"/>
          <w:szCs w:val="24"/>
        </w:rPr>
        <w:t xml:space="preserve">FAA has built the foundation to address the challenges </w:t>
      </w:r>
      <w:r>
        <w:rPr>
          <w:rFonts w:cs="Times New Roman"/>
          <w:szCs w:val="24"/>
        </w:rPr>
        <w:t xml:space="preserve">created by this complexity and diversity </w:t>
      </w:r>
      <w:r w:rsidRPr="00362545">
        <w:rPr>
          <w:rFonts w:cs="Times New Roman"/>
          <w:szCs w:val="24"/>
        </w:rPr>
        <w:t xml:space="preserve">by developing and implementing an SMS. </w:t>
      </w:r>
      <w:r w:rsidRPr="00B67367">
        <w:rPr>
          <w:rFonts w:cs="Times New Roman"/>
          <w:szCs w:val="24"/>
        </w:rPr>
        <w:t xml:space="preserve">Risk-Based Decision Making is one of four Strategic Initiatives identified by the FAA Administrator as </w:t>
      </w:r>
      <w:r>
        <w:rPr>
          <w:rFonts w:cs="Times New Roman"/>
          <w:szCs w:val="24"/>
        </w:rPr>
        <w:t xml:space="preserve">a </w:t>
      </w:r>
      <w:r w:rsidRPr="00B67367">
        <w:rPr>
          <w:rFonts w:cs="Times New Roman"/>
          <w:szCs w:val="24"/>
        </w:rPr>
        <w:t>top priorit</w:t>
      </w:r>
      <w:r>
        <w:rPr>
          <w:rFonts w:cs="Times New Roman"/>
          <w:szCs w:val="24"/>
        </w:rPr>
        <w:t>y.</w:t>
      </w:r>
      <w:r w:rsidRPr="00362545">
        <w:rPr>
          <w:rFonts w:cs="Times New Roman"/>
          <w:szCs w:val="24"/>
        </w:rPr>
        <w:t xml:space="preserve"> </w:t>
      </w:r>
      <w:r>
        <w:rPr>
          <w:rFonts w:cs="Times New Roman"/>
          <w:szCs w:val="24"/>
        </w:rPr>
        <w:t>The</w:t>
      </w:r>
      <w:r w:rsidRPr="00362545">
        <w:rPr>
          <w:rFonts w:cs="Times New Roman"/>
          <w:szCs w:val="24"/>
        </w:rPr>
        <w:t xml:space="preserve"> initiative </w:t>
      </w:r>
      <w:r w:rsidRPr="00B67367">
        <w:rPr>
          <w:rFonts w:cs="Times New Roman"/>
          <w:szCs w:val="24"/>
        </w:rPr>
        <w:t xml:space="preserve">contains activities </w:t>
      </w:r>
      <w:r>
        <w:rPr>
          <w:rFonts w:cs="Times New Roman"/>
          <w:szCs w:val="24"/>
        </w:rPr>
        <w:t>to</w:t>
      </w:r>
      <w:r w:rsidRPr="00B67367">
        <w:rPr>
          <w:rFonts w:cs="Times New Roman"/>
          <w:szCs w:val="24"/>
        </w:rPr>
        <w:t xml:space="preserve"> help</w:t>
      </w:r>
      <w:r>
        <w:rPr>
          <w:rFonts w:cs="Times New Roman"/>
          <w:szCs w:val="24"/>
        </w:rPr>
        <w:t xml:space="preserve"> </w:t>
      </w:r>
      <w:r w:rsidRPr="00B67367">
        <w:rPr>
          <w:rFonts w:cs="Times New Roman"/>
          <w:szCs w:val="24"/>
        </w:rPr>
        <w:t xml:space="preserve">to further </w:t>
      </w:r>
      <w:r>
        <w:rPr>
          <w:rFonts w:cs="Times New Roman"/>
          <w:szCs w:val="24"/>
        </w:rPr>
        <w:t>safety management in the FAA</w:t>
      </w:r>
      <w:r w:rsidRPr="00362545">
        <w:rPr>
          <w:rFonts w:cs="Times New Roman"/>
          <w:szCs w:val="24"/>
        </w:rPr>
        <w:t>.</w:t>
      </w:r>
      <w:r>
        <w:rPr>
          <w:rFonts w:cs="Times New Roman"/>
          <w:szCs w:val="24"/>
        </w:rPr>
        <w:t xml:space="preserve"> </w:t>
      </w:r>
    </w:p>
    <w:p w14:paraId="4E1DE6CD" w14:textId="77777777" w:rsidR="00411E77" w:rsidRPr="00362545" w:rsidRDefault="00411E77" w:rsidP="00411E77">
      <w:pPr>
        <w:spacing w:after="120" w:line="240" w:lineRule="auto"/>
        <w:rPr>
          <w:rFonts w:cs="Times New Roman"/>
          <w:szCs w:val="24"/>
        </w:rPr>
      </w:pPr>
      <w:r w:rsidRPr="00362545">
        <w:rPr>
          <w:rFonts w:cs="Times New Roman"/>
          <w:szCs w:val="24"/>
        </w:rPr>
        <w:t xml:space="preserve">The </w:t>
      </w:r>
      <w:r w:rsidRPr="00BE6713">
        <w:rPr>
          <w:rFonts w:cs="Times New Roman"/>
          <w:szCs w:val="24"/>
        </w:rPr>
        <w:t xml:space="preserve">Risk-Based Decision Making </w:t>
      </w:r>
      <w:r w:rsidRPr="00362545">
        <w:rPr>
          <w:rFonts w:cs="Times New Roman"/>
          <w:szCs w:val="24"/>
        </w:rPr>
        <w:t xml:space="preserve">initiative will enable </w:t>
      </w:r>
      <w:r>
        <w:rPr>
          <w:rFonts w:cs="Times New Roman"/>
          <w:szCs w:val="24"/>
        </w:rPr>
        <w:t>the FAA to make smarter</w:t>
      </w:r>
      <w:r w:rsidRPr="00362545">
        <w:rPr>
          <w:rFonts w:cs="Times New Roman"/>
          <w:szCs w:val="24"/>
        </w:rPr>
        <w:t xml:space="preserve"> decisions to improve safety in the </w:t>
      </w:r>
      <w:r>
        <w:rPr>
          <w:rFonts w:cs="Times New Roman"/>
          <w:szCs w:val="24"/>
        </w:rPr>
        <w:t>aerospace</w:t>
      </w:r>
      <w:r w:rsidRPr="00362545">
        <w:rPr>
          <w:rFonts w:cs="Times New Roman"/>
          <w:szCs w:val="24"/>
        </w:rPr>
        <w:t xml:space="preserve"> system. Safety data will be shared among FAA organizations, industry, and international peers, leading to a broader spectrum of available data. The data will be analyzed using </w:t>
      </w:r>
      <w:r>
        <w:rPr>
          <w:rFonts w:cs="Times New Roman"/>
          <w:szCs w:val="24"/>
        </w:rPr>
        <w:t>s</w:t>
      </w:r>
      <w:r w:rsidRPr="00362545">
        <w:rPr>
          <w:rFonts w:cs="Times New Roman"/>
          <w:szCs w:val="24"/>
        </w:rPr>
        <w:t xml:space="preserve">afety </w:t>
      </w:r>
      <w:r>
        <w:rPr>
          <w:rFonts w:cs="Times New Roman"/>
          <w:szCs w:val="24"/>
        </w:rPr>
        <w:t>m</w:t>
      </w:r>
      <w:r w:rsidRPr="00362545">
        <w:rPr>
          <w:rFonts w:cs="Times New Roman"/>
          <w:szCs w:val="24"/>
        </w:rPr>
        <w:t xml:space="preserve">anagement principles to identify emerging hazards and predict the associated safety risk. The resulting information will be coordinated and shared with </w:t>
      </w:r>
      <w:r>
        <w:rPr>
          <w:rFonts w:cs="Times New Roman"/>
          <w:szCs w:val="24"/>
        </w:rPr>
        <w:t>the</w:t>
      </w:r>
      <w:r w:rsidRPr="00362545">
        <w:rPr>
          <w:rFonts w:cs="Times New Roman"/>
          <w:szCs w:val="24"/>
        </w:rPr>
        <w:t xml:space="preserve"> people who are in the best position to manage the safety risk and make the </w:t>
      </w:r>
      <w:r>
        <w:rPr>
          <w:rFonts w:cs="Times New Roman"/>
          <w:szCs w:val="24"/>
        </w:rPr>
        <w:t>aerospace</w:t>
      </w:r>
      <w:r w:rsidRPr="00362545">
        <w:rPr>
          <w:rFonts w:cs="Times New Roman"/>
          <w:szCs w:val="24"/>
        </w:rPr>
        <w:t xml:space="preserve"> system even safer.</w:t>
      </w:r>
      <w:r>
        <w:rPr>
          <w:rFonts w:cs="Times New Roman"/>
          <w:szCs w:val="24"/>
        </w:rPr>
        <w:t xml:space="preserve"> The</w:t>
      </w:r>
      <w:r w:rsidRPr="001A5B39">
        <w:rPr>
          <w:rFonts w:cs="Times New Roman"/>
          <w:szCs w:val="24"/>
        </w:rPr>
        <w:t xml:space="preserve"> </w:t>
      </w:r>
      <w:r w:rsidRPr="00BE6713">
        <w:rPr>
          <w:rFonts w:cs="Times New Roman"/>
          <w:szCs w:val="24"/>
        </w:rPr>
        <w:t xml:space="preserve">Risk-Based Decision Making </w:t>
      </w:r>
      <w:r w:rsidRPr="001A5B39">
        <w:rPr>
          <w:rFonts w:cs="Times New Roman"/>
          <w:szCs w:val="24"/>
        </w:rPr>
        <w:t>initiative</w:t>
      </w:r>
      <w:r>
        <w:rPr>
          <w:rFonts w:cs="Times New Roman"/>
          <w:szCs w:val="24"/>
        </w:rPr>
        <w:t xml:space="preserve"> includes the</w:t>
      </w:r>
      <w:r w:rsidRPr="001A5B39">
        <w:rPr>
          <w:rFonts w:cs="Times New Roman"/>
          <w:szCs w:val="24"/>
        </w:rPr>
        <w:t xml:space="preserve"> implementation of tools and processes that will enable the FAA to proactively address emerging safety ri</w:t>
      </w:r>
      <w:r>
        <w:rPr>
          <w:rFonts w:cs="Times New Roman"/>
          <w:szCs w:val="24"/>
        </w:rPr>
        <w:t xml:space="preserve">sks using consistent, data </w:t>
      </w:r>
      <w:r w:rsidRPr="001A5B39">
        <w:rPr>
          <w:rFonts w:cs="Times New Roman"/>
          <w:szCs w:val="24"/>
        </w:rPr>
        <w:t>informed approaches to support system-</w:t>
      </w:r>
      <w:r>
        <w:rPr>
          <w:rFonts w:cs="Times New Roman"/>
          <w:szCs w:val="24"/>
        </w:rPr>
        <w:t>level</w:t>
      </w:r>
      <w:r w:rsidRPr="001A5B39">
        <w:rPr>
          <w:rFonts w:cs="Times New Roman"/>
          <w:szCs w:val="24"/>
        </w:rPr>
        <w:t xml:space="preserve"> decisions</w:t>
      </w:r>
      <w:r>
        <w:rPr>
          <w:rFonts w:cs="Times New Roman"/>
          <w:szCs w:val="24"/>
        </w:rPr>
        <w:t>.</w:t>
      </w:r>
    </w:p>
    <w:p w14:paraId="6C2C1C1D" w14:textId="77777777" w:rsidR="00411E77" w:rsidRPr="00DE43A3" w:rsidRDefault="00411E77" w:rsidP="0007365F">
      <w:pPr>
        <w:spacing w:after="120" w:line="240" w:lineRule="auto"/>
        <w:rPr>
          <w:rFonts w:cs="Times New Roman"/>
        </w:rPr>
      </w:pPr>
      <w:r w:rsidRPr="00362545">
        <w:rPr>
          <w:rFonts w:cs="Times New Roman"/>
          <w:szCs w:val="24"/>
        </w:rPr>
        <w:t xml:space="preserve">In order to do this, </w:t>
      </w:r>
      <w:r>
        <w:rPr>
          <w:rFonts w:cs="Times New Roman"/>
          <w:szCs w:val="24"/>
        </w:rPr>
        <w:t xml:space="preserve">FAA </w:t>
      </w:r>
      <w:r w:rsidRPr="00362545">
        <w:rPr>
          <w:rFonts w:cs="Times New Roman"/>
          <w:szCs w:val="24"/>
        </w:rPr>
        <w:t>establish</w:t>
      </w:r>
      <w:r>
        <w:rPr>
          <w:rFonts w:cs="Times New Roman"/>
          <w:szCs w:val="24"/>
        </w:rPr>
        <w:t>ed</w:t>
      </w:r>
      <w:r w:rsidRPr="00EB7676">
        <w:rPr>
          <w:rFonts w:cs="Times New Roman"/>
          <w:szCs w:val="24"/>
        </w:rPr>
        <w:t xml:space="preserve"> an Interim Safety Community of Interest in 2016 to serve as a prototype moving forward for how to standardize and integrate safety data at the agency level. This prototype builds on and incorporates in the work already completed on creating </w:t>
      </w:r>
      <w:r w:rsidRPr="00EB7676">
        <w:rPr>
          <w:rFonts w:cs="Times New Roman"/>
          <w:szCs w:val="24"/>
        </w:rPr>
        <w:lastRenderedPageBreak/>
        <w:t>standardized taxonomies and determining the skills needed for safety analysts</w:t>
      </w:r>
      <w:r w:rsidRPr="00755A6B">
        <w:rPr>
          <w:rFonts w:cs="Times New Roman"/>
        </w:rPr>
        <w:t>. It merges the original taxonomy and access to data activities into one integrated activity.</w:t>
      </w:r>
    </w:p>
    <w:p w14:paraId="733F75F9" w14:textId="77777777" w:rsidR="00411E77" w:rsidRPr="009619C3" w:rsidRDefault="00411E77" w:rsidP="00CE4D0E">
      <w:pPr>
        <w:pStyle w:val="Heading4"/>
      </w:pPr>
      <w:r w:rsidRPr="009619C3">
        <w:t>Next Steps</w:t>
      </w:r>
    </w:p>
    <w:p w14:paraId="649DD1F5" w14:textId="77777777" w:rsidR="00411E77" w:rsidRDefault="00411E77" w:rsidP="00411E77">
      <w:pPr>
        <w:spacing w:before="100" w:after="120" w:line="240" w:lineRule="auto"/>
        <w:rPr>
          <w:rFonts w:cs="Times New Roman"/>
          <w:color w:val="000000"/>
        </w:rPr>
      </w:pPr>
      <w:r w:rsidRPr="009D1008">
        <w:rPr>
          <w:rFonts w:cs="Times New Roman"/>
          <w:b/>
        </w:rPr>
        <w:t>Transitioning to a Compliance Philosophy:</w:t>
      </w:r>
      <w:r w:rsidRPr="009D1008">
        <w:rPr>
          <w:rFonts w:cs="Times New Roman"/>
        </w:rPr>
        <w:t xml:space="preserve"> As aviation evolves, the FAA’s oversight model must evolve with it. The FAA’s new philosophy on compliance is one of the key activities under </w:t>
      </w:r>
      <w:r>
        <w:rPr>
          <w:rFonts w:cs="Times New Roman"/>
        </w:rPr>
        <w:t xml:space="preserve">the </w:t>
      </w:r>
      <w:r w:rsidRPr="009D1008">
        <w:rPr>
          <w:rFonts w:cs="Times New Roman"/>
        </w:rPr>
        <w:t>Risk-Based Decision Making</w:t>
      </w:r>
      <w:r>
        <w:rPr>
          <w:rFonts w:cs="Times New Roman"/>
        </w:rPr>
        <w:t xml:space="preserve"> initiative</w:t>
      </w:r>
      <w:r w:rsidRPr="009D1008">
        <w:rPr>
          <w:rFonts w:cs="Times New Roman"/>
        </w:rPr>
        <w:t xml:space="preserve">. This </w:t>
      </w:r>
      <w:r>
        <w:rPr>
          <w:rFonts w:cs="Times New Roman"/>
        </w:rPr>
        <w:t xml:space="preserve">new </w:t>
      </w:r>
      <w:r w:rsidRPr="009D1008">
        <w:rPr>
          <w:rFonts w:cs="Times New Roman"/>
        </w:rPr>
        <w:t xml:space="preserve">approach </w:t>
      </w:r>
      <w:r>
        <w:rPr>
          <w:rFonts w:cs="Times New Roman"/>
        </w:rPr>
        <w:t>ensures</w:t>
      </w:r>
      <w:r w:rsidRPr="009D1008">
        <w:rPr>
          <w:rFonts w:cs="Times New Roman"/>
        </w:rPr>
        <w:t xml:space="preserve"> that FAA decisions affecting industry are made with safety risk fully considered and that oversight models are properly aligned with SMS in industry organizations. It</w:t>
      </w:r>
      <w:r>
        <w:rPr>
          <w:rFonts w:cs="Times New Roman"/>
        </w:rPr>
        <w:t xml:space="preserve"> is</w:t>
      </w:r>
      <w:r w:rsidRPr="009D1008">
        <w:rPr>
          <w:rFonts w:cs="Times New Roman"/>
        </w:rPr>
        <w:t xml:space="preserve"> fully understood that the revised model will require a cultural change in how the FAA views and conducts oversight. In support of this change, </w:t>
      </w:r>
      <w:r>
        <w:rPr>
          <w:rFonts w:cs="Times New Roman"/>
        </w:rPr>
        <w:t>FAA</w:t>
      </w:r>
      <w:r w:rsidRPr="009D1008">
        <w:rPr>
          <w:rFonts w:cs="Times New Roman"/>
          <w:color w:val="000000"/>
        </w:rPr>
        <w:t xml:space="preserve"> </w:t>
      </w:r>
      <w:r>
        <w:rPr>
          <w:rFonts w:cs="Times New Roman"/>
          <w:color w:val="000000"/>
        </w:rPr>
        <w:t>i</w:t>
      </w:r>
      <w:r w:rsidRPr="00C02235">
        <w:rPr>
          <w:rFonts w:cs="Times New Roman"/>
          <w:color w:val="000000"/>
        </w:rPr>
        <w:t>nt</w:t>
      </w:r>
      <w:r>
        <w:rPr>
          <w:rFonts w:cs="Times New Roman"/>
          <w:color w:val="000000"/>
        </w:rPr>
        <w:t xml:space="preserve">roduced and implemented the FAA </w:t>
      </w:r>
      <w:r w:rsidRPr="00C02235">
        <w:rPr>
          <w:rFonts w:cs="Times New Roman"/>
          <w:color w:val="000000"/>
        </w:rPr>
        <w:t>Compliance Philosophy, providing the overarching guidance for implementing the agency’s strategic safety oversight approach. The approach emphasizes the accountability of all s</w:t>
      </w:r>
      <w:r>
        <w:rPr>
          <w:rFonts w:cs="Times New Roman"/>
          <w:color w:val="000000"/>
        </w:rPr>
        <w:t>takeholders but concentrates</w:t>
      </w:r>
      <w:r w:rsidRPr="00C02235">
        <w:rPr>
          <w:rFonts w:cs="Times New Roman"/>
          <w:color w:val="000000"/>
        </w:rPr>
        <w:t xml:space="preserve"> energy and resources on safety risk and problem solving. </w:t>
      </w:r>
      <w:r w:rsidRPr="009D1008">
        <w:rPr>
          <w:rFonts w:cs="Times New Roman"/>
          <w:color w:val="000000"/>
        </w:rPr>
        <w:t xml:space="preserve">Using this approach, the FAA and industry will cooperate to actively manage </w:t>
      </w:r>
      <w:r>
        <w:rPr>
          <w:rFonts w:cs="Times New Roman"/>
          <w:color w:val="000000"/>
        </w:rPr>
        <w:t xml:space="preserve">safety </w:t>
      </w:r>
      <w:r w:rsidRPr="009D1008">
        <w:rPr>
          <w:rFonts w:cs="Times New Roman"/>
          <w:color w:val="000000"/>
        </w:rPr>
        <w:t>risk in the aerospace system. FAA oversight decisions (frequency, depth, and focus) w</w:t>
      </w:r>
      <w:r>
        <w:rPr>
          <w:rFonts w:cs="Times New Roman"/>
          <w:color w:val="000000"/>
        </w:rPr>
        <w:t xml:space="preserve">ill be based on safety risk and the </w:t>
      </w:r>
      <w:r w:rsidRPr="009D1008">
        <w:rPr>
          <w:rFonts w:cs="Times New Roman"/>
          <w:color w:val="000000"/>
        </w:rPr>
        <w:t>performance</w:t>
      </w:r>
      <w:r>
        <w:rPr>
          <w:rFonts w:cs="Times New Roman"/>
          <w:color w:val="000000"/>
        </w:rPr>
        <w:t xml:space="preserve"> of industry organizations</w:t>
      </w:r>
      <w:r w:rsidRPr="009D1008">
        <w:rPr>
          <w:rFonts w:cs="Times New Roman"/>
          <w:color w:val="000000"/>
        </w:rPr>
        <w:t>, and oversight resources will be focused on areas of highest safety risk.</w:t>
      </w:r>
    </w:p>
    <w:p w14:paraId="158C91A0" w14:textId="695B7DFB" w:rsidR="00411E77" w:rsidRPr="009D1008" w:rsidRDefault="00411E77" w:rsidP="00411E77">
      <w:pPr>
        <w:spacing w:before="100" w:after="120" w:line="240" w:lineRule="auto"/>
        <w:rPr>
          <w:rFonts w:cs="Times New Roman"/>
          <w:color w:val="000000"/>
        </w:rPr>
      </w:pPr>
      <w:r w:rsidRPr="009D1008">
        <w:rPr>
          <w:rFonts w:cs="Times New Roman"/>
          <w:b/>
        </w:rPr>
        <w:t xml:space="preserve">Identifying and Addressing Significant Safety Issues: </w:t>
      </w:r>
      <w:r w:rsidRPr="009D1008">
        <w:rPr>
          <w:rFonts w:cs="Times New Roman"/>
          <w:color w:val="000000"/>
        </w:rPr>
        <w:t xml:space="preserve">The FAA </w:t>
      </w:r>
      <w:r w:rsidR="00EB7676">
        <w:rPr>
          <w:rFonts w:cs="Times New Roman"/>
          <w:color w:val="000000"/>
        </w:rPr>
        <w:t>identifies</w:t>
      </w:r>
      <w:r w:rsidRPr="009D1008">
        <w:rPr>
          <w:rFonts w:cs="Times New Roman"/>
          <w:color w:val="000000"/>
        </w:rPr>
        <w:t xml:space="preserve"> </w:t>
      </w:r>
      <w:r>
        <w:rPr>
          <w:rFonts w:cs="Times New Roman"/>
          <w:color w:val="000000"/>
        </w:rPr>
        <w:t xml:space="preserve">and </w:t>
      </w:r>
      <w:r w:rsidRPr="009D1008">
        <w:rPr>
          <w:rFonts w:cs="Times New Roman"/>
          <w:color w:val="000000"/>
        </w:rPr>
        <w:t>prioritize</w:t>
      </w:r>
      <w:r w:rsidR="00EB7676">
        <w:rPr>
          <w:rFonts w:cs="Times New Roman"/>
          <w:color w:val="000000"/>
        </w:rPr>
        <w:t>s</w:t>
      </w:r>
      <w:r w:rsidRPr="009D1008">
        <w:rPr>
          <w:rFonts w:cs="Times New Roman"/>
          <w:color w:val="000000"/>
        </w:rPr>
        <w:t xml:space="preserve"> cross-organizational Significant Safety Issu</w:t>
      </w:r>
      <w:r w:rsidR="00EB7676">
        <w:rPr>
          <w:rFonts w:cs="Times New Roman"/>
          <w:color w:val="000000"/>
        </w:rPr>
        <w:t>es (SSIs). E</w:t>
      </w:r>
      <w:r w:rsidRPr="009D1008">
        <w:rPr>
          <w:rFonts w:cs="Times New Roman"/>
          <w:color w:val="000000"/>
        </w:rPr>
        <w:t xml:space="preserve">ach </w:t>
      </w:r>
      <w:r>
        <w:rPr>
          <w:rFonts w:cs="Times New Roman"/>
          <w:color w:val="000000"/>
        </w:rPr>
        <w:t xml:space="preserve">FAA </w:t>
      </w:r>
      <w:r w:rsidR="00EB7676">
        <w:rPr>
          <w:rFonts w:cs="Times New Roman"/>
          <w:color w:val="000000"/>
        </w:rPr>
        <w:t>Line of Business (LOB) is expected to</w:t>
      </w:r>
      <w:r w:rsidRPr="009D1008">
        <w:rPr>
          <w:rFonts w:cs="Times New Roman"/>
          <w:color w:val="000000"/>
        </w:rPr>
        <w:t xml:space="preserve"> identify SSIs within their area of responsibility and</w:t>
      </w:r>
      <w:r w:rsidRPr="009D1008">
        <w:t xml:space="preserve"> </w:t>
      </w:r>
      <w:r w:rsidRPr="009D1008">
        <w:rPr>
          <w:rFonts w:cs="Times New Roman"/>
          <w:color w:val="000000"/>
        </w:rPr>
        <w:t>submit a sub</w:t>
      </w:r>
      <w:r w:rsidR="00EB7676">
        <w:rPr>
          <w:rFonts w:cs="Times New Roman"/>
          <w:color w:val="000000"/>
        </w:rPr>
        <w:t>set of those issues for FAA executive</w:t>
      </w:r>
      <w:r w:rsidRPr="009D1008">
        <w:rPr>
          <w:rFonts w:cs="Times New Roman"/>
          <w:color w:val="000000"/>
        </w:rPr>
        <w:t xml:space="preserve">-level consideration. </w:t>
      </w:r>
      <w:r>
        <w:rPr>
          <w:rFonts w:cs="Times New Roman"/>
          <w:color w:val="000000"/>
        </w:rPr>
        <w:t>These issues are</w:t>
      </w:r>
      <w:r w:rsidRPr="009D1008">
        <w:rPr>
          <w:rFonts w:cs="Times New Roman"/>
          <w:color w:val="000000"/>
        </w:rPr>
        <w:t xml:space="preserve"> consolidated and prioritized into an FAA </w:t>
      </w:r>
      <w:r w:rsidR="00EB7676">
        <w:rPr>
          <w:rFonts w:cs="Times New Roman"/>
          <w:color w:val="000000"/>
        </w:rPr>
        <w:t>SSI List. The purpose of the</w:t>
      </w:r>
      <w:r w:rsidRPr="009D1008">
        <w:rPr>
          <w:rFonts w:cs="Times New Roman"/>
          <w:color w:val="000000"/>
        </w:rPr>
        <w:t xml:space="preserve"> SSI list is to create a decision-making tool </w:t>
      </w:r>
      <w:r>
        <w:rPr>
          <w:rFonts w:cs="Times New Roman"/>
          <w:color w:val="000000"/>
        </w:rPr>
        <w:t xml:space="preserve">for </w:t>
      </w:r>
      <w:r w:rsidRPr="009D1008">
        <w:rPr>
          <w:rFonts w:cs="Times New Roman"/>
          <w:color w:val="000000"/>
        </w:rPr>
        <w:t xml:space="preserve">FAA executives and assist them in prioritizing the application of </w:t>
      </w:r>
      <w:r>
        <w:rPr>
          <w:rFonts w:cs="Times New Roman"/>
          <w:color w:val="000000"/>
        </w:rPr>
        <w:t xml:space="preserve">FAA </w:t>
      </w:r>
      <w:r w:rsidRPr="009D1008">
        <w:rPr>
          <w:rFonts w:cs="Times New Roman"/>
          <w:color w:val="000000"/>
        </w:rPr>
        <w:t>resources</w:t>
      </w:r>
      <w:r>
        <w:rPr>
          <w:rFonts w:cs="Times New Roman"/>
          <w:color w:val="000000"/>
        </w:rPr>
        <w:t xml:space="preserve"> based on safety risk</w:t>
      </w:r>
      <w:r w:rsidRPr="009D1008">
        <w:rPr>
          <w:rFonts w:cs="Times New Roman"/>
          <w:color w:val="000000"/>
        </w:rPr>
        <w:t xml:space="preserve">. </w:t>
      </w:r>
    </w:p>
    <w:p w14:paraId="4CBB7700" w14:textId="6EB73B9A" w:rsidR="00411E77" w:rsidRPr="009D1008" w:rsidRDefault="00EB7676" w:rsidP="00411E77">
      <w:pPr>
        <w:spacing w:before="100" w:after="120" w:line="240" w:lineRule="auto"/>
        <w:rPr>
          <w:rFonts w:cs="Times New Roman"/>
          <w:color w:val="000000"/>
        </w:rPr>
      </w:pPr>
      <w:r>
        <w:rPr>
          <w:rFonts w:cs="Times New Roman"/>
          <w:color w:val="000000"/>
        </w:rPr>
        <w:t xml:space="preserve">The </w:t>
      </w:r>
      <w:r w:rsidR="00411E77" w:rsidRPr="009D1008">
        <w:rPr>
          <w:rFonts w:cs="Times New Roman"/>
          <w:color w:val="000000"/>
        </w:rPr>
        <w:t xml:space="preserve">SSI List contains crosscutting issues, which means that the issues are potentially systemic and would be most effectively treated by cross-organizational teams. An issue is considered crosscutting if it could affect more than one FAA organization, or if its mitigations require more than one FAA organization to implement. SSIs can indicate ineffective performance and their identification and prioritization will support management's decision making to implement necessary improvements in the system. This process will also increase cross-organizational communication and awareness.  </w:t>
      </w:r>
    </w:p>
    <w:p w14:paraId="4ED1069A" w14:textId="62A8A4BE" w:rsidR="00411E77" w:rsidRDefault="00EB7676" w:rsidP="00411E77">
      <w:pPr>
        <w:spacing w:after="240" w:line="240" w:lineRule="auto"/>
      </w:pPr>
      <w:r>
        <w:rPr>
          <w:rFonts w:cs="Times New Roman"/>
          <w:color w:val="000000"/>
        </w:rPr>
        <w:t xml:space="preserve">The </w:t>
      </w:r>
      <w:r w:rsidR="00411E77" w:rsidRPr="009D1008">
        <w:rPr>
          <w:rFonts w:cs="Times New Roman"/>
          <w:color w:val="000000"/>
        </w:rPr>
        <w:t>SSI List</w:t>
      </w:r>
      <w:r w:rsidR="00411E77">
        <w:rPr>
          <w:rFonts w:cs="Times New Roman"/>
          <w:color w:val="000000"/>
        </w:rPr>
        <w:t xml:space="preserve"> </w:t>
      </w:r>
      <w:r w:rsidR="00411E77" w:rsidRPr="009D1008">
        <w:rPr>
          <w:rFonts w:cs="Times New Roman"/>
          <w:color w:val="000000"/>
        </w:rPr>
        <w:t xml:space="preserve">will be updated annually. Once the list is finalized, safety assessment teams will be established to conduct Safety Risk Management (SRM) on the issues in the priority established by the list. In 2016, </w:t>
      </w:r>
      <w:r w:rsidR="00411E77">
        <w:t xml:space="preserve">FAA conducted a safety risk assessment on Misloaded Cargo. </w:t>
      </w:r>
      <w:r w:rsidR="00411E77" w:rsidRPr="00EB5E1A">
        <w:t>The assessment was focused on Part 121 certificated air cargo supplemental operators, which include cargo loaded on pallets and unit load devices (ULDs), as well as bulk and special cargo.</w:t>
      </w:r>
      <w:r w:rsidR="00411E77">
        <w:t xml:space="preserve"> </w:t>
      </w:r>
      <w:r w:rsidR="00411E77" w:rsidRPr="00667B4A">
        <w:t>The FAA SSI Team selected three SSIs to focus on in FY17—Runway Incursions, Inflight Pilot Report (PIREP) Collection and Dissemination, and Potential of Carry-on/Checked Passenger Devices to Cause Fire/Heat/Smoke Incident.</w:t>
      </w:r>
    </w:p>
    <w:p w14:paraId="43F72659" w14:textId="77777777" w:rsidR="00411E77" w:rsidRDefault="00411E77" w:rsidP="00411E77">
      <w:pPr>
        <w:spacing w:after="240" w:line="240" w:lineRule="auto"/>
      </w:pPr>
      <w:r w:rsidRPr="009D1008">
        <w:rPr>
          <w:rFonts w:cs="Times New Roman"/>
          <w:b/>
        </w:rPr>
        <w:t>Hazard Identification, Risk Management &amp; Tracking Tool:</w:t>
      </w:r>
      <w:r>
        <w:rPr>
          <w:rFonts w:cs="Times New Roman"/>
          <w:color w:val="000000"/>
        </w:rPr>
        <w:t xml:space="preserve"> </w:t>
      </w:r>
      <w:r w:rsidRPr="00D644F2">
        <w:rPr>
          <w:rFonts w:cs="Times New Roman"/>
          <w:color w:val="000000"/>
        </w:rPr>
        <w:t xml:space="preserve">With the increasing complexity and interconnectivity of the National Airspace System (NAS), the FAA </w:t>
      </w:r>
      <w:r>
        <w:rPr>
          <w:rFonts w:cs="Times New Roman"/>
          <w:color w:val="000000"/>
        </w:rPr>
        <w:t xml:space="preserve">identified the </w:t>
      </w:r>
      <w:r w:rsidRPr="00D644F2">
        <w:rPr>
          <w:rFonts w:cs="Times New Roman"/>
          <w:color w:val="000000"/>
        </w:rPr>
        <w:t>need</w:t>
      </w:r>
      <w:r>
        <w:rPr>
          <w:rFonts w:cs="Times New Roman"/>
          <w:color w:val="000000"/>
        </w:rPr>
        <w:t xml:space="preserve"> for </w:t>
      </w:r>
      <w:r w:rsidRPr="00D644F2">
        <w:rPr>
          <w:rFonts w:cs="Times New Roman"/>
          <w:color w:val="000000"/>
        </w:rPr>
        <w:t xml:space="preserve">a single integrated tool that provides a consistent and standardized methodology to manage and track </w:t>
      </w:r>
      <w:r>
        <w:rPr>
          <w:rFonts w:cs="Times New Roman"/>
          <w:color w:val="000000"/>
        </w:rPr>
        <w:t>hazards</w:t>
      </w:r>
      <w:r w:rsidRPr="00D644F2">
        <w:rPr>
          <w:rFonts w:cs="Times New Roman"/>
          <w:color w:val="000000"/>
        </w:rPr>
        <w:t>.</w:t>
      </w:r>
      <w:r w:rsidRPr="00667B4A">
        <w:t xml:space="preserve"> </w:t>
      </w:r>
      <w:r w:rsidRPr="006234CA">
        <w:t xml:space="preserve">On March 25, 2016, the FAA launched </w:t>
      </w:r>
      <w:r>
        <w:t xml:space="preserve">the </w:t>
      </w:r>
      <w:r w:rsidRPr="006234CA">
        <w:t xml:space="preserve">Hazard Identification, Risk </w:t>
      </w:r>
      <w:r w:rsidRPr="006234CA">
        <w:lastRenderedPageBreak/>
        <w:t xml:space="preserve">Management and Tracking (HIRMT) </w:t>
      </w:r>
      <w:r>
        <w:t>t</w:t>
      </w:r>
      <w:r w:rsidRPr="006234CA">
        <w:t>ool, a web-based software tool to capture, manage, and report on safety issues affecting multiple LOBs and Staff Offices.</w:t>
      </w:r>
      <w:r>
        <w:t xml:space="preserve"> </w:t>
      </w:r>
    </w:p>
    <w:p w14:paraId="7B870D74" w14:textId="77777777" w:rsidR="00411E77" w:rsidRDefault="00411E77" w:rsidP="00411E77">
      <w:pPr>
        <w:spacing w:before="100" w:after="120" w:line="240" w:lineRule="auto"/>
        <w:rPr>
          <w:rFonts w:cs="Times New Roman"/>
          <w:color w:val="000000"/>
        </w:rPr>
      </w:pPr>
      <w:r>
        <w:rPr>
          <w:rFonts w:cs="Times New Roman"/>
          <w:color w:val="000000"/>
        </w:rPr>
        <w:t xml:space="preserve"> While m</w:t>
      </w:r>
      <w:r w:rsidRPr="00F8232E">
        <w:rPr>
          <w:rFonts w:cs="Times New Roman"/>
          <w:color w:val="000000"/>
        </w:rPr>
        <w:t>any organizations have hazard tracking systems in place, there has not been such a system at the FAA level. HIRMT is not intended to track every hazard across the entire FAA and will not replace existing organizational systems</w:t>
      </w:r>
      <w:r>
        <w:rPr>
          <w:rFonts w:cs="Times New Roman"/>
          <w:color w:val="000000"/>
        </w:rPr>
        <w:t xml:space="preserve"> and processes. Instead, FAA </w:t>
      </w:r>
      <w:r w:rsidRPr="00F8232E">
        <w:rPr>
          <w:rFonts w:cs="Times New Roman"/>
          <w:color w:val="000000"/>
        </w:rPr>
        <w:t xml:space="preserve">will use HIRMT to </w:t>
      </w:r>
      <w:r>
        <w:rPr>
          <w:rFonts w:cs="Times New Roman"/>
          <w:color w:val="000000"/>
        </w:rPr>
        <w:t xml:space="preserve">track </w:t>
      </w:r>
      <w:r w:rsidRPr="00F8232E">
        <w:rPr>
          <w:rFonts w:cs="Times New Roman"/>
          <w:color w:val="000000"/>
        </w:rPr>
        <w:t xml:space="preserve">safety management efforts for the agency’s most complex, critical, and/or cross-organizational safety </w:t>
      </w:r>
      <w:r>
        <w:rPr>
          <w:rFonts w:cs="Times New Roman"/>
          <w:color w:val="000000"/>
        </w:rPr>
        <w:t>concerns</w:t>
      </w:r>
      <w:r w:rsidRPr="00F8232E">
        <w:rPr>
          <w:rFonts w:cs="Times New Roman"/>
          <w:color w:val="000000"/>
        </w:rPr>
        <w:t>. These Aerospace System Level (ASL) safety issues will be managed in HIRMT in accordance with the FAA</w:t>
      </w:r>
      <w:r>
        <w:rPr>
          <w:rFonts w:cs="Times New Roman"/>
          <w:color w:val="000000"/>
        </w:rPr>
        <w:t>’s</w:t>
      </w:r>
      <w:r w:rsidRPr="00F8232E">
        <w:rPr>
          <w:rFonts w:cs="Times New Roman"/>
          <w:color w:val="000000"/>
        </w:rPr>
        <w:t xml:space="preserve"> Safety Risk Management Policy.</w:t>
      </w:r>
    </w:p>
    <w:p w14:paraId="2810654B" w14:textId="2B8F534A" w:rsidR="004C32B9" w:rsidRDefault="00411E77" w:rsidP="00411E77">
      <w:pPr>
        <w:spacing w:after="240" w:line="240" w:lineRule="auto"/>
      </w:pPr>
      <w:r>
        <w:rPr>
          <w:rFonts w:cs="Times New Roman"/>
          <w:color w:val="000000"/>
        </w:rPr>
        <w:t xml:space="preserve">FAA personnel are currently being trained on the use of the HIRMT tool. The plan is to evolve the tool to </w:t>
      </w:r>
      <w:r>
        <w:t xml:space="preserve">provide enhanced functionality for users. Since the tool was launched, </w:t>
      </w:r>
      <w:r w:rsidRPr="009D404D">
        <w:t xml:space="preserve">the team has </w:t>
      </w:r>
      <w:r>
        <w:t>released two updates. In fiscal year 2017, the goal is to implement data system enhancements that are best suited for interconnectivity with the HIRMT tool.</w:t>
      </w:r>
    </w:p>
    <w:p w14:paraId="63CA754A" w14:textId="77777777" w:rsidR="00411E77" w:rsidRPr="00362545" w:rsidRDefault="00411E77" w:rsidP="00411E77">
      <w:pPr>
        <w:spacing w:after="120" w:line="240" w:lineRule="auto"/>
        <w:rPr>
          <w:rFonts w:cs="Times New Roman"/>
          <w:szCs w:val="24"/>
        </w:rPr>
      </w:pPr>
      <w:r w:rsidRPr="00362545">
        <w:rPr>
          <w:rFonts w:cs="Times New Roman"/>
          <w:b/>
          <w:szCs w:val="24"/>
        </w:rPr>
        <w:t>Ongoing Air Traffic System Modernization:</w:t>
      </w:r>
      <w:r w:rsidRPr="00362545">
        <w:rPr>
          <w:rFonts w:cs="Times New Roman"/>
          <w:szCs w:val="24"/>
        </w:rPr>
        <w:t xml:space="preserve"> FAA will continue to develop and deploy technologies to use U.S. airspace in safer, more efficient, and more environmentally sound ways. NextGen is a comprehensive overhaul of our NAS to make air travel more convenient and dependable. NextGen is providing air traffic managers and pilots with the tools to proactively identify and mitigate weather and other potential flight conflicts. Automatic Dependent Surveillance-Broadcast, or ADS-B, moves air traffic control from ground-based radar surveillance to a point-to-point broadcast surveillance. </w:t>
      </w:r>
    </w:p>
    <w:p w14:paraId="213890B2" w14:textId="676066B4" w:rsidR="00411E77" w:rsidRPr="00411E77" w:rsidRDefault="00411E77" w:rsidP="00411E77">
      <w:pPr>
        <w:spacing w:after="120" w:line="240" w:lineRule="auto"/>
        <w:rPr>
          <w:rFonts w:cs="Times New Roman"/>
          <w:szCs w:val="24"/>
        </w:rPr>
      </w:pPr>
      <w:r w:rsidRPr="00362545">
        <w:rPr>
          <w:rFonts w:cs="Times New Roman"/>
          <w:b/>
          <w:szCs w:val="24"/>
        </w:rPr>
        <w:t>Runway Safety</w:t>
      </w:r>
      <w:r w:rsidR="00EB7676">
        <w:rPr>
          <w:rFonts w:cs="Times New Roman"/>
          <w:b/>
          <w:szCs w:val="24"/>
        </w:rPr>
        <w:t>:</w:t>
      </w:r>
      <w:r w:rsidRPr="00362545">
        <w:rPr>
          <w:rFonts w:cs="Times New Roman"/>
          <w:b/>
          <w:szCs w:val="24"/>
        </w:rPr>
        <w:t xml:space="preserve"> </w:t>
      </w:r>
      <w:r w:rsidR="00EB7676">
        <w:rPr>
          <w:rFonts w:cs="Times New Roman"/>
          <w:szCs w:val="24"/>
        </w:rPr>
        <w:t>In 2018, t</w:t>
      </w:r>
      <w:r w:rsidRPr="00411E77">
        <w:rPr>
          <w:rFonts w:cs="Times New Roman"/>
          <w:szCs w:val="24"/>
        </w:rPr>
        <w:t>he FAA p</w:t>
      </w:r>
      <w:r w:rsidR="00EB7676">
        <w:rPr>
          <w:rFonts w:cs="Times New Roman"/>
          <w:szCs w:val="24"/>
        </w:rPr>
        <w:t>lans to complete</w:t>
      </w:r>
      <w:r w:rsidRPr="00411E77">
        <w:rPr>
          <w:rFonts w:cs="Times New Roman"/>
          <w:szCs w:val="24"/>
        </w:rPr>
        <w:t xml:space="preserve"> the transition from a reactive, event-based safety system to a proactive, risk-based system that incorporates the safety policies, culture, risk management, promotional, and analytical tools available in the </w:t>
      </w:r>
      <w:r w:rsidR="00EB7676">
        <w:rPr>
          <w:rFonts w:cs="Times New Roman"/>
          <w:szCs w:val="24"/>
        </w:rPr>
        <w:t>Safety Management System.</w:t>
      </w:r>
    </w:p>
    <w:p w14:paraId="1213C100" w14:textId="77777777" w:rsidR="00411E77" w:rsidRPr="00411E77" w:rsidRDefault="00411E77" w:rsidP="00411E77">
      <w:pPr>
        <w:spacing w:after="120" w:line="240" w:lineRule="auto"/>
        <w:rPr>
          <w:rFonts w:cs="Times New Roman"/>
          <w:szCs w:val="24"/>
        </w:rPr>
      </w:pPr>
      <w:r w:rsidRPr="00411E77">
        <w:rPr>
          <w:rFonts w:cs="Times New Roman"/>
          <w:szCs w:val="24"/>
        </w:rPr>
        <w:t xml:space="preserve">The increasing capability of the Safety Management System will be matched by the development of risk-based operational metrics that support the identification of interacting hazards among system components and can classify the interdependencies created by these interactions. Surface safety metrics that identify the underlying linear, non-linear, static, and dynamic integrated risk characteristics will enable the development of organizational risk registers and allow the agency to effectively model future states. </w:t>
      </w:r>
    </w:p>
    <w:p w14:paraId="7DCEEC1D" w14:textId="358A3A1C" w:rsidR="004C32B9" w:rsidRDefault="00411E77" w:rsidP="00520061">
      <w:pPr>
        <w:spacing w:after="120" w:line="240" w:lineRule="auto"/>
        <w:rPr>
          <w:rFonts w:cs="Times New Roman"/>
          <w:szCs w:val="24"/>
        </w:rPr>
      </w:pPr>
      <w:r w:rsidRPr="00411E77">
        <w:rPr>
          <w:rFonts w:cs="Times New Roman"/>
          <w:szCs w:val="24"/>
        </w:rPr>
        <w:t>In addition, the transition is dependent on the development of a portfolio-based approach to runway safety that incorporates risk-based decision making. The FAA has made this work a priority in 2017, fo</w:t>
      </w:r>
      <w:r w:rsidR="00EB7676">
        <w:rPr>
          <w:rFonts w:cs="Times New Roman"/>
          <w:szCs w:val="24"/>
        </w:rPr>
        <w:t>cusing on the development of risk-based</w:t>
      </w:r>
      <w:r w:rsidRPr="00411E77">
        <w:rPr>
          <w:rFonts w:cs="Times New Roman"/>
          <w:szCs w:val="24"/>
        </w:rPr>
        <w:t xml:space="preserve"> interagency</w:t>
      </w:r>
      <w:r w:rsidR="00EB7676">
        <w:rPr>
          <w:rFonts w:cs="Times New Roman"/>
          <w:szCs w:val="24"/>
        </w:rPr>
        <w:t>,</w:t>
      </w:r>
      <w:r w:rsidRPr="00411E77">
        <w:rPr>
          <w:rFonts w:cs="Times New Roman"/>
          <w:szCs w:val="24"/>
        </w:rPr>
        <w:t xml:space="preserve"> strategic</w:t>
      </w:r>
      <w:r w:rsidR="00EB7676">
        <w:rPr>
          <w:rFonts w:cs="Times New Roman"/>
          <w:szCs w:val="24"/>
        </w:rPr>
        <w:t>, safety</w:t>
      </w:r>
      <w:r w:rsidRPr="00411E77">
        <w:rPr>
          <w:rFonts w:cs="Times New Roman"/>
          <w:szCs w:val="24"/>
        </w:rPr>
        <w:t xml:space="preserve"> proc</w:t>
      </w:r>
      <w:r w:rsidR="00EB7676">
        <w:rPr>
          <w:rFonts w:cs="Times New Roman"/>
          <w:szCs w:val="24"/>
        </w:rPr>
        <w:t>esses</w:t>
      </w:r>
      <w:r w:rsidRPr="00411E77">
        <w:rPr>
          <w:rFonts w:cs="Times New Roman"/>
          <w:szCs w:val="24"/>
        </w:rPr>
        <w:t>, using multiple data sources and stakeholder subject matter experts to assess current risk and establish relevant metrics that measure the reduction in risk.</w:t>
      </w:r>
      <w:r w:rsidRPr="004B60B3">
        <w:rPr>
          <w:rFonts w:cs="Times New Roman"/>
          <w:szCs w:val="24"/>
        </w:rPr>
        <w:t xml:space="preserve"> </w:t>
      </w:r>
    </w:p>
    <w:p w14:paraId="2139BF6E" w14:textId="59B4F422" w:rsidR="00126FC5" w:rsidRPr="009619C3" w:rsidRDefault="004C3B1C" w:rsidP="00EB7676">
      <w:pPr>
        <w:pStyle w:val="Heading2"/>
        <w:spacing w:after="240"/>
      </w:pPr>
      <w:bookmarkStart w:id="16" w:name="_Toc483414858"/>
      <w:bookmarkEnd w:id="14"/>
      <w:r w:rsidRPr="009619C3">
        <w:t>Railroad</w:t>
      </w:r>
      <w:r w:rsidR="00126FC5" w:rsidRPr="009619C3">
        <w:t xml:space="preserve"> Safety</w:t>
      </w:r>
      <w:r w:rsidR="00495AB7">
        <w:t xml:space="preserve"> (FRA)</w:t>
      </w:r>
      <w:bookmarkEnd w:id="16"/>
    </w:p>
    <w:p w14:paraId="04B7F118" w14:textId="3E435EEA" w:rsidR="000A3F2D" w:rsidRDefault="0024563F" w:rsidP="009619C3">
      <w:pPr>
        <w:spacing w:before="120" w:after="120" w:line="240" w:lineRule="auto"/>
      </w:pPr>
      <w:r w:rsidRPr="006F3519">
        <w:t>FRA’s mission is to enable the safe, reliable, and efficient movement of people and goods for a strong America, now and in the future.  FRA executes this mission through development and enforcement of safety regulations, investment in passenger and freight rail services and infrastructure, and research and technology development.</w:t>
      </w:r>
      <w:r>
        <w:t xml:space="preserve"> </w:t>
      </w:r>
      <w:r w:rsidRPr="00362545">
        <w:t xml:space="preserve">FRA’s activities, and those of the rail industry, have resulted in </w:t>
      </w:r>
      <w:r w:rsidR="000A3F2D">
        <w:t>one of the safest decades ever.</w:t>
      </w:r>
      <w:r w:rsidR="00C10B92" w:rsidRPr="00C10B92">
        <w:t xml:space="preserve"> However, the rate of improvement has </w:t>
      </w:r>
      <w:r w:rsidR="00C10B92" w:rsidRPr="00C10B92">
        <w:lastRenderedPageBreak/>
        <w:t>leveled off and new approaches that build on existing strategies are needed for future performance gains.</w:t>
      </w:r>
    </w:p>
    <w:p w14:paraId="43C4E55A" w14:textId="77777777" w:rsidR="003F6A9F" w:rsidRPr="007D0D2C" w:rsidRDefault="003F6A9F" w:rsidP="003F6A9F">
      <w:pPr>
        <w:spacing w:before="240" w:after="0" w:line="240" w:lineRule="auto"/>
        <w:ind w:left="720"/>
        <w:jc w:val="center"/>
        <w:rPr>
          <w:rFonts w:eastAsia="Times New Roman" w:cs="Times New Roman"/>
          <w:color w:val="000000"/>
          <w:szCs w:val="24"/>
        </w:rPr>
      </w:pPr>
      <w:r w:rsidRPr="00CD403E">
        <w:rPr>
          <w:rFonts w:asciiTheme="majorHAnsi" w:hAnsiTheme="majorHAnsi" w:cs="Arial"/>
          <w:b/>
          <w:color w:val="000000"/>
          <w:szCs w:val="24"/>
        </w:rPr>
        <w:t>Train Accid</w:t>
      </w:r>
      <w:r>
        <w:rPr>
          <w:rFonts w:asciiTheme="majorHAnsi" w:hAnsiTheme="majorHAnsi" w:cs="Arial"/>
          <w:b/>
          <w:color w:val="000000"/>
          <w:szCs w:val="24"/>
        </w:rPr>
        <w:t>ents and Incidents (1980 to 2015</w:t>
      </w:r>
      <w:r w:rsidRPr="00CD403E">
        <w:rPr>
          <w:rFonts w:asciiTheme="majorHAnsi" w:hAnsiTheme="majorHAnsi" w:cs="Arial"/>
          <w:b/>
          <w:color w:val="000000"/>
          <w:szCs w:val="24"/>
        </w:rPr>
        <w:t>)</w:t>
      </w:r>
    </w:p>
    <w:p w14:paraId="6D070992" w14:textId="77777777" w:rsidR="003F6A9F" w:rsidRDefault="003F6A9F" w:rsidP="003F6A9F">
      <w:pPr>
        <w:spacing w:before="120" w:after="0" w:line="240" w:lineRule="auto"/>
        <w:rPr>
          <w:rFonts w:cs="Times New Roman"/>
          <w:szCs w:val="24"/>
        </w:rPr>
      </w:pPr>
      <w:r w:rsidRPr="006C3BCA">
        <w:rPr>
          <w:rFonts w:asciiTheme="majorHAnsi" w:hAnsiTheme="majorHAnsi" w:cs="Arial"/>
          <w:noProof/>
          <w:sz w:val="18"/>
          <w:szCs w:val="18"/>
        </w:rPr>
        <w:drawing>
          <wp:inline distT="0" distB="0" distL="0" distR="0" wp14:anchorId="73FFF310" wp14:editId="3D1CA7EC">
            <wp:extent cx="5198745" cy="2697480"/>
            <wp:effectExtent l="114300" t="114300" r="116205" b="121920"/>
            <wp:docPr id="152" name="Chart 152" descr="Line chart shows a steady decrease in train accidents and incidents from a high of 110.6 per million train-miles in 1980 to 15.7 per million train miles in 2014." title="Train Accidents and Incidents (1980 to 20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479B20" w14:textId="3EA707A2" w:rsidR="0024563F" w:rsidRDefault="00BE6EE3" w:rsidP="003F6A9F">
      <w:pPr>
        <w:spacing w:before="120" w:after="0" w:line="240" w:lineRule="auto"/>
        <w:rPr>
          <w:rFonts w:cs="Times New Roman"/>
          <w:szCs w:val="24"/>
        </w:rPr>
      </w:pPr>
      <w:r>
        <w:rPr>
          <w:rFonts w:cs="Times New Roman"/>
          <w:szCs w:val="24"/>
        </w:rPr>
        <w:t>These results are</w:t>
      </w:r>
      <w:r w:rsidR="0024563F" w:rsidRPr="00AF1784">
        <w:rPr>
          <w:rFonts w:cs="Times New Roman"/>
          <w:szCs w:val="24"/>
        </w:rPr>
        <w:t xml:space="preserve"> noteworthy because more Americans are choo</w:t>
      </w:r>
      <w:r>
        <w:rPr>
          <w:rFonts w:cs="Times New Roman"/>
          <w:szCs w:val="24"/>
        </w:rPr>
        <w:t xml:space="preserve">sing rail transportation. </w:t>
      </w:r>
      <w:r w:rsidR="00195A8C">
        <w:rPr>
          <w:rFonts w:cs="Times New Roman"/>
          <w:szCs w:val="24"/>
        </w:rPr>
        <w:t xml:space="preserve">Amtrak ridership reached </w:t>
      </w:r>
      <w:r w:rsidRPr="00BE6EE3">
        <w:rPr>
          <w:rFonts w:cs="Times New Roman"/>
          <w:szCs w:val="24"/>
        </w:rPr>
        <w:t>30.8 million passengers in FY 2015, almost 29 percent higher than in FY 2005</w:t>
      </w:r>
      <w:r>
        <w:rPr>
          <w:rFonts w:cs="Times New Roman"/>
          <w:szCs w:val="24"/>
        </w:rPr>
        <w:t>.</w:t>
      </w:r>
      <w:r w:rsidR="0024563F" w:rsidRPr="00AF1784">
        <w:rPr>
          <w:rFonts w:cs="Times New Roman"/>
          <w:szCs w:val="24"/>
        </w:rPr>
        <w:t xml:space="preserve"> In addition, U.S. rail inter</w:t>
      </w:r>
      <w:r w:rsidR="00195A8C">
        <w:rPr>
          <w:rFonts w:cs="Times New Roman"/>
          <w:szCs w:val="24"/>
        </w:rPr>
        <w:t>modal freigh</w:t>
      </w:r>
      <w:r>
        <w:rPr>
          <w:rFonts w:cs="Times New Roman"/>
          <w:szCs w:val="24"/>
        </w:rPr>
        <w:t>t traffic in FY 2015 exceeded 13.7</w:t>
      </w:r>
      <w:r w:rsidR="0024563F" w:rsidRPr="00AF1784">
        <w:rPr>
          <w:rFonts w:cs="Times New Roman"/>
          <w:szCs w:val="24"/>
        </w:rPr>
        <w:t xml:space="preserve"> million co</w:t>
      </w:r>
      <w:r>
        <w:rPr>
          <w:rFonts w:cs="Times New Roman"/>
          <w:szCs w:val="24"/>
        </w:rPr>
        <w:t>ntainers and trailers—1.6</w:t>
      </w:r>
      <w:r w:rsidR="0024563F" w:rsidRPr="00AF1784">
        <w:rPr>
          <w:rFonts w:cs="Times New Roman"/>
          <w:szCs w:val="24"/>
        </w:rPr>
        <w:t xml:space="preserve"> percent more than FY </w:t>
      </w:r>
      <w:r>
        <w:rPr>
          <w:rFonts w:cs="Times New Roman"/>
          <w:szCs w:val="24"/>
        </w:rPr>
        <w:t>2014</w:t>
      </w:r>
      <w:r w:rsidR="0024563F" w:rsidRPr="00AF1784">
        <w:rPr>
          <w:rFonts w:cs="Times New Roman"/>
          <w:szCs w:val="24"/>
        </w:rPr>
        <w:t>.</w:t>
      </w:r>
    </w:p>
    <w:p w14:paraId="62FA64E1" w14:textId="4C17EE23" w:rsidR="0024563F" w:rsidRPr="00362545" w:rsidRDefault="00BE6EE3" w:rsidP="003F6A9F">
      <w:pPr>
        <w:spacing w:before="120" w:after="0" w:line="240" w:lineRule="auto"/>
        <w:rPr>
          <w:rFonts w:cs="Times New Roman"/>
          <w:szCs w:val="24"/>
        </w:rPr>
      </w:pPr>
      <w:r w:rsidRPr="00BE6EE3">
        <w:rPr>
          <w:rFonts w:cs="Times New Roman"/>
          <w:szCs w:val="24"/>
        </w:rPr>
        <w:t>Although FRA does not have the final safety performance data for FY 2016, significant risks remain in the rail transportation system.  The rate of safety improvement has slowed and current safety strategies are approachi</w:t>
      </w:r>
      <w:r>
        <w:rPr>
          <w:rFonts w:cs="Times New Roman"/>
          <w:szCs w:val="24"/>
        </w:rPr>
        <w:t>ng their effectiveness limits. In particular, t</w:t>
      </w:r>
      <w:r w:rsidRPr="00BE6EE3">
        <w:rPr>
          <w:rFonts w:cs="Times New Roman"/>
          <w:szCs w:val="24"/>
        </w:rPr>
        <w:t>he risk of highway-rail grade crossing incidents will likely grow with future train and highway traffic increases.</w:t>
      </w:r>
      <w:r>
        <w:rPr>
          <w:rFonts w:cs="Times New Roman"/>
          <w:szCs w:val="24"/>
        </w:rPr>
        <w:t xml:space="preserve"> </w:t>
      </w:r>
      <w:r w:rsidR="0024563F">
        <w:rPr>
          <w:rFonts w:cs="Times New Roman"/>
          <w:szCs w:val="24"/>
        </w:rPr>
        <w:t>Priority rail s</w:t>
      </w:r>
      <w:r w:rsidR="00195A8C">
        <w:rPr>
          <w:rFonts w:cs="Times New Roman"/>
          <w:szCs w:val="24"/>
        </w:rPr>
        <w:t>afety activities for FRA in 2016</w:t>
      </w:r>
      <w:r w:rsidR="0024563F" w:rsidRPr="00362545">
        <w:rPr>
          <w:rFonts w:cs="Times New Roman"/>
          <w:szCs w:val="24"/>
        </w:rPr>
        <w:t xml:space="preserve"> include</w:t>
      </w:r>
      <w:r w:rsidR="0024563F">
        <w:rPr>
          <w:rFonts w:cs="Times New Roman"/>
          <w:szCs w:val="24"/>
        </w:rPr>
        <w:t>d</w:t>
      </w:r>
      <w:r w:rsidR="0024563F" w:rsidRPr="00362545">
        <w:rPr>
          <w:rFonts w:cs="Times New Roman"/>
          <w:szCs w:val="24"/>
        </w:rPr>
        <w:t>:</w:t>
      </w:r>
    </w:p>
    <w:p w14:paraId="677681AA" w14:textId="019E554A" w:rsidR="00900BFD" w:rsidRDefault="0024563F" w:rsidP="003F6A9F">
      <w:pPr>
        <w:pStyle w:val="ListParagraph"/>
        <w:numPr>
          <w:ilvl w:val="0"/>
          <w:numId w:val="66"/>
        </w:numPr>
        <w:spacing w:before="120"/>
      </w:pPr>
      <w:r>
        <w:t xml:space="preserve">Leading a multimodal, DOT campaign to strengthen safety awareness and enforcement </w:t>
      </w:r>
      <w:r w:rsidR="00195A8C">
        <w:t>at highway-rail grade crossings including a</w:t>
      </w:r>
      <w:r>
        <w:t xml:space="preserve"> focus on smart use of technology; awareness about the most dangerous crossings in each state; improved signage, and partnerships with States and local safety agencies.</w:t>
      </w:r>
    </w:p>
    <w:p w14:paraId="7932D420" w14:textId="77777777" w:rsidR="00BE6EE3" w:rsidRDefault="0024563F" w:rsidP="00BE6EE3">
      <w:pPr>
        <w:pStyle w:val="ListParagraph"/>
        <w:numPr>
          <w:ilvl w:val="0"/>
          <w:numId w:val="8"/>
        </w:numPr>
        <w:spacing w:before="120"/>
      </w:pPr>
      <w:r>
        <w:t>Taking more than two dozen actions to ensure the safe transportation of energy products by rail, including issuing emergency orders and safety advisories, voluntary agreements with industry, and improving regulations.</w:t>
      </w:r>
      <w:r w:rsidR="00BE6EE3" w:rsidRPr="00BE6EE3">
        <w:t xml:space="preserve"> </w:t>
      </w:r>
    </w:p>
    <w:p w14:paraId="1CC6F42F" w14:textId="71CA4E82" w:rsidR="00BE6EE3" w:rsidRDefault="00BE6EE3" w:rsidP="00BE6EE3">
      <w:pPr>
        <w:pStyle w:val="ListParagraph"/>
        <w:numPr>
          <w:ilvl w:val="0"/>
          <w:numId w:val="8"/>
        </w:numPr>
        <w:spacing w:before="120"/>
      </w:pPr>
      <w:r>
        <w:t>Requiring commuter and intercity passenger railroads to develop and implement system safety programs with proactive processes and procedures to identify and mitigate hazards on each railroad’s system.</w:t>
      </w:r>
    </w:p>
    <w:p w14:paraId="48594547" w14:textId="1CA904F5" w:rsidR="0024563F" w:rsidRDefault="00BE6EE3" w:rsidP="00C56C2C">
      <w:pPr>
        <w:pStyle w:val="ListParagraph"/>
        <w:numPr>
          <w:ilvl w:val="0"/>
          <w:numId w:val="8"/>
        </w:numPr>
        <w:spacing w:before="120"/>
      </w:pPr>
      <w:r>
        <w:t>Expanding drug and alcohol regulations to cover maintenance of way employees to codify FRA guidance and respond to National Transportation Safety Board recommendations.</w:t>
      </w:r>
    </w:p>
    <w:p w14:paraId="003BED0D" w14:textId="33242E16" w:rsidR="003F6A9F" w:rsidRDefault="003F6A9F" w:rsidP="00193B78">
      <w:pPr>
        <w:spacing w:before="120" w:after="0" w:line="240" w:lineRule="auto"/>
        <w:rPr>
          <w:rFonts w:cs="Times New Roman"/>
          <w:szCs w:val="24"/>
          <w:highlight w:val="yellow"/>
        </w:rPr>
      </w:pPr>
      <w:r w:rsidRPr="00362545">
        <w:rPr>
          <w:rFonts w:eastAsia="Times New Roman" w:cs="Times New Roman"/>
          <w:b/>
          <w:szCs w:val="24"/>
        </w:rPr>
        <w:lastRenderedPageBreak/>
        <w:t>Highway-Rail Grade Crossing and Pedestrian Safety:</w:t>
      </w:r>
      <w:r w:rsidRPr="00362545">
        <w:rPr>
          <w:rFonts w:cs="Times New Roman"/>
          <w:szCs w:val="24"/>
        </w:rPr>
        <w:t xml:space="preserve"> </w:t>
      </w:r>
      <w:r w:rsidRPr="00D84030">
        <w:t xml:space="preserve"> </w:t>
      </w:r>
      <w:r w:rsidRPr="00D84030">
        <w:rPr>
          <w:rFonts w:cs="Times New Roman"/>
          <w:szCs w:val="24"/>
        </w:rPr>
        <w:t>Improving safety at the almost 130,000 public highway-rail grade crossings is one of FRA’s top priorities</w:t>
      </w:r>
      <w:r w:rsidR="00C56C2C">
        <w:rPr>
          <w:rFonts w:cs="Times New Roman"/>
          <w:szCs w:val="24"/>
        </w:rPr>
        <w:t xml:space="preserve">. </w:t>
      </w:r>
      <w:r w:rsidRPr="00D84030">
        <w:rPr>
          <w:rFonts w:cs="Times New Roman"/>
          <w:szCs w:val="24"/>
        </w:rPr>
        <w:t>Each crossing is the location of a potential collision between a train and motor vehicle</w:t>
      </w:r>
      <w:r w:rsidRPr="00193B78">
        <w:rPr>
          <w:rFonts w:cs="Times New Roman"/>
          <w:szCs w:val="24"/>
        </w:rPr>
        <w:t>.  In fiscal year 201</w:t>
      </w:r>
      <w:r w:rsidR="00C56C2C" w:rsidRPr="00193B78">
        <w:rPr>
          <w:rFonts w:cs="Times New Roman"/>
          <w:szCs w:val="24"/>
        </w:rPr>
        <w:t>6</w:t>
      </w:r>
      <w:r w:rsidRPr="00193B78">
        <w:rPr>
          <w:rFonts w:cs="Times New Roman"/>
          <w:szCs w:val="24"/>
        </w:rPr>
        <w:t xml:space="preserve">, the number of grade crossing incidents decreased by </w:t>
      </w:r>
      <w:r w:rsidR="00193B78" w:rsidRPr="00193B78">
        <w:rPr>
          <w:rFonts w:cs="Times New Roman"/>
          <w:szCs w:val="24"/>
        </w:rPr>
        <w:t>5</w:t>
      </w:r>
      <w:r w:rsidRPr="00193B78">
        <w:rPr>
          <w:rFonts w:cs="Times New Roman"/>
          <w:szCs w:val="24"/>
        </w:rPr>
        <w:t xml:space="preserve"> percent</w:t>
      </w:r>
      <w:r w:rsidR="00193B78" w:rsidRPr="00193B78">
        <w:rPr>
          <w:rFonts w:cs="Times New Roman"/>
          <w:szCs w:val="24"/>
        </w:rPr>
        <w:t xml:space="preserve"> from the previous year. T</w:t>
      </w:r>
      <w:r w:rsidRPr="00193B78">
        <w:rPr>
          <w:rFonts w:cs="Times New Roman"/>
          <w:szCs w:val="24"/>
        </w:rPr>
        <w:t xml:space="preserve">he number of fatalities </w:t>
      </w:r>
      <w:r w:rsidR="00193B78" w:rsidRPr="00193B78">
        <w:rPr>
          <w:rFonts w:cs="Times New Roman"/>
          <w:szCs w:val="24"/>
        </w:rPr>
        <w:t>was 213, a decrease of nearly 14 percent from FY 2015</w:t>
      </w:r>
      <w:r w:rsidRPr="00193B78">
        <w:rPr>
          <w:rFonts w:cs="Times New Roman"/>
          <w:szCs w:val="24"/>
        </w:rPr>
        <w:t>.  The risk of highway-rail grade crossing incidents will likely grow with future train and highway traffic increases.</w:t>
      </w:r>
    </w:p>
    <w:p w14:paraId="58019ECC" w14:textId="77777777" w:rsidR="007D0D2C" w:rsidRPr="009619C3" w:rsidRDefault="0024563F" w:rsidP="00CE4D0E">
      <w:pPr>
        <w:pStyle w:val="Heading4"/>
      </w:pPr>
      <w:r w:rsidRPr="009619C3">
        <w:t>Key Strategies and Next Steps</w:t>
      </w:r>
    </w:p>
    <w:p w14:paraId="5135E5BB" w14:textId="77777777" w:rsidR="00126FC5" w:rsidRDefault="0024563F" w:rsidP="001679B4">
      <w:pPr>
        <w:spacing w:before="120" w:after="0" w:line="240" w:lineRule="auto"/>
        <w:rPr>
          <w:rFonts w:eastAsia="Times New Roman" w:cs="Times New Roman"/>
          <w:color w:val="000000"/>
          <w:kern w:val="24"/>
          <w:szCs w:val="24"/>
        </w:rPr>
      </w:pPr>
      <w:r w:rsidRPr="00362545">
        <w:rPr>
          <w:rFonts w:eastAsia="Times New Roman" w:cs="Times New Roman"/>
          <w:color w:val="000000"/>
          <w:kern w:val="24"/>
          <w:szCs w:val="24"/>
        </w:rPr>
        <w:t xml:space="preserve">While maintaining ongoing safety programs, FRA is targeting </w:t>
      </w:r>
      <w:r>
        <w:rPr>
          <w:rFonts w:eastAsia="Times New Roman" w:cs="Times New Roman"/>
          <w:color w:val="000000"/>
          <w:kern w:val="24"/>
          <w:szCs w:val="24"/>
        </w:rPr>
        <w:t>today’s most</w:t>
      </w:r>
      <w:r w:rsidRPr="00362545">
        <w:rPr>
          <w:rFonts w:eastAsia="Times New Roman" w:cs="Times New Roman"/>
          <w:color w:val="000000"/>
          <w:kern w:val="24"/>
          <w:szCs w:val="24"/>
        </w:rPr>
        <w:t xml:space="preserve"> pressing rail </w:t>
      </w:r>
      <w:r>
        <w:rPr>
          <w:rFonts w:eastAsia="Times New Roman" w:cs="Times New Roman"/>
          <w:color w:val="000000"/>
          <w:kern w:val="24"/>
          <w:szCs w:val="24"/>
        </w:rPr>
        <w:t xml:space="preserve">transportation </w:t>
      </w:r>
      <w:r w:rsidRPr="00362545">
        <w:rPr>
          <w:rFonts w:eastAsia="Times New Roman" w:cs="Times New Roman"/>
          <w:color w:val="000000"/>
          <w:kern w:val="24"/>
          <w:szCs w:val="24"/>
        </w:rPr>
        <w:t xml:space="preserve">safety </w:t>
      </w:r>
      <w:r>
        <w:rPr>
          <w:rFonts w:eastAsia="Times New Roman" w:cs="Times New Roman"/>
          <w:color w:val="000000"/>
          <w:kern w:val="24"/>
          <w:szCs w:val="24"/>
        </w:rPr>
        <w:t>challenges</w:t>
      </w:r>
      <w:r w:rsidRPr="00362545">
        <w:rPr>
          <w:rFonts w:eastAsia="Times New Roman" w:cs="Times New Roman"/>
          <w:color w:val="000000"/>
          <w:kern w:val="24"/>
          <w:szCs w:val="24"/>
        </w:rPr>
        <w:t>:</w:t>
      </w:r>
    </w:p>
    <w:p w14:paraId="1BBB06CF" w14:textId="77777777" w:rsidR="0024563F" w:rsidRPr="00787359" w:rsidRDefault="0024563F" w:rsidP="007935D7">
      <w:pPr>
        <w:pStyle w:val="ListParagraph"/>
        <w:numPr>
          <w:ilvl w:val="0"/>
          <w:numId w:val="11"/>
        </w:numPr>
        <w:spacing w:before="120"/>
        <w:contextualSpacing w:val="0"/>
        <w:rPr>
          <w:rFonts w:eastAsia="Times New Roman" w:cs="Times New Roman"/>
          <w:color w:val="000000"/>
          <w:kern w:val="24"/>
        </w:rPr>
      </w:pPr>
      <w:r w:rsidRPr="00787359">
        <w:rPr>
          <w:rFonts w:eastAsia="Times New Roman" w:cs="Times New Roman"/>
          <w:color w:val="000000"/>
          <w:kern w:val="24"/>
        </w:rPr>
        <w:t>Passenger Rail:  Commuter and intercity passenger railroads lack capital to deploy life-saving positive train control (PTC) technology and other safety improvements;</w:t>
      </w:r>
    </w:p>
    <w:p w14:paraId="7100FECD" w14:textId="77777777" w:rsidR="0024563F" w:rsidRPr="00787359" w:rsidRDefault="0024563F" w:rsidP="007935D7">
      <w:pPr>
        <w:pStyle w:val="ListParagraph"/>
        <w:numPr>
          <w:ilvl w:val="0"/>
          <w:numId w:val="11"/>
        </w:numPr>
        <w:spacing w:before="120"/>
        <w:contextualSpacing w:val="0"/>
        <w:rPr>
          <w:rFonts w:eastAsia="Times New Roman" w:cs="Times New Roman"/>
          <w:color w:val="000000"/>
          <w:kern w:val="24"/>
        </w:rPr>
      </w:pPr>
      <w:r w:rsidRPr="00787359">
        <w:rPr>
          <w:rFonts w:eastAsia="Times New Roman" w:cs="Times New Roman"/>
          <w:color w:val="000000"/>
          <w:kern w:val="24"/>
        </w:rPr>
        <w:t>Grade Crossings and Pedestrian Safety:  Motor vehicle drivers and pedestrians continue to face significant risks at highway-rail grade crossings and around railroad rights of way;</w:t>
      </w:r>
    </w:p>
    <w:p w14:paraId="4E3BE2E0" w14:textId="77777777" w:rsidR="0024563F" w:rsidRPr="00787359" w:rsidRDefault="0024563F" w:rsidP="007935D7">
      <w:pPr>
        <w:pStyle w:val="ListParagraph"/>
        <w:numPr>
          <w:ilvl w:val="0"/>
          <w:numId w:val="11"/>
        </w:numPr>
        <w:spacing w:before="120"/>
        <w:contextualSpacing w:val="0"/>
        <w:rPr>
          <w:rFonts w:eastAsia="Times New Roman" w:cs="Times New Roman"/>
          <w:color w:val="000000"/>
          <w:kern w:val="24"/>
        </w:rPr>
      </w:pPr>
      <w:r w:rsidRPr="00787359">
        <w:rPr>
          <w:rFonts w:eastAsia="Times New Roman" w:cs="Times New Roman"/>
          <w:color w:val="000000"/>
          <w:kern w:val="24"/>
        </w:rPr>
        <w:t>Critical Assets:  Aging major infrastructure, including bridges and tunnels, on the Northeast Corridor; and</w:t>
      </w:r>
    </w:p>
    <w:p w14:paraId="6A7B947F" w14:textId="77777777" w:rsidR="0024563F" w:rsidRPr="00787359" w:rsidRDefault="0024563F" w:rsidP="007935D7">
      <w:pPr>
        <w:pStyle w:val="ListParagraph"/>
        <w:numPr>
          <w:ilvl w:val="0"/>
          <w:numId w:val="11"/>
        </w:numPr>
        <w:spacing w:before="120"/>
        <w:rPr>
          <w:rFonts w:eastAsia="Times New Roman" w:cs="Times New Roman"/>
          <w:color w:val="000000"/>
          <w:kern w:val="24"/>
        </w:rPr>
      </w:pPr>
      <w:r w:rsidRPr="00787359">
        <w:rPr>
          <w:rFonts w:eastAsia="Times New Roman" w:cs="Times New Roman"/>
          <w:color w:val="000000"/>
          <w:kern w:val="24"/>
        </w:rPr>
        <w:t>Energy Products:  Hazards from large volumes of crude oil and other energy products, including ethanol and liquefied natural gas, moving by rail.</w:t>
      </w:r>
    </w:p>
    <w:p w14:paraId="21FCC646" w14:textId="7773E089" w:rsidR="00900BFD" w:rsidRDefault="0024563F" w:rsidP="001679B4">
      <w:pPr>
        <w:spacing w:before="120" w:after="0" w:line="240" w:lineRule="auto"/>
        <w:rPr>
          <w:rFonts w:cs="Times New Roman"/>
          <w:szCs w:val="24"/>
        </w:rPr>
      </w:pPr>
      <w:r w:rsidRPr="00D84030">
        <w:rPr>
          <w:rFonts w:cs="Times New Roman"/>
          <w:b/>
          <w:szCs w:val="24"/>
        </w:rPr>
        <w:t>Passenger Railroad Safety:</w:t>
      </w:r>
      <w:r>
        <w:rPr>
          <w:rFonts w:cs="Times New Roman"/>
          <w:szCs w:val="24"/>
        </w:rPr>
        <w:t xml:space="preserve">  </w:t>
      </w:r>
      <w:r w:rsidRPr="00D84030">
        <w:rPr>
          <w:rFonts w:cs="Times New Roman"/>
          <w:szCs w:val="24"/>
        </w:rPr>
        <w:t>While railroads have made remarkable safety</w:t>
      </w:r>
      <w:r w:rsidR="00790913">
        <w:rPr>
          <w:rFonts w:cs="Times New Roman"/>
          <w:szCs w:val="24"/>
        </w:rPr>
        <w:t xml:space="preserve"> progress in recent decades, </w:t>
      </w:r>
      <w:r w:rsidRPr="00D84030">
        <w:rPr>
          <w:rFonts w:cs="Times New Roman"/>
          <w:szCs w:val="24"/>
        </w:rPr>
        <w:t>accident</w:t>
      </w:r>
      <w:r w:rsidR="00790913">
        <w:rPr>
          <w:rFonts w:cs="Times New Roman"/>
          <w:szCs w:val="24"/>
        </w:rPr>
        <w:t>s</w:t>
      </w:r>
      <w:r w:rsidRPr="00D84030">
        <w:rPr>
          <w:rFonts w:cs="Times New Roman"/>
          <w:szCs w:val="24"/>
        </w:rPr>
        <w:t xml:space="preserve"> like the </w:t>
      </w:r>
      <w:r w:rsidR="00790913">
        <w:rPr>
          <w:rFonts w:cs="Times New Roman"/>
          <w:szCs w:val="24"/>
        </w:rPr>
        <w:t xml:space="preserve">September </w:t>
      </w:r>
      <w:r w:rsidR="007B7ABE">
        <w:rPr>
          <w:rFonts w:cs="Times New Roman"/>
          <w:szCs w:val="24"/>
        </w:rPr>
        <w:t>28, 2016</w:t>
      </w:r>
      <w:r w:rsidR="00790913">
        <w:rPr>
          <w:rFonts w:cs="Times New Roman"/>
          <w:szCs w:val="24"/>
        </w:rPr>
        <w:t xml:space="preserve"> New Jersey Transit train crash in Hoboken and the </w:t>
      </w:r>
      <w:r w:rsidRPr="00D84030">
        <w:rPr>
          <w:rFonts w:cs="Times New Roman"/>
          <w:szCs w:val="24"/>
        </w:rPr>
        <w:t>May 12, 2015 Amtrak derailment makes clear that hard work remains.  The good news is that technology exists today that can prevent some catastrophic accidents on passenger routes</w:t>
      </w:r>
      <w:r w:rsidR="00790913">
        <w:rPr>
          <w:rFonts w:cs="Times New Roman"/>
          <w:szCs w:val="24"/>
        </w:rPr>
        <w:t>.</w:t>
      </w:r>
      <w:r w:rsidRPr="00D84030">
        <w:rPr>
          <w:rFonts w:cs="Times New Roman"/>
          <w:szCs w:val="24"/>
        </w:rPr>
        <w:t xml:space="preserve">  Positive train control (PTC) would have prevented the 2013 Metro-North derailment that killed four people when an engineer operated a train too quickly around a curve.</w:t>
      </w:r>
      <w:r w:rsidRPr="00D84030">
        <w:rPr>
          <w:rFonts w:cs="Times New Roman"/>
          <w:szCs w:val="24"/>
          <w:vertAlign w:val="superscript"/>
        </w:rPr>
        <w:footnoteReference w:id="3"/>
      </w:r>
    </w:p>
    <w:p w14:paraId="794F21C0" w14:textId="77777777" w:rsidR="0024563F" w:rsidRDefault="0024563F" w:rsidP="001679B4">
      <w:pPr>
        <w:spacing w:before="120" w:after="0" w:line="240" w:lineRule="auto"/>
        <w:rPr>
          <w:rFonts w:cs="Times New Roman"/>
          <w:szCs w:val="24"/>
        </w:rPr>
      </w:pPr>
      <w:r w:rsidRPr="00D84030">
        <w:rPr>
          <w:rFonts w:cs="Times New Roman"/>
          <w:szCs w:val="24"/>
        </w:rPr>
        <w:t xml:space="preserve">The </w:t>
      </w:r>
      <w:r w:rsidRPr="00D84030">
        <w:rPr>
          <w:rFonts w:cs="Times New Roman"/>
          <w:i/>
          <w:szCs w:val="24"/>
        </w:rPr>
        <w:t>Rail Safety Improvement Act of 2008</w:t>
      </w:r>
      <w:r w:rsidRPr="00D84030">
        <w:rPr>
          <w:rFonts w:cs="Times New Roman"/>
          <w:szCs w:val="24"/>
        </w:rPr>
        <w:t xml:space="preserve"> (RSIA) mandated that certain railroads implement the</w:t>
      </w:r>
      <w:r>
        <w:rPr>
          <w:rFonts w:cs="Times New Roman"/>
          <w:szCs w:val="24"/>
        </w:rPr>
        <w:t xml:space="preserve"> </w:t>
      </w:r>
      <w:r w:rsidRPr="00D84030">
        <w:rPr>
          <w:rFonts w:cs="Times New Roman"/>
          <w:szCs w:val="24"/>
        </w:rPr>
        <w:t>technology.</w:t>
      </w:r>
      <w:r>
        <w:rPr>
          <w:rStyle w:val="FootnoteReference"/>
          <w:rFonts w:cs="Times New Roman"/>
          <w:szCs w:val="24"/>
        </w:rPr>
        <w:footnoteReference w:id="4"/>
      </w:r>
      <w:r w:rsidRPr="00D84030">
        <w:rPr>
          <w:rFonts w:cs="Times New Roman"/>
          <w:szCs w:val="24"/>
        </w:rPr>
        <w:t xml:space="preserve"> FRA estimates that the mandate applies to about 68,000 route miles. Most major</w:t>
      </w:r>
      <w:r>
        <w:rPr>
          <w:rFonts w:cs="Times New Roman"/>
          <w:szCs w:val="24"/>
        </w:rPr>
        <w:t xml:space="preserve"> </w:t>
      </w:r>
      <w:r w:rsidRPr="00D84030">
        <w:rPr>
          <w:rFonts w:cs="Times New Roman"/>
          <w:szCs w:val="24"/>
        </w:rPr>
        <w:t>freight railroads do not expect to implement PTC systems fully until 2017 or later, according to</w:t>
      </w:r>
      <w:r>
        <w:rPr>
          <w:rFonts w:cs="Times New Roman"/>
          <w:szCs w:val="24"/>
        </w:rPr>
        <w:t xml:space="preserve"> </w:t>
      </w:r>
      <w:r w:rsidRPr="00D84030">
        <w:rPr>
          <w:rFonts w:cs="Times New Roman"/>
          <w:szCs w:val="24"/>
        </w:rPr>
        <w:t>public statements. Most Amtrak-owned routes are already equipped with functional PTC</w:t>
      </w:r>
      <w:r>
        <w:rPr>
          <w:rFonts w:cs="Times New Roman"/>
          <w:szCs w:val="24"/>
        </w:rPr>
        <w:t xml:space="preserve"> </w:t>
      </w:r>
      <w:r w:rsidRPr="00D84030">
        <w:rPr>
          <w:rFonts w:cs="Times New Roman"/>
          <w:szCs w:val="24"/>
        </w:rPr>
        <w:t>systems. Commuter railroads vary widely in their implementation status.</w:t>
      </w:r>
    </w:p>
    <w:p w14:paraId="6BCEB709" w14:textId="77777777" w:rsidR="00037096" w:rsidRDefault="0024563F" w:rsidP="001679B4">
      <w:pPr>
        <w:spacing w:before="120" w:after="0" w:line="240" w:lineRule="auto"/>
        <w:rPr>
          <w:rFonts w:cs="Times New Roman"/>
          <w:szCs w:val="24"/>
        </w:rPr>
      </w:pPr>
      <w:r w:rsidRPr="00D84030">
        <w:rPr>
          <w:rFonts w:cs="Times New Roman"/>
          <w:szCs w:val="24"/>
        </w:rPr>
        <w:t>FRA regulations are the framework for the national PTC deployment. Before using PTC</w:t>
      </w:r>
      <w:r>
        <w:rPr>
          <w:rFonts w:cs="Times New Roman"/>
          <w:szCs w:val="24"/>
        </w:rPr>
        <w:t xml:space="preserve"> </w:t>
      </w:r>
      <w:r w:rsidRPr="00D84030">
        <w:rPr>
          <w:rFonts w:cs="Times New Roman"/>
          <w:szCs w:val="24"/>
        </w:rPr>
        <w:t>technologies in revenue service, each implementing railroad must submit its PTC safety plan to</w:t>
      </w:r>
      <w:r>
        <w:rPr>
          <w:rFonts w:cs="Times New Roman"/>
          <w:szCs w:val="24"/>
        </w:rPr>
        <w:t xml:space="preserve"> </w:t>
      </w:r>
      <w:r w:rsidRPr="00D84030">
        <w:rPr>
          <w:rFonts w:cs="Times New Roman"/>
          <w:szCs w:val="24"/>
        </w:rPr>
        <w:t>FRA and then receive FRA system certification. The certification process focuses on ensuring</w:t>
      </w:r>
      <w:r>
        <w:rPr>
          <w:rFonts w:cs="Times New Roman"/>
          <w:szCs w:val="24"/>
        </w:rPr>
        <w:t xml:space="preserve"> </w:t>
      </w:r>
      <w:r w:rsidRPr="00D84030">
        <w:rPr>
          <w:rFonts w:cs="Times New Roman"/>
          <w:szCs w:val="24"/>
        </w:rPr>
        <w:t>that railroads have (1) the capability to deploy the technology correctly, (2) established adequate</w:t>
      </w:r>
      <w:r>
        <w:rPr>
          <w:rFonts w:cs="Times New Roman"/>
          <w:szCs w:val="24"/>
        </w:rPr>
        <w:t xml:space="preserve"> </w:t>
      </w:r>
      <w:r w:rsidRPr="00D84030">
        <w:rPr>
          <w:rFonts w:cs="Times New Roman"/>
          <w:szCs w:val="24"/>
        </w:rPr>
        <w:t>training and maintenance programs, and (3) implemented technology that performs mandated</w:t>
      </w:r>
      <w:r>
        <w:rPr>
          <w:rFonts w:cs="Times New Roman"/>
          <w:szCs w:val="24"/>
        </w:rPr>
        <w:t xml:space="preserve"> </w:t>
      </w:r>
      <w:r w:rsidRPr="00D84030">
        <w:rPr>
          <w:rFonts w:cs="Times New Roman"/>
          <w:szCs w:val="24"/>
        </w:rPr>
        <w:t>functions safely and reliably.</w:t>
      </w:r>
      <w:r w:rsidR="00037096">
        <w:rPr>
          <w:rFonts w:cs="Times New Roman"/>
          <w:szCs w:val="24"/>
        </w:rPr>
        <w:t xml:space="preserve"> </w:t>
      </w:r>
    </w:p>
    <w:p w14:paraId="7450D0DF" w14:textId="408AF8AC" w:rsidR="0024563F" w:rsidRPr="00362545" w:rsidRDefault="0024563F" w:rsidP="001679B4">
      <w:pPr>
        <w:spacing w:before="120" w:after="0" w:line="240" w:lineRule="auto"/>
        <w:rPr>
          <w:rFonts w:cs="Times New Roman"/>
          <w:szCs w:val="24"/>
        </w:rPr>
      </w:pPr>
      <w:r w:rsidRPr="00D84030">
        <w:rPr>
          <w:rFonts w:cs="Times New Roman"/>
          <w:szCs w:val="24"/>
        </w:rPr>
        <w:lastRenderedPageBreak/>
        <w:t>Both before an</w:t>
      </w:r>
      <w:r w:rsidR="00126FC5">
        <w:rPr>
          <w:rFonts w:cs="Times New Roman"/>
          <w:szCs w:val="24"/>
        </w:rPr>
        <w:t>d since this derailment, FRA worked to help</w:t>
      </w:r>
      <w:r w:rsidRPr="00D84030">
        <w:rPr>
          <w:rFonts w:cs="Times New Roman"/>
          <w:szCs w:val="24"/>
        </w:rPr>
        <w:t xml:space="preserve"> railroads plan and implement</w:t>
      </w:r>
      <w:r w:rsidR="00D83373">
        <w:rPr>
          <w:rFonts w:cs="Times New Roman"/>
          <w:szCs w:val="24"/>
        </w:rPr>
        <w:t xml:space="preserve"> this critical, Congressionally-</w:t>
      </w:r>
      <w:r w:rsidRPr="00D84030">
        <w:rPr>
          <w:rFonts w:cs="Times New Roman"/>
          <w:szCs w:val="24"/>
        </w:rPr>
        <w:t>mandated</w:t>
      </w:r>
      <w:r w:rsidR="00126FC5">
        <w:rPr>
          <w:rFonts w:cs="Times New Roman"/>
          <w:szCs w:val="24"/>
        </w:rPr>
        <w:t>, life-saving</w:t>
      </w:r>
      <w:r w:rsidRPr="00D84030">
        <w:rPr>
          <w:rFonts w:cs="Times New Roman"/>
          <w:szCs w:val="24"/>
        </w:rPr>
        <w:t xml:space="preserve"> technology.  FRA issued a $967 million loan to the New York Metropolitan Transportation Authority, the nation’s largest commuter rail service provider, for PTC deployment.</w:t>
      </w:r>
      <w:r>
        <w:rPr>
          <w:rFonts w:cs="Times New Roman"/>
          <w:szCs w:val="24"/>
        </w:rPr>
        <w:t xml:space="preserve">  </w:t>
      </w:r>
    </w:p>
    <w:p w14:paraId="02382117" w14:textId="1F83BFBF" w:rsidR="0024563F" w:rsidRDefault="0024563F" w:rsidP="003F6A9F">
      <w:pPr>
        <w:spacing w:before="120" w:after="120" w:line="240" w:lineRule="auto"/>
        <w:rPr>
          <w:rFonts w:cs="Times New Roman"/>
          <w:szCs w:val="24"/>
        </w:rPr>
      </w:pPr>
      <w:r w:rsidRPr="00362545">
        <w:rPr>
          <w:rFonts w:eastAsia="Times New Roman" w:cs="Times New Roman"/>
          <w:b/>
          <w:szCs w:val="24"/>
        </w:rPr>
        <w:t>Highway-Rail Grade Crossing and Pedestrian Safety:</w:t>
      </w:r>
      <w:r w:rsidRPr="00362545">
        <w:rPr>
          <w:rFonts w:cs="Times New Roman"/>
          <w:szCs w:val="24"/>
        </w:rPr>
        <w:t xml:space="preserve"> </w:t>
      </w:r>
      <w:r w:rsidRPr="00D84030">
        <w:t xml:space="preserve"> </w:t>
      </w:r>
      <w:r w:rsidRPr="00D84030">
        <w:rPr>
          <w:rFonts w:cs="Times New Roman"/>
          <w:szCs w:val="24"/>
        </w:rPr>
        <w:t>Improving safety at the almost 130,000 public highway-rail grade crossings is one of FRA’s top priorities</w:t>
      </w:r>
      <w:r w:rsidR="002D6F45" w:rsidRPr="00D84030">
        <w:rPr>
          <w:rFonts w:cs="Times New Roman"/>
          <w:szCs w:val="24"/>
        </w:rPr>
        <w:t>.  Each crossing is the location of a potential collision between a train and motor vehicle</w:t>
      </w:r>
    </w:p>
    <w:p w14:paraId="3E5A2AED" w14:textId="77777777" w:rsidR="00900BFD" w:rsidRDefault="0024563F" w:rsidP="003F6A9F">
      <w:pPr>
        <w:spacing w:before="120" w:after="120" w:line="240" w:lineRule="auto"/>
        <w:rPr>
          <w:rFonts w:cs="Times New Roman"/>
          <w:szCs w:val="24"/>
        </w:rPr>
      </w:pPr>
      <w:r w:rsidRPr="00D84030">
        <w:rPr>
          <w:rFonts w:cs="Times New Roman"/>
          <w:szCs w:val="24"/>
        </w:rPr>
        <w:t>The safest crossing is a closed crossing; therefore, increased funding for capital investment is</w:t>
      </w:r>
      <w:r>
        <w:rPr>
          <w:rFonts w:cs="Times New Roman"/>
          <w:szCs w:val="24"/>
        </w:rPr>
        <w:t xml:space="preserve"> </w:t>
      </w:r>
      <w:r w:rsidRPr="00D84030">
        <w:rPr>
          <w:rFonts w:cs="Times New Roman"/>
          <w:szCs w:val="24"/>
        </w:rPr>
        <w:t>critical. FRA would dedicate funds to local communities for safer highway-rail grade crossings,</w:t>
      </w:r>
      <w:r>
        <w:rPr>
          <w:rFonts w:cs="Times New Roman"/>
          <w:szCs w:val="24"/>
        </w:rPr>
        <w:t xml:space="preserve"> </w:t>
      </w:r>
      <w:r w:rsidRPr="00D84030">
        <w:rPr>
          <w:rFonts w:cs="Times New Roman"/>
          <w:szCs w:val="24"/>
        </w:rPr>
        <w:t>mitigation of adverse impacts of rail operations. FRA also would provide capital assistance to</w:t>
      </w:r>
      <w:r>
        <w:rPr>
          <w:rFonts w:cs="Times New Roman"/>
          <w:szCs w:val="24"/>
        </w:rPr>
        <w:t xml:space="preserve"> </w:t>
      </w:r>
      <w:r w:rsidRPr="00D84030">
        <w:rPr>
          <w:rFonts w:cs="Times New Roman"/>
          <w:szCs w:val="24"/>
        </w:rPr>
        <w:t>help resource-constrained short line railroads improve their infrastructure. In addition, FRA is</w:t>
      </w:r>
      <w:r>
        <w:rPr>
          <w:rFonts w:cs="Times New Roman"/>
          <w:szCs w:val="24"/>
        </w:rPr>
        <w:t xml:space="preserve"> </w:t>
      </w:r>
      <w:r w:rsidRPr="00D84030">
        <w:rPr>
          <w:rFonts w:cs="Times New Roman"/>
          <w:szCs w:val="24"/>
        </w:rPr>
        <w:t>exploring options for delivering effective highway-rail grade crossing grants. Combining DOT’s</w:t>
      </w:r>
      <w:r>
        <w:rPr>
          <w:rFonts w:cs="Times New Roman"/>
          <w:szCs w:val="24"/>
        </w:rPr>
        <w:t xml:space="preserve"> </w:t>
      </w:r>
      <w:r w:rsidRPr="00D84030">
        <w:rPr>
          <w:rFonts w:cs="Times New Roman"/>
          <w:szCs w:val="24"/>
        </w:rPr>
        <w:t>grade crossing resources will increase their effectiveness. FRA proposes new research,</w:t>
      </w:r>
      <w:r>
        <w:rPr>
          <w:rFonts w:cs="Times New Roman"/>
          <w:szCs w:val="24"/>
        </w:rPr>
        <w:t xml:space="preserve"> </w:t>
      </w:r>
      <w:r w:rsidRPr="00D84030">
        <w:rPr>
          <w:rFonts w:cs="Times New Roman"/>
          <w:szCs w:val="24"/>
        </w:rPr>
        <w:t xml:space="preserve">development, and </w:t>
      </w:r>
      <w:r w:rsidR="0065262B">
        <w:rPr>
          <w:rFonts w:cs="Times New Roman"/>
          <w:szCs w:val="24"/>
        </w:rPr>
        <w:t>technology,</w:t>
      </w:r>
      <w:r w:rsidRPr="00D84030">
        <w:rPr>
          <w:rFonts w:cs="Times New Roman"/>
          <w:szCs w:val="24"/>
        </w:rPr>
        <w:t xml:space="preserve"> including field testing new technologies and developing an</w:t>
      </w:r>
      <w:r>
        <w:rPr>
          <w:rFonts w:cs="Times New Roman"/>
          <w:szCs w:val="24"/>
        </w:rPr>
        <w:t xml:space="preserve"> </w:t>
      </w:r>
      <w:r w:rsidRPr="00D84030">
        <w:rPr>
          <w:rFonts w:cs="Times New Roman"/>
          <w:szCs w:val="24"/>
        </w:rPr>
        <w:t>intelligent rail systems proof-of-concept for passively protected grade crossings. Additional</w:t>
      </w:r>
      <w:r>
        <w:rPr>
          <w:rFonts w:cs="Times New Roman"/>
          <w:szCs w:val="24"/>
        </w:rPr>
        <w:t xml:space="preserve"> </w:t>
      </w:r>
      <w:r w:rsidRPr="00D84030">
        <w:rPr>
          <w:rFonts w:cs="Times New Roman"/>
          <w:szCs w:val="24"/>
        </w:rPr>
        <w:t>money will fund a study of blocked highway-rail grade crossings and development of</w:t>
      </w:r>
      <w:r>
        <w:rPr>
          <w:rFonts w:cs="Times New Roman"/>
          <w:szCs w:val="24"/>
        </w:rPr>
        <w:t xml:space="preserve"> </w:t>
      </w:r>
      <w:r w:rsidRPr="00D84030">
        <w:rPr>
          <w:rFonts w:cs="Times New Roman"/>
          <w:szCs w:val="24"/>
        </w:rPr>
        <w:t>technologies other than conventional inductive loops to detect blocked</w:t>
      </w:r>
      <w:r w:rsidR="009E1956">
        <w:rPr>
          <w:rFonts w:cs="Times New Roman"/>
          <w:szCs w:val="24"/>
        </w:rPr>
        <w:t xml:space="preserve"> crossings</w:t>
      </w:r>
    </w:p>
    <w:p w14:paraId="01F0EA50" w14:textId="77777777" w:rsidR="0024563F" w:rsidRPr="006E0B5A" w:rsidRDefault="0024563F" w:rsidP="0024563F">
      <w:pPr>
        <w:spacing w:after="120" w:line="240" w:lineRule="auto"/>
        <w:rPr>
          <w:rFonts w:cs="Times New Roman"/>
          <w:szCs w:val="24"/>
        </w:rPr>
      </w:pPr>
      <w:r w:rsidRPr="006E0B5A">
        <w:rPr>
          <w:rFonts w:cs="Times New Roman"/>
          <w:b/>
          <w:szCs w:val="24"/>
        </w:rPr>
        <w:t>Critical Assets:</w:t>
      </w:r>
      <w:r w:rsidRPr="006E0B5A">
        <w:rPr>
          <w:rFonts w:cs="Times New Roman"/>
          <w:szCs w:val="24"/>
        </w:rPr>
        <w:t xml:space="preserve"> The Northeast Corridor (NEC) is the 457-mile rail backbone of the Northeastern United States that connects the Washington, D.C.; Baltimore, Maryland; Philadelphia, Pennsylvania; New York, New York; and Boston, Massachusetts, metropolitan areas. These areas collectively—</w:t>
      </w:r>
    </w:p>
    <w:p w14:paraId="12599FF6" w14:textId="77777777" w:rsidR="0024563F" w:rsidRPr="00B14F99" w:rsidRDefault="0024563F" w:rsidP="007935D7">
      <w:pPr>
        <w:pStyle w:val="ListParagraph"/>
        <w:numPr>
          <w:ilvl w:val="0"/>
          <w:numId w:val="12"/>
        </w:numPr>
        <w:spacing w:after="40"/>
        <w:contextualSpacing w:val="0"/>
        <w:rPr>
          <w:rFonts w:cs="Times New Roman"/>
        </w:rPr>
      </w:pPr>
      <w:r w:rsidRPr="00B14F99">
        <w:rPr>
          <w:rFonts w:cs="Times New Roman"/>
        </w:rPr>
        <w:t>Generate about 20 percent of U.S. economic output (gross domestic product).</w:t>
      </w:r>
    </w:p>
    <w:p w14:paraId="135A49E2" w14:textId="77777777" w:rsidR="0024563F" w:rsidRPr="00B14F99" w:rsidRDefault="0024563F" w:rsidP="007935D7">
      <w:pPr>
        <w:pStyle w:val="ListParagraph"/>
        <w:numPr>
          <w:ilvl w:val="0"/>
          <w:numId w:val="12"/>
        </w:numPr>
        <w:spacing w:after="40"/>
        <w:contextualSpacing w:val="0"/>
        <w:rPr>
          <w:rFonts w:cs="Times New Roman"/>
        </w:rPr>
      </w:pPr>
      <w:r w:rsidRPr="00B14F99">
        <w:rPr>
          <w:rFonts w:cs="Times New Roman"/>
        </w:rPr>
        <w:t>Have 51 million residents and will likely have 58 million residents by 2040.</w:t>
      </w:r>
    </w:p>
    <w:p w14:paraId="09D11F59" w14:textId="77777777" w:rsidR="0024563F" w:rsidRPr="00B14F99" w:rsidRDefault="0024563F" w:rsidP="007935D7">
      <w:pPr>
        <w:pStyle w:val="ListParagraph"/>
        <w:numPr>
          <w:ilvl w:val="0"/>
          <w:numId w:val="12"/>
        </w:numPr>
        <w:spacing w:after="40"/>
        <w:contextualSpacing w:val="0"/>
        <w:rPr>
          <w:rFonts w:cs="Times New Roman"/>
        </w:rPr>
      </w:pPr>
      <w:r w:rsidRPr="00B14F99">
        <w:rPr>
          <w:rFonts w:cs="Times New Roman"/>
        </w:rPr>
        <w:t xml:space="preserve">Choose rail for nearly 70 percent of combined air and rail travel in the Washington –New York market; and more than 50 percent of combined air and rail travel in the </w:t>
      </w:r>
      <w:proofErr w:type="spellStart"/>
      <w:r w:rsidRPr="00B14F99">
        <w:rPr>
          <w:rFonts w:cs="Times New Roman"/>
        </w:rPr>
        <w:t>NewYork</w:t>
      </w:r>
      <w:proofErr w:type="spellEnd"/>
      <w:r w:rsidRPr="00B14F99">
        <w:rPr>
          <w:rFonts w:cs="Times New Roman"/>
        </w:rPr>
        <w:t xml:space="preserve"> - Boston market.</w:t>
      </w:r>
    </w:p>
    <w:p w14:paraId="36AC4E4F" w14:textId="77777777" w:rsidR="0024563F" w:rsidRPr="00B14F99" w:rsidRDefault="0024563F" w:rsidP="007935D7">
      <w:pPr>
        <w:pStyle w:val="ListParagraph"/>
        <w:numPr>
          <w:ilvl w:val="0"/>
          <w:numId w:val="12"/>
        </w:numPr>
        <w:spacing w:after="40"/>
        <w:contextualSpacing w:val="0"/>
        <w:rPr>
          <w:rFonts w:cs="Times New Roman"/>
        </w:rPr>
      </w:pPr>
      <w:r w:rsidRPr="00B14F99">
        <w:rPr>
          <w:rFonts w:cs="Times New Roman"/>
        </w:rPr>
        <w:t>Support 2,200 passenger trains with approximately 720,000 intercity and commuter</w:t>
      </w:r>
      <w:r>
        <w:rPr>
          <w:rFonts w:cs="Times New Roman"/>
        </w:rPr>
        <w:t xml:space="preserve"> </w:t>
      </w:r>
      <w:r w:rsidRPr="00B14F99">
        <w:rPr>
          <w:rFonts w:cs="Times New Roman"/>
        </w:rPr>
        <w:t>riders, every day on average.</w:t>
      </w:r>
    </w:p>
    <w:p w14:paraId="0B44F04A" w14:textId="77777777" w:rsidR="0024563F" w:rsidRPr="00B14F99" w:rsidRDefault="0024563F" w:rsidP="00193B78">
      <w:pPr>
        <w:pStyle w:val="ListParagraph"/>
        <w:numPr>
          <w:ilvl w:val="0"/>
          <w:numId w:val="12"/>
        </w:numPr>
        <w:spacing w:before="120" w:after="120"/>
        <w:rPr>
          <w:rFonts w:cs="Times New Roman"/>
        </w:rPr>
      </w:pPr>
      <w:r w:rsidRPr="00B14F99">
        <w:rPr>
          <w:rFonts w:cs="Times New Roman"/>
        </w:rPr>
        <w:t>Average 70 freight trains daily.</w:t>
      </w:r>
    </w:p>
    <w:p w14:paraId="481FB7B3" w14:textId="435AE04B" w:rsidR="0024563F" w:rsidRDefault="0024563F" w:rsidP="00193B78">
      <w:pPr>
        <w:spacing w:before="120" w:after="120" w:line="240" w:lineRule="auto"/>
        <w:rPr>
          <w:rFonts w:cs="Times New Roman"/>
          <w:szCs w:val="24"/>
        </w:rPr>
      </w:pPr>
      <w:r w:rsidRPr="00B14F99">
        <w:rPr>
          <w:rFonts w:cs="Times New Roman"/>
          <w:szCs w:val="24"/>
        </w:rPr>
        <w:t>In April 2015, the multi-party Northeast Corridor Infrastructure and Operations Advisory</w:t>
      </w:r>
      <w:r>
        <w:rPr>
          <w:rFonts w:cs="Times New Roman"/>
          <w:szCs w:val="24"/>
        </w:rPr>
        <w:t xml:space="preserve"> </w:t>
      </w:r>
      <w:r w:rsidRPr="00B14F99">
        <w:rPr>
          <w:rFonts w:cs="Times New Roman"/>
          <w:szCs w:val="24"/>
        </w:rPr>
        <w:t>Commission released the first joint 5-year capital plan for investing in the corridor. The plan</w:t>
      </w:r>
      <w:r>
        <w:rPr>
          <w:rFonts w:cs="Times New Roman"/>
          <w:szCs w:val="24"/>
        </w:rPr>
        <w:t xml:space="preserve"> </w:t>
      </w:r>
      <w:r w:rsidRPr="00B14F99">
        <w:rPr>
          <w:rFonts w:cs="Times New Roman"/>
          <w:szCs w:val="24"/>
        </w:rPr>
        <w:t>identified a nearly $14 billion backlog of major infrastructure assets (primarily bridges and</w:t>
      </w:r>
      <w:r>
        <w:rPr>
          <w:rFonts w:cs="Times New Roman"/>
          <w:szCs w:val="24"/>
        </w:rPr>
        <w:t xml:space="preserve"> </w:t>
      </w:r>
      <w:r w:rsidRPr="00B14F99">
        <w:rPr>
          <w:rFonts w:cs="Times New Roman"/>
          <w:szCs w:val="24"/>
        </w:rPr>
        <w:t>tunnels) that have remained in service well beyond their expected useful life, require extensive</w:t>
      </w:r>
      <w:r>
        <w:rPr>
          <w:rFonts w:cs="Times New Roman"/>
          <w:szCs w:val="24"/>
        </w:rPr>
        <w:t xml:space="preserve"> </w:t>
      </w:r>
      <w:r w:rsidRPr="00B14F99">
        <w:rPr>
          <w:rFonts w:cs="Times New Roman"/>
          <w:szCs w:val="24"/>
        </w:rPr>
        <w:t>maintenance and rehabilitation, and are major sources of corridor delays. The average age of</w:t>
      </w:r>
      <w:r>
        <w:rPr>
          <w:rFonts w:cs="Times New Roman"/>
          <w:szCs w:val="24"/>
        </w:rPr>
        <w:t xml:space="preserve"> </w:t>
      </w:r>
      <w:r w:rsidRPr="00B14F99">
        <w:rPr>
          <w:rFonts w:cs="Times New Roman"/>
          <w:szCs w:val="24"/>
        </w:rPr>
        <w:t xml:space="preserve">these bridges and tunnels is over 100 years and failure of </w:t>
      </w:r>
      <w:r w:rsidR="00981032">
        <w:rPr>
          <w:rFonts w:cs="Times New Roman"/>
          <w:szCs w:val="24"/>
        </w:rPr>
        <w:t>these infrastructure assets</w:t>
      </w:r>
      <w:r w:rsidRPr="00B14F99">
        <w:rPr>
          <w:rFonts w:cs="Times New Roman"/>
          <w:szCs w:val="24"/>
        </w:rPr>
        <w:t xml:space="preserve"> could</w:t>
      </w:r>
      <w:r>
        <w:rPr>
          <w:rFonts w:cs="Times New Roman"/>
          <w:szCs w:val="24"/>
        </w:rPr>
        <w:t xml:space="preserve"> </w:t>
      </w:r>
      <w:r w:rsidRPr="00B14F99">
        <w:rPr>
          <w:rFonts w:cs="Times New Roman"/>
          <w:szCs w:val="24"/>
        </w:rPr>
        <w:t xml:space="preserve">cripple travel on the NEC. </w:t>
      </w:r>
    </w:p>
    <w:p w14:paraId="6EF64EC5" w14:textId="77777777" w:rsidR="0065262B" w:rsidRDefault="0024563F" w:rsidP="00193B78">
      <w:pPr>
        <w:spacing w:before="120" w:after="120" w:line="240" w:lineRule="auto"/>
        <w:rPr>
          <w:rFonts w:eastAsia="Times New Roman" w:cs="Times New Roman"/>
          <w:color w:val="000000"/>
          <w:kern w:val="24"/>
          <w:szCs w:val="24"/>
        </w:rPr>
      </w:pPr>
      <w:r w:rsidRPr="00362545">
        <w:rPr>
          <w:rFonts w:eastAsia="Times New Roman" w:cs="Times New Roman"/>
          <w:b/>
          <w:color w:val="000000"/>
          <w:kern w:val="24"/>
          <w:szCs w:val="24"/>
        </w:rPr>
        <w:t xml:space="preserve">Movement of Crude Oil and Other Energy Products: </w:t>
      </w:r>
      <w:r>
        <w:rPr>
          <w:rFonts w:eastAsia="Times New Roman" w:cs="Times New Roman"/>
          <w:color w:val="000000"/>
          <w:kern w:val="24"/>
          <w:szCs w:val="24"/>
        </w:rPr>
        <w:t xml:space="preserve">Rail </w:t>
      </w:r>
      <w:r w:rsidRPr="00362545">
        <w:rPr>
          <w:rFonts w:eastAsia="Times New Roman" w:cs="Times New Roman"/>
          <w:color w:val="000000"/>
          <w:kern w:val="24"/>
          <w:szCs w:val="24"/>
        </w:rPr>
        <w:t xml:space="preserve">transportation </w:t>
      </w:r>
      <w:r>
        <w:rPr>
          <w:rFonts w:eastAsia="Times New Roman" w:cs="Times New Roman"/>
          <w:color w:val="000000"/>
          <w:kern w:val="24"/>
          <w:szCs w:val="24"/>
        </w:rPr>
        <w:t>of crude oil</w:t>
      </w:r>
      <w:r w:rsidRPr="00362545">
        <w:rPr>
          <w:rFonts w:eastAsia="Times New Roman" w:cs="Times New Roman"/>
          <w:color w:val="000000"/>
          <w:kern w:val="24"/>
          <w:szCs w:val="24"/>
        </w:rPr>
        <w:t xml:space="preserve"> increased significantly and rapidly</w:t>
      </w:r>
      <w:r>
        <w:rPr>
          <w:rFonts w:eastAsia="Times New Roman" w:cs="Times New Roman"/>
          <w:color w:val="000000"/>
          <w:kern w:val="24"/>
          <w:szCs w:val="24"/>
        </w:rPr>
        <w:t>,</w:t>
      </w:r>
      <w:r w:rsidRPr="00362545">
        <w:rPr>
          <w:rFonts w:eastAsia="Times New Roman" w:cs="Times New Roman"/>
          <w:color w:val="000000"/>
          <w:kern w:val="24"/>
          <w:szCs w:val="24"/>
        </w:rPr>
        <w:t xml:space="preserve"> driven by new production from the North Dakota Bakken oil fields and imports from Canada. Ethanol and liquefied natural gas transp</w:t>
      </w:r>
      <w:r w:rsidR="00946597">
        <w:rPr>
          <w:rFonts w:eastAsia="Times New Roman" w:cs="Times New Roman"/>
          <w:color w:val="000000"/>
          <w:kern w:val="24"/>
          <w:szCs w:val="24"/>
        </w:rPr>
        <w:t>ortation by rail also increased s</w:t>
      </w:r>
      <w:r w:rsidR="00946597" w:rsidRPr="00362545">
        <w:rPr>
          <w:rFonts w:eastAsia="Times New Roman" w:cs="Times New Roman"/>
          <w:color w:val="000000"/>
          <w:kern w:val="24"/>
          <w:szCs w:val="24"/>
        </w:rPr>
        <w:t>ignificantly</w:t>
      </w:r>
      <w:r w:rsidRPr="00362545">
        <w:rPr>
          <w:rFonts w:eastAsia="Times New Roman" w:cs="Times New Roman"/>
          <w:color w:val="000000"/>
          <w:kern w:val="24"/>
          <w:szCs w:val="24"/>
        </w:rPr>
        <w:t xml:space="preserve"> during the last decade. </w:t>
      </w:r>
      <w:r>
        <w:rPr>
          <w:rFonts w:cs="Times New Roman"/>
          <w:szCs w:val="24"/>
        </w:rPr>
        <w:t>This is a</w:t>
      </w:r>
      <w:r w:rsidRPr="00362545">
        <w:rPr>
          <w:rFonts w:cs="Times New Roman"/>
          <w:szCs w:val="24"/>
        </w:rPr>
        <w:t xml:space="preserve"> </w:t>
      </w:r>
      <w:r w:rsidRPr="00362545">
        <w:rPr>
          <w:rFonts w:eastAsia="Times New Roman" w:cs="Times New Roman"/>
          <w:color w:val="000000"/>
          <w:kern w:val="24"/>
          <w:szCs w:val="24"/>
        </w:rPr>
        <w:t xml:space="preserve">national transportation phenomenon as energy products move </w:t>
      </w:r>
      <w:r>
        <w:rPr>
          <w:rFonts w:eastAsia="Times New Roman" w:cs="Times New Roman"/>
          <w:color w:val="000000"/>
          <w:kern w:val="24"/>
          <w:szCs w:val="24"/>
        </w:rPr>
        <w:t>from production areas to</w:t>
      </w:r>
      <w:r w:rsidRPr="00362545">
        <w:rPr>
          <w:rFonts w:eastAsia="Times New Roman" w:cs="Times New Roman"/>
          <w:color w:val="000000"/>
          <w:kern w:val="24"/>
          <w:szCs w:val="24"/>
        </w:rPr>
        <w:t xml:space="preserve"> refineries on the East, West, and Gulf Coasts.</w:t>
      </w:r>
    </w:p>
    <w:p w14:paraId="4747D86F" w14:textId="77777777" w:rsidR="009619C3" w:rsidRDefault="009619C3">
      <w:pPr>
        <w:rPr>
          <w:rFonts w:eastAsia="Times New Roman" w:cs="Times New Roman"/>
          <w:b/>
          <w:color w:val="000000"/>
          <w:kern w:val="24"/>
          <w:sz w:val="28"/>
          <w:szCs w:val="28"/>
        </w:rPr>
      </w:pPr>
      <w:r>
        <w:rPr>
          <w:rFonts w:eastAsia="Times New Roman" w:cs="Times New Roman"/>
          <w:b/>
          <w:color w:val="000000"/>
          <w:kern w:val="24"/>
          <w:sz w:val="28"/>
          <w:szCs w:val="28"/>
        </w:rPr>
        <w:br w:type="page"/>
      </w:r>
    </w:p>
    <w:p w14:paraId="54CF39E7" w14:textId="18531B37" w:rsidR="002D6F45" w:rsidRDefault="002D6F45" w:rsidP="003F6A9F">
      <w:pPr>
        <w:spacing w:before="240" w:after="0" w:line="240" w:lineRule="auto"/>
        <w:jc w:val="center"/>
        <w:rPr>
          <w:rFonts w:eastAsia="Times New Roman" w:cs="Times New Roman"/>
          <w:b/>
          <w:color w:val="000000"/>
          <w:kern w:val="24"/>
          <w:sz w:val="28"/>
          <w:szCs w:val="28"/>
        </w:rPr>
      </w:pPr>
      <w:r w:rsidRPr="00946597">
        <w:rPr>
          <w:rFonts w:eastAsia="Times New Roman" w:cs="Times New Roman"/>
          <w:b/>
          <w:color w:val="000000"/>
          <w:kern w:val="24"/>
          <w:sz w:val="28"/>
          <w:szCs w:val="28"/>
        </w:rPr>
        <w:lastRenderedPageBreak/>
        <w:t xml:space="preserve">Crude Oil, Ethanol, and Poison Inhalation Hazardous Materials </w:t>
      </w:r>
      <w:r>
        <w:rPr>
          <w:rFonts w:eastAsia="Times New Roman" w:cs="Times New Roman"/>
          <w:b/>
          <w:color w:val="000000"/>
          <w:kern w:val="24"/>
          <w:sz w:val="28"/>
          <w:szCs w:val="28"/>
        </w:rPr>
        <w:t>Originations</w:t>
      </w:r>
      <w:r w:rsidR="00193B78">
        <w:rPr>
          <w:rFonts w:eastAsia="Times New Roman" w:cs="Times New Roman"/>
          <w:b/>
          <w:color w:val="000000"/>
          <w:kern w:val="24"/>
          <w:sz w:val="28"/>
          <w:szCs w:val="28"/>
        </w:rPr>
        <w:t xml:space="preserve"> 2005 to 2014</w:t>
      </w:r>
    </w:p>
    <w:p w14:paraId="213427A7" w14:textId="6D3A5EC9" w:rsidR="002D6F45" w:rsidRDefault="002D6F45" w:rsidP="002D6F45">
      <w:pPr>
        <w:spacing w:after="0" w:line="240" w:lineRule="auto"/>
        <w:jc w:val="center"/>
        <w:rPr>
          <w:rFonts w:cs="Times New Roman"/>
          <w:szCs w:val="24"/>
        </w:rPr>
      </w:pPr>
      <w:r>
        <w:rPr>
          <w:noProof/>
        </w:rPr>
        <w:drawing>
          <wp:inline distT="0" distB="0" distL="0" distR="0" wp14:anchorId="675D0CF5" wp14:editId="7353340F">
            <wp:extent cx="5943600" cy="2389354"/>
            <wp:effectExtent l="0" t="0" r="0" b="1143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6B94615" w14:textId="77777777" w:rsidR="0024563F" w:rsidRPr="00362545" w:rsidRDefault="0024563F" w:rsidP="003A013F">
      <w:pPr>
        <w:spacing w:before="120" w:after="120" w:line="240" w:lineRule="auto"/>
        <w:rPr>
          <w:rFonts w:cs="Times New Roman"/>
          <w:szCs w:val="24"/>
        </w:rPr>
      </w:pPr>
      <w:r w:rsidRPr="002B08BD">
        <w:rPr>
          <w:rFonts w:cs="Times New Roman"/>
          <w:szCs w:val="24"/>
        </w:rPr>
        <w:t>An accident involving large volumes of crude oil can be catastrophic. The 2013 Lac-Mégantic</w:t>
      </w:r>
      <w:r>
        <w:rPr>
          <w:rFonts w:cs="Times New Roman"/>
          <w:szCs w:val="24"/>
        </w:rPr>
        <w:t xml:space="preserve"> </w:t>
      </w:r>
      <w:r w:rsidRPr="002B08BD">
        <w:rPr>
          <w:rFonts w:cs="Times New Roman"/>
          <w:szCs w:val="24"/>
        </w:rPr>
        <w:t>derailment killed 47 people. Since then, trains carrying crude oil have had 22 major accidents in</w:t>
      </w:r>
      <w:r>
        <w:rPr>
          <w:rFonts w:cs="Times New Roman"/>
          <w:szCs w:val="24"/>
        </w:rPr>
        <w:t xml:space="preserve"> </w:t>
      </w:r>
      <w:r w:rsidRPr="002B08BD">
        <w:rPr>
          <w:rFonts w:cs="Times New Roman"/>
          <w:szCs w:val="24"/>
        </w:rPr>
        <w:t>the United States. As the safety and environmental risks grow with increasing shipments of</w:t>
      </w:r>
      <w:r>
        <w:rPr>
          <w:rFonts w:cs="Times New Roman"/>
          <w:szCs w:val="24"/>
        </w:rPr>
        <w:t xml:space="preserve"> </w:t>
      </w:r>
      <w:r w:rsidRPr="002B08BD">
        <w:rPr>
          <w:rFonts w:cs="Times New Roman"/>
          <w:szCs w:val="24"/>
        </w:rPr>
        <w:t>energy products, Congress and the public are demanding rapid and effective remedies.</w:t>
      </w:r>
    </w:p>
    <w:p w14:paraId="0CC236A0" w14:textId="77777777" w:rsidR="0024563F" w:rsidRDefault="0024563F" w:rsidP="003A013F">
      <w:pPr>
        <w:spacing w:before="120" w:after="120" w:line="240" w:lineRule="auto"/>
        <w:rPr>
          <w:rFonts w:eastAsia="Times New Roman" w:cs="Times New Roman"/>
          <w:szCs w:val="24"/>
        </w:rPr>
      </w:pPr>
      <w:r w:rsidRPr="002B08BD">
        <w:rPr>
          <w:rFonts w:eastAsia="Times New Roman" w:cs="Times New Roman"/>
          <w:szCs w:val="24"/>
        </w:rPr>
        <w:t>FRA will use new resources to expand FRA’s Automated Track Inspection Program, which</w:t>
      </w:r>
      <w:r>
        <w:rPr>
          <w:rFonts w:eastAsia="Times New Roman" w:cs="Times New Roman"/>
          <w:szCs w:val="24"/>
        </w:rPr>
        <w:t xml:space="preserve"> </w:t>
      </w:r>
      <w:r w:rsidRPr="002B08BD">
        <w:rPr>
          <w:rFonts w:eastAsia="Times New Roman" w:cs="Times New Roman"/>
          <w:szCs w:val="24"/>
        </w:rPr>
        <w:t>complements and extend humans inspection capabilities to locate problems before they lead to</w:t>
      </w:r>
      <w:r>
        <w:rPr>
          <w:rFonts w:eastAsia="Times New Roman" w:cs="Times New Roman"/>
          <w:szCs w:val="24"/>
        </w:rPr>
        <w:t xml:space="preserve"> </w:t>
      </w:r>
      <w:r w:rsidRPr="002B08BD">
        <w:rPr>
          <w:rFonts w:eastAsia="Times New Roman" w:cs="Times New Roman"/>
          <w:szCs w:val="24"/>
        </w:rPr>
        <w:t>derailments. FRA plans to use these resources to increase automated inspection mileage with</w:t>
      </w:r>
      <w:r>
        <w:rPr>
          <w:rFonts w:eastAsia="Times New Roman" w:cs="Times New Roman"/>
          <w:szCs w:val="24"/>
        </w:rPr>
        <w:t xml:space="preserve"> </w:t>
      </w:r>
      <w:r w:rsidRPr="002B08BD">
        <w:rPr>
          <w:rFonts w:eastAsia="Times New Roman" w:cs="Times New Roman"/>
          <w:szCs w:val="24"/>
        </w:rPr>
        <w:t>existing systems, rehabilitate some equipment, and invest in a new platform with integrated track</w:t>
      </w:r>
      <w:r>
        <w:rPr>
          <w:rFonts w:eastAsia="Times New Roman" w:cs="Times New Roman"/>
          <w:szCs w:val="24"/>
        </w:rPr>
        <w:t xml:space="preserve"> </w:t>
      </w:r>
      <w:r w:rsidRPr="002B08BD">
        <w:rPr>
          <w:rFonts w:eastAsia="Times New Roman" w:cs="Times New Roman"/>
          <w:szCs w:val="24"/>
        </w:rPr>
        <w:t>inspection technologies and rail defect detection systems. The funds will also help FRA advance</w:t>
      </w:r>
      <w:r>
        <w:rPr>
          <w:rFonts w:eastAsia="Times New Roman" w:cs="Times New Roman"/>
          <w:szCs w:val="24"/>
        </w:rPr>
        <w:t xml:space="preserve"> </w:t>
      </w:r>
      <w:r w:rsidRPr="002B08BD">
        <w:rPr>
          <w:rFonts w:eastAsia="Times New Roman" w:cs="Times New Roman"/>
          <w:szCs w:val="24"/>
        </w:rPr>
        <w:t>its analytical capability and increase the flow of actionable information for targeted inspections.</w:t>
      </w:r>
    </w:p>
    <w:p w14:paraId="11B644EF" w14:textId="77777777" w:rsidR="0024563F" w:rsidRPr="00362545" w:rsidRDefault="0024563F" w:rsidP="003A013F">
      <w:pPr>
        <w:spacing w:before="120" w:after="120" w:line="240" w:lineRule="auto"/>
        <w:rPr>
          <w:rFonts w:eastAsia="Times New Roman" w:cs="Times New Roman"/>
          <w:color w:val="000000"/>
          <w:kern w:val="24"/>
          <w:szCs w:val="24"/>
        </w:rPr>
      </w:pPr>
      <w:r w:rsidRPr="002B08BD">
        <w:rPr>
          <w:rFonts w:eastAsia="Times New Roman" w:cs="Times New Roman"/>
          <w:szCs w:val="24"/>
        </w:rPr>
        <w:t>FRA also will fund new research, development, and technology to mitigate rail transportation</w:t>
      </w:r>
      <w:r>
        <w:rPr>
          <w:rFonts w:eastAsia="Times New Roman" w:cs="Times New Roman"/>
          <w:szCs w:val="24"/>
        </w:rPr>
        <w:t xml:space="preserve"> </w:t>
      </w:r>
      <w:r w:rsidRPr="002B08BD">
        <w:rPr>
          <w:rFonts w:eastAsia="Times New Roman" w:cs="Times New Roman"/>
          <w:szCs w:val="24"/>
        </w:rPr>
        <w:t>risks of crude oil and other energy products. Focus areas include tank car and rail integrity and</w:t>
      </w:r>
      <w:r>
        <w:rPr>
          <w:rFonts w:eastAsia="Times New Roman" w:cs="Times New Roman"/>
          <w:szCs w:val="24"/>
        </w:rPr>
        <w:t xml:space="preserve"> </w:t>
      </w:r>
      <w:r w:rsidRPr="002B08BD">
        <w:rPr>
          <w:rFonts w:eastAsia="Times New Roman" w:cs="Times New Roman"/>
          <w:szCs w:val="24"/>
        </w:rPr>
        <w:t>developing the scientific and engineering foundation to continue revamping of FRA’s track</w:t>
      </w:r>
      <w:r>
        <w:rPr>
          <w:rFonts w:eastAsia="Times New Roman" w:cs="Times New Roman"/>
          <w:szCs w:val="24"/>
        </w:rPr>
        <w:t xml:space="preserve"> </w:t>
      </w:r>
      <w:r w:rsidRPr="002B08BD">
        <w:rPr>
          <w:rFonts w:eastAsia="Times New Roman" w:cs="Times New Roman"/>
          <w:szCs w:val="24"/>
        </w:rPr>
        <w:t>safety regulations. These funds will also help the Short Line Safety Institute develop and</w:t>
      </w:r>
      <w:r>
        <w:rPr>
          <w:rFonts w:eastAsia="Times New Roman" w:cs="Times New Roman"/>
          <w:szCs w:val="24"/>
        </w:rPr>
        <w:t xml:space="preserve"> </w:t>
      </w:r>
      <w:r w:rsidRPr="002B08BD">
        <w:rPr>
          <w:rFonts w:eastAsia="Times New Roman" w:cs="Times New Roman"/>
          <w:szCs w:val="24"/>
        </w:rPr>
        <w:t>expand, with an executive director and training director. Insurance companies, vendors, and</w:t>
      </w:r>
      <w:r>
        <w:rPr>
          <w:rFonts w:eastAsia="Times New Roman" w:cs="Times New Roman"/>
          <w:szCs w:val="24"/>
        </w:rPr>
        <w:t xml:space="preserve"> </w:t>
      </w:r>
      <w:r w:rsidRPr="002B08BD">
        <w:rPr>
          <w:rFonts w:eastAsia="Times New Roman" w:cs="Times New Roman"/>
          <w:szCs w:val="24"/>
        </w:rPr>
        <w:t>shippers will also provide resources. FRA’s partnership with the Institute’s sponsor, the</w:t>
      </w:r>
      <w:r>
        <w:rPr>
          <w:rFonts w:eastAsia="Times New Roman" w:cs="Times New Roman"/>
          <w:szCs w:val="24"/>
        </w:rPr>
        <w:t xml:space="preserve"> </w:t>
      </w:r>
      <w:r w:rsidRPr="002B08BD">
        <w:rPr>
          <w:rFonts w:eastAsia="Times New Roman" w:cs="Times New Roman"/>
          <w:szCs w:val="24"/>
        </w:rPr>
        <w:t>American Short Line and Regional Railroad Association, will increase our understanding of</w:t>
      </w:r>
      <w:r>
        <w:rPr>
          <w:rFonts w:eastAsia="Times New Roman" w:cs="Times New Roman"/>
          <w:szCs w:val="24"/>
        </w:rPr>
        <w:t xml:space="preserve"> </w:t>
      </w:r>
      <w:r w:rsidRPr="002B08BD">
        <w:rPr>
          <w:rFonts w:eastAsia="Times New Roman" w:cs="Times New Roman"/>
          <w:szCs w:val="24"/>
        </w:rPr>
        <w:t>small railroads’ unique safety challenges and options for resolving them. FRA also plans to</w:t>
      </w:r>
      <w:r>
        <w:rPr>
          <w:rFonts w:eastAsia="Times New Roman" w:cs="Times New Roman"/>
          <w:szCs w:val="24"/>
        </w:rPr>
        <w:t xml:space="preserve"> </w:t>
      </w:r>
      <w:r w:rsidRPr="002B08BD">
        <w:rPr>
          <w:rFonts w:eastAsia="Times New Roman" w:cs="Times New Roman"/>
          <w:szCs w:val="24"/>
        </w:rPr>
        <w:t>investigate the use of unmanned aircraft systems (UAS) to inspect railroad assets, anticipating</w:t>
      </w:r>
      <w:r>
        <w:rPr>
          <w:rFonts w:eastAsia="Times New Roman" w:cs="Times New Roman"/>
          <w:szCs w:val="24"/>
        </w:rPr>
        <w:t xml:space="preserve"> </w:t>
      </w:r>
      <w:r w:rsidRPr="002B08BD">
        <w:rPr>
          <w:rFonts w:eastAsia="Times New Roman" w:cs="Times New Roman"/>
          <w:szCs w:val="24"/>
        </w:rPr>
        <w:t>that railroads intend to use UAS technologies in variety ways including inspecting tracks and</w:t>
      </w:r>
      <w:r>
        <w:rPr>
          <w:rFonts w:eastAsia="Times New Roman" w:cs="Times New Roman"/>
          <w:szCs w:val="24"/>
        </w:rPr>
        <w:t xml:space="preserve"> </w:t>
      </w:r>
      <w:r w:rsidRPr="002B08BD">
        <w:rPr>
          <w:rFonts w:eastAsia="Times New Roman" w:cs="Times New Roman"/>
          <w:szCs w:val="24"/>
        </w:rPr>
        <w:t>bridges.</w:t>
      </w:r>
    </w:p>
    <w:p w14:paraId="73C3C80C" w14:textId="69C17A74" w:rsidR="00D9240E" w:rsidRPr="009619C3" w:rsidRDefault="00D9240E" w:rsidP="00F336A4">
      <w:pPr>
        <w:pStyle w:val="Heading2"/>
        <w:spacing w:after="240"/>
      </w:pPr>
      <w:bookmarkStart w:id="17" w:name="_Toc483414859"/>
      <w:r w:rsidRPr="009619C3">
        <w:t>Transit Safety</w:t>
      </w:r>
      <w:r w:rsidR="009619C3">
        <w:t xml:space="preserve"> (FTA)</w:t>
      </w:r>
      <w:bookmarkEnd w:id="17"/>
    </w:p>
    <w:p w14:paraId="4F6CF96C" w14:textId="5863626C" w:rsidR="00CD7BD1" w:rsidRDefault="0024563F" w:rsidP="009619C3">
      <w:pPr>
        <w:spacing w:before="120" w:after="120" w:line="240" w:lineRule="auto"/>
        <w:rPr>
          <w:rFonts w:cs="Times New Roman"/>
          <w:szCs w:val="24"/>
        </w:rPr>
      </w:pPr>
      <w:r w:rsidRPr="00362545">
        <w:rPr>
          <w:rFonts w:cs="Times New Roman"/>
          <w:szCs w:val="24"/>
        </w:rPr>
        <w:t>According to the National Safety Council, passengers on the Nation’s bus, rail and commuter rail systems are 40 times less likely to be involved in a fatal accident than passengers in cars and trucks. Despite this record of safety, each year there are more than 200 fatalities re</w:t>
      </w:r>
      <w:r w:rsidR="00CD7BD1">
        <w:rPr>
          <w:rFonts w:cs="Times New Roman"/>
          <w:szCs w:val="24"/>
        </w:rPr>
        <w:t xml:space="preserve">lated to public transportation. </w:t>
      </w:r>
      <w:r w:rsidR="00CD7BD1" w:rsidRPr="00362545">
        <w:rPr>
          <w:rFonts w:cs="Times New Roman"/>
          <w:szCs w:val="24"/>
        </w:rPr>
        <w:t xml:space="preserve">In </w:t>
      </w:r>
      <w:r w:rsidR="00CD7BD1">
        <w:rPr>
          <w:rFonts w:cs="Times New Roman"/>
          <w:szCs w:val="24"/>
        </w:rPr>
        <w:t>2015</w:t>
      </w:r>
      <w:r w:rsidR="00CD7BD1" w:rsidRPr="00362545">
        <w:rPr>
          <w:rFonts w:cs="Times New Roman"/>
          <w:szCs w:val="24"/>
        </w:rPr>
        <w:t xml:space="preserve">, 266 fatalities were reported on public transportation, an increase from </w:t>
      </w:r>
      <w:r w:rsidR="00CD7BD1">
        <w:rPr>
          <w:rFonts w:cs="Times New Roman"/>
          <w:szCs w:val="24"/>
        </w:rPr>
        <w:t>2014</w:t>
      </w:r>
      <w:r w:rsidR="00CD7BD1" w:rsidRPr="00362545">
        <w:rPr>
          <w:rFonts w:cs="Times New Roman"/>
          <w:szCs w:val="24"/>
        </w:rPr>
        <w:t xml:space="preserve"> when fatalities totaled between </w:t>
      </w:r>
      <w:r w:rsidR="00CD7BD1">
        <w:rPr>
          <w:rFonts w:cs="Times New Roman"/>
          <w:szCs w:val="24"/>
        </w:rPr>
        <w:t xml:space="preserve">236. It is worth noting that this number is still lower than </w:t>
      </w:r>
      <w:r w:rsidR="00CD7BD1">
        <w:rPr>
          <w:rFonts w:cs="Times New Roman"/>
          <w:szCs w:val="24"/>
        </w:rPr>
        <w:lastRenderedPageBreak/>
        <w:t xml:space="preserve">2013 and 2012 levels. </w:t>
      </w:r>
      <w:r w:rsidR="009619C3">
        <w:rPr>
          <w:rFonts w:cs="Times New Roman"/>
          <w:szCs w:val="24"/>
        </w:rPr>
        <w:t>The Federal Transit Administration (</w:t>
      </w:r>
      <w:r w:rsidR="00CD7BD1" w:rsidRPr="00362545">
        <w:rPr>
          <w:rFonts w:cs="Times New Roman"/>
          <w:szCs w:val="24"/>
        </w:rPr>
        <w:t>FTA</w:t>
      </w:r>
      <w:r w:rsidR="009619C3">
        <w:rPr>
          <w:rFonts w:cs="Times New Roman"/>
          <w:szCs w:val="24"/>
        </w:rPr>
        <w:t>)</w:t>
      </w:r>
      <w:r w:rsidR="00CD7BD1" w:rsidRPr="00362545">
        <w:rPr>
          <w:rFonts w:cs="Times New Roman"/>
          <w:szCs w:val="24"/>
        </w:rPr>
        <w:t xml:space="preserve"> is committed to pursuing a flexible SMS approach in order to help a safe industry become even safer, by fostering sound safety policy, more efficient practices for risk management and safety assurance, and a strong safety culture at every transit system, whatever its size or mode of operation.</w:t>
      </w:r>
    </w:p>
    <w:p w14:paraId="5238BB6D" w14:textId="77777777" w:rsidR="0024563F" w:rsidRPr="00483760" w:rsidRDefault="0024563F" w:rsidP="00CE4D0E">
      <w:pPr>
        <w:pStyle w:val="Heading4"/>
      </w:pPr>
      <w:r w:rsidRPr="00483760">
        <w:t>Key Strategies</w:t>
      </w:r>
    </w:p>
    <w:p w14:paraId="30116314" w14:textId="77777777" w:rsidR="008A6B02" w:rsidRDefault="008A6B02" w:rsidP="008A6B02">
      <w:pPr>
        <w:spacing w:before="120" w:after="120" w:line="240" w:lineRule="auto"/>
        <w:rPr>
          <w:rFonts w:cs="Times New Roman"/>
          <w:szCs w:val="24"/>
        </w:rPr>
      </w:pPr>
      <w:r w:rsidRPr="00E273C5">
        <w:rPr>
          <w:rFonts w:cs="Times New Roman"/>
          <w:szCs w:val="24"/>
        </w:rPr>
        <w:t>FTA is working diligently to stand up the National Public Transportation Safety Program under MAP-21.</w:t>
      </w:r>
      <w:r w:rsidRPr="00362545">
        <w:rPr>
          <w:rFonts w:cs="Times New Roman"/>
          <w:szCs w:val="24"/>
        </w:rPr>
        <w:t xml:space="preserve"> To fulfill our commitment to developing an effective regulatory safety oversight program for the transit industry, FTA continues to strengthen the State Safety Oversight Program, develop a comprehensive SMS-focused training program, broaden the charter for the Transit Advisory Committee for Safety and kick-off the study of fatigue and operator assault prevention measures that will inform future safety rulemakings. FTA also </w:t>
      </w:r>
      <w:r>
        <w:t xml:space="preserve">initiated three safety research projects: 1) Pedestrian/Bicyclist Guidebook, 2) Transit Employee Safety Reporting Pilot, and 3) Safety Standard Strategic Plan &amp; Data Collection.  FTA also completed the safety standards compendium and solicited industry public comment consistent with a statutory requirement. </w:t>
      </w:r>
      <w:r w:rsidRPr="00362545">
        <w:rPr>
          <w:rFonts w:cs="Times New Roman"/>
          <w:szCs w:val="24"/>
        </w:rPr>
        <w:t xml:space="preserve">In addition, </w:t>
      </w:r>
      <w:r>
        <w:t xml:space="preserve">FTA selected 13 transit agency projects out of 72 applications for $29 million to support cutting-edge efforts to improve track worker and passenger safety, improve natural disaster resilience, and respond more effectively to a range of emergencies.  </w:t>
      </w:r>
    </w:p>
    <w:p w14:paraId="2612D19B" w14:textId="52023011" w:rsidR="008A6B02" w:rsidRPr="00362545" w:rsidRDefault="008A6B02" w:rsidP="008A6B02">
      <w:pPr>
        <w:spacing w:before="120" w:after="120" w:line="240" w:lineRule="auto"/>
        <w:rPr>
          <w:rFonts w:cs="Times New Roman"/>
          <w:szCs w:val="24"/>
        </w:rPr>
      </w:pPr>
      <w:r>
        <w:rPr>
          <w:rFonts w:cs="Times New Roman"/>
          <w:szCs w:val="24"/>
        </w:rPr>
        <w:t>The agency will also to continue to do inspections and provide directives as needed in order to assure a safe state of operations for WMATA and any other agencies that aren’t fulfilling their safety responsibilities.</w:t>
      </w:r>
    </w:p>
    <w:p w14:paraId="42567D50" w14:textId="42EF3B09" w:rsidR="0024563F" w:rsidRPr="00D20D2A" w:rsidRDefault="0024563F" w:rsidP="00CE4D0E">
      <w:pPr>
        <w:pStyle w:val="Heading4"/>
      </w:pPr>
      <w:r w:rsidRPr="00D20D2A">
        <w:t>Next Steps</w:t>
      </w:r>
    </w:p>
    <w:p w14:paraId="64D60017" w14:textId="08F141F0" w:rsidR="00CE4D0E" w:rsidRPr="00CE4D0E" w:rsidRDefault="008A6B02" w:rsidP="00961E73">
      <w:pPr>
        <w:spacing w:line="240" w:lineRule="auto"/>
        <w:rPr>
          <w:rFonts w:cs="Times New Roman"/>
          <w:szCs w:val="24"/>
        </w:rPr>
      </w:pPr>
      <w:r w:rsidRPr="00362545">
        <w:rPr>
          <w:rFonts w:cs="Times New Roman"/>
          <w:szCs w:val="24"/>
        </w:rPr>
        <w:t>In 201</w:t>
      </w:r>
      <w:r>
        <w:rPr>
          <w:rFonts w:cs="Times New Roman"/>
          <w:szCs w:val="24"/>
        </w:rPr>
        <w:t>7</w:t>
      </w:r>
      <w:r w:rsidRPr="00362545">
        <w:rPr>
          <w:rFonts w:cs="Times New Roman"/>
          <w:szCs w:val="24"/>
        </w:rPr>
        <w:t xml:space="preserve">, FTA </w:t>
      </w:r>
      <w:r>
        <w:rPr>
          <w:rFonts w:cs="Times New Roman"/>
          <w:szCs w:val="24"/>
        </w:rPr>
        <w:t xml:space="preserve">will continue the launch of the Safety Research and Demonstration program to </w:t>
      </w:r>
      <w:r>
        <w:t xml:space="preserve">provide technical and financial support in for transit agencies to pursue innovative approaches to eliminate or mitigate known safety hazards in public transportation via demonstration of technologies, practices, and designs. </w:t>
      </w:r>
    </w:p>
    <w:p w14:paraId="49064AC1" w14:textId="1BB75F76" w:rsidR="00476685" w:rsidRDefault="00900BFD" w:rsidP="00CE4D0E">
      <w:pPr>
        <w:pStyle w:val="Heading2"/>
        <w:spacing w:after="240"/>
      </w:pPr>
      <w:bookmarkStart w:id="18" w:name="_Toc483414860"/>
      <w:r w:rsidRPr="00D20D2A">
        <w:t>Hazardous Materials Safety</w:t>
      </w:r>
      <w:r w:rsidR="00D20D2A">
        <w:t xml:space="preserve"> (PHMSA)</w:t>
      </w:r>
      <w:bookmarkEnd w:id="18"/>
    </w:p>
    <w:p w14:paraId="6A28B954" w14:textId="062C15E6" w:rsidR="00986EDC" w:rsidRPr="00794F56" w:rsidRDefault="00986EDC" w:rsidP="008D4FCE">
      <w:pPr>
        <w:autoSpaceDE w:val="0"/>
        <w:autoSpaceDN w:val="0"/>
        <w:adjustRightInd w:val="0"/>
        <w:spacing w:before="120" w:after="120" w:line="240" w:lineRule="auto"/>
        <w:rPr>
          <w:rFonts w:eastAsia="Calibri" w:cs="Times New Roman"/>
          <w:szCs w:val="24"/>
        </w:rPr>
      </w:pPr>
      <w:r>
        <w:rPr>
          <w:rFonts w:eastAsia="Calibri" w:cs="Times New Roman"/>
          <w:szCs w:val="24"/>
        </w:rPr>
        <w:t>Every year</w:t>
      </w:r>
      <w:r w:rsidRPr="00794F56">
        <w:rPr>
          <w:rFonts w:eastAsia="Calibri" w:cs="Times New Roman"/>
          <w:szCs w:val="24"/>
        </w:rPr>
        <w:t xml:space="preserve">, more than 2.5 billion tons of regulated </w:t>
      </w:r>
      <w:r w:rsidRPr="00794F56">
        <w:rPr>
          <w:rFonts w:eastAsia="Calibri" w:cs="Times New Roman"/>
          <w:bCs/>
          <w:szCs w:val="24"/>
        </w:rPr>
        <w:t>hazardous materials</w:t>
      </w:r>
      <w:r w:rsidRPr="00794F56">
        <w:rPr>
          <w:rFonts w:eastAsia="Calibri" w:cs="Times New Roman"/>
          <w:szCs w:val="24"/>
        </w:rPr>
        <w:t xml:space="preserve">—including explosive, poisonous, corrosive, flammable, and radioactive materials—valued at about $2.3 trillion </w:t>
      </w:r>
      <w:r w:rsidR="008D4FCE">
        <w:rPr>
          <w:rFonts w:eastAsia="Calibri" w:cs="Times New Roman"/>
          <w:szCs w:val="24"/>
        </w:rPr>
        <w:t>move</w:t>
      </w:r>
      <w:r w:rsidRPr="00794F56">
        <w:rPr>
          <w:rFonts w:eastAsia="Calibri" w:cs="Times New Roman"/>
          <w:szCs w:val="24"/>
        </w:rPr>
        <w:t xml:space="preserve"> 307 billion miles on the nation’s transportation network.</w:t>
      </w:r>
      <w:r w:rsidRPr="002635BE">
        <w:rPr>
          <w:rFonts w:eastAsia="Calibri" w:cs="Times New Roman"/>
          <w:szCs w:val="24"/>
          <w:vertAlign w:val="superscript"/>
        </w:rPr>
        <w:footnoteReference w:id="5"/>
      </w:r>
      <w:r w:rsidRPr="002635BE">
        <w:rPr>
          <w:rFonts w:eastAsia="Calibri" w:cs="Times New Roman"/>
          <w:szCs w:val="24"/>
          <w:vertAlign w:val="superscript"/>
        </w:rPr>
        <w:t xml:space="preserve"> </w:t>
      </w:r>
      <w:r w:rsidRPr="00794F56">
        <w:rPr>
          <w:rFonts w:eastAsia="Calibri" w:cs="Times New Roman"/>
          <w:szCs w:val="24"/>
        </w:rPr>
        <w:t xml:space="preserve"> </w:t>
      </w:r>
    </w:p>
    <w:p w14:paraId="7E1F2710" w14:textId="0C2A8375" w:rsidR="00CE4D0E" w:rsidRDefault="00CE4D0E" w:rsidP="008D4FCE">
      <w:pPr>
        <w:autoSpaceDE w:val="0"/>
        <w:autoSpaceDN w:val="0"/>
        <w:adjustRightInd w:val="0"/>
        <w:spacing w:before="120" w:after="120" w:line="240" w:lineRule="auto"/>
        <w:rPr>
          <w:rFonts w:eastAsia="Calibri" w:cs="Times New Roman"/>
          <w:szCs w:val="24"/>
        </w:rPr>
      </w:pPr>
      <w:r>
        <w:rPr>
          <w:noProof/>
        </w:rPr>
        <w:lastRenderedPageBreak/>
        <w:drawing>
          <wp:inline distT="0" distB="0" distL="0" distR="0" wp14:anchorId="5601CF88" wp14:editId="1E837ECF">
            <wp:extent cx="5398936" cy="3402579"/>
            <wp:effectExtent l="0" t="0" r="11430" b="762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CEDB591" w14:textId="66007379" w:rsidR="00986EDC" w:rsidRDefault="00986EDC" w:rsidP="008D4FCE">
      <w:pPr>
        <w:autoSpaceDE w:val="0"/>
        <w:autoSpaceDN w:val="0"/>
        <w:adjustRightInd w:val="0"/>
        <w:spacing w:before="120" w:after="120" w:line="240" w:lineRule="auto"/>
        <w:rPr>
          <w:rFonts w:eastAsia="Calibri" w:cs="Times New Roman"/>
          <w:szCs w:val="24"/>
        </w:rPr>
      </w:pPr>
      <w:r>
        <w:rPr>
          <w:rFonts w:eastAsia="Calibri" w:cs="Times New Roman"/>
          <w:szCs w:val="24"/>
        </w:rPr>
        <w:t xml:space="preserve">Transporting hazardous materials underpins the United States’ economy and quality of life.  Oil and natural gas are used to </w:t>
      </w:r>
      <w:r w:rsidRPr="00794F56">
        <w:rPr>
          <w:rFonts w:eastAsia="Calibri" w:cs="Times New Roman"/>
          <w:szCs w:val="24"/>
        </w:rPr>
        <w:t>heat and cool homes and businesses, transport commercial products</w:t>
      </w:r>
      <w:r>
        <w:rPr>
          <w:rFonts w:eastAsia="Calibri" w:cs="Times New Roman"/>
          <w:szCs w:val="24"/>
        </w:rPr>
        <w:t xml:space="preserve"> and people</w:t>
      </w:r>
      <w:r w:rsidRPr="00794F56">
        <w:rPr>
          <w:rFonts w:eastAsia="Calibri" w:cs="Times New Roman"/>
          <w:szCs w:val="24"/>
        </w:rPr>
        <w:t xml:space="preserve">, and produce electricity. </w:t>
      </w:r>
      <w:r>
        <w:rPr>
          <w:rFonts w:eastAsia="Calibri" w:cs="Times New Roman"/>
          <w:szCs w:val="24"/>
        </w:rPr>
        <w:t xml:space="preserve"> H</w:t>
      </w:r>
      <w:r w:rsidRPr="00794F56">
        <w:rPr>
          <w:rFonts w:eastAsia="Calibri" w:cs="Times New Roman"/>
          <w:szCs w:val="24"/>
        </w:rPr>
        <w:t xml:space="preserve">azardous materials </w:t>
      </w:r>
      <w:r>
        <w:rPr>
          <w:rFonts w:eastAsia="Calibri" w:cs="Times New Roman"/>
          <w:szCs w:val="24"/>
        </w:rPr>
        <w:t xml:space="preserve">are also used in processes like water purification, </w:t>
      </w:r>
      <w:r w:rsidRPr="00794F56">
        <w:rPr>
          <w:rFonts w:eastAsia="Calibri" w:cs="Times New Roman"/>
          <w:szCs w:val="24"/>
        </w:rPr>
        <w:t>fertiliz</w:t>
      </w:r>
      <w:r>
        <w:rPr>
          <w:rFonts w:eastAsia="Calibri" w:cs="Times New Roman"/>
          <w:szCs w:val="24"/>
        </w:rPr>
        <w:t xml:space="preserve">ing crops, producing medicines, and manufacturing many other </w:t>
      </w:r>
      <w:r w:rsidRPr="00794F56">
        <w:rPr>
          <w:rFonts w:eastAsia="Calibri" w:cs="Times New Roman"/>
          <w:szCs w:val="24"/>
        </w:rPr>
        <w:t xml:space="preserve">products. </w:t>
      </w:r>
      <w:r>
        <w:rPr>
          <w:rFonts w:eastAsia="Calibri" w:cs="Times New Roman"/>
          <w:szCs w:val="24"/>
        </w:rPr>
        <w:t xml:space="preserve"> </w:t>
      </w:r>
      <w:r w:rsidRPr="00513371">
        <w:rPr>
          <w:rFonts w:eastAsia="Calibri" w:cs="Times New Roman"/>
          <w:szCs w:val="24"/>
        </w:rPr>
        <w:t>These shipments move through densely populated or sensitive areas where the consequences of an incident could be loss of life or serious environmental damage.</w:t>
      </w:r>
      <w:r>
        <w:rPr>
          <w:rFonts w:eastAsia="Calibri" w:cs="Times New Roman"/>
          <w:szCs w:val="24"/>
        </w:rPr>
        <w:t xml:space="preserve"> </w:t>
      </w:r>
      <w:r w:rsidR="00D20D2A">
        <w:rPr>
          <w:rFonts w:eastAsia="Calibri" w:cs="Times New Roman"/>
          <w:szCs w:val="24"/>
        </w:rPr>
        <w:t>The Pipeline and Hazardous Materials Safety Administration (</w:t>
      </w:r>
      <w:r>
        <w:rPr>
          <w:rFonts w:eastAsia="Calibri" w:cs="Times New Roman"/>
          <w:szCs w:val="24"/>
        </w:rPr>
        <w:t>PHMSA</w:t>
      </w:r>
      <w:r w:rsidR="00D20D2A">
        <w:rPr>
          <w:rFonts w:eastAsia="Calibri" w:cs="Times New Roman"/>
          <w:szCs w:val="24"/>
        </w:rPr>
        <w:t>)</w:t>
      </w:r>
      <w:r>
        <w:rPr>
          <w:rFonts w:eastAsia="Calibri" w:cs="Times New Roman"/>
          <w:szCs w:val="24"/>
        </w:rPr>
        <w:t xml:space="preserve"> provides critical oversight that keeps the public, property, and the environment safe from hazardous materials during transport while also ensuring that these products can move easily through the marketplace to meet </w:t>
      </w:r>
      <w:r w:rsidRPr="00794F56">
        <w:rPr>
          <w:rFonts w:eastAsia="Calibri" w:cs="Times New Roman"/>
          <w:szCs w:val="24"/>
        </w:rPr>
        <w:t>public demands.</w:t>
      </w:r>
      <w:r>
        <w:rPr>
          <w:rFonts w:eastAsia="Calibri" w:cs="Times New Roman"/>
          <w:szCs w:val="24"/>
        </w:rPr>
        <w:t xml:space="preserve"> </w:t>
      </w:r>
    </w:p>
    <w:p w14:paraId="365B44A8" w14:textId="77777777" w:rsidR="00986EDC" w:rsidRDefault="00986EDC" w:rsidP="008D4FCE">
      <w:pPr>
        <w:autoSpaceDE w:val="0"/>
        <w:autoSpaceDN w:val="0"/>
        <w:adjustRightInd w:val="0"/>
        <w:spacing w:before="120" w:after="120" w:line="240" w:lineRule="auto"/>
        <w:rPr>
          <w:rFonts w:eastAsia="Calibri" w:cs="Times New Roman"/>
          <w:szCs w:val="24"/>
        </w:rPr>
      </w:pPr>
      <w:r>
        <w:rPr>
          <w:rFonts w:eastAsia="Calibri" w:cs="Times New Roman"/>
          <w:szCs w:val="24"/>
        </w:rPr>
        <w:t>PHMSA’s hazardous materials strategic goal is “</w:t>
      </w:r>
      <w:r w:rsidRPr="00E40243">
        <w:rPr>
          <w:rFonts w:eastAsia="Calibri" w:cs="Times New Roman"/>
          <w:szCs w:val="24"/>
        </w:rPr>
        <w:t>to improve public health and safety by reducing transportation-related deaths and injuries.</w:t>
      </w:r>
      <w:r>
        <w:rPr>
          <w:rFonts w:eastAsia="Calibri" w:cs="Times New Roman"/>
          <w:szCs w:val="24"/>
        </w:rPr>
        <w:t>”</w:t>
      </w:r>
      <w:r w:rsidRPr="00E40243">
        <w:rPr>
          <w:rFonts w:eastAsia="Calibri" w:cs="Times New Roman"/>
          <w:szCs w:val="24"/>
        </w:rPr>
        <w:t xml:space="preserve"> </w:t>
      </w:r>
      <w:r>
        <w:rPr>
          <w:rFonts w:eastAsia="Calibri" w:cs="Times New Roman"/>
          <w:szCs w:val="24"/>
        </w:rPr>
        <w:t xml:space="preserve"> This goal is aligned with PHMSA’s mission of</w:t>
      </w:r>
      <w:r w:rsidRPr="00E40243">
        <w:rPr>
          <w:rFonts w:eastAsia="Calibri" w:cs="Times New Roman"/>
          <w:szCs w:val="24"/>
        </w:rPr>
        <w:t xml:space="preserve"> protect</w:t>
      </w:r>
      <w:r>
        <w:rPr>
          <w:rFonts w:eastAsia="Calibri" w:cs="Times New Roman"/>
          <w:szCs w:val="24"/>
        </w:rPr>
        <w:t>ing</w:t>
      </w:r>
      <w:r w:rsidRPr="00E40243">
        <w:rPr>
          <w:rFonts w:eastAsia="Calibri" w:cs="Times New Roman"/>
          <w:szCs w:val="24"/>
        </w:rPr>
        <w:t xml:space="preserve"> people and the environment</w:t>
      </w:r>
      <w:r>
        <w:rPr>
          <w:rFonts w:eastAsia="Calibri" w:cs="Times New Roman"/>
          <w:szCs w:val="24"/>
        </w:rPr>
        <w:t xml:space="preserve"> from the risks of hazardous materials</w:t>
      </w:r>
      <w:r w:rsidRPr="00E40243">
        <w:rPr>
          <w:rFonts w:eastAsia="Calibri" w:cs="Times New Roman"/>
          <w:szCs w:val="24"/>
        </w:rPr>
        <w:t xml:space="preserve"> transportation. </w:t>
      </w:r>
      <w:r>
        <w:rPr>
          <w:rFonts w:eastAsia="Calibri" w:cs="Times New Roman"/>
          <w:szCs w:val="24"/>
        </w:rPr>
        <w:t xml:space="preserve"> Accordingly, PHMSA measures the number of incidents with death or major injury involving the transport of hazardous materials against annual performance targets.  </w:t>
      </w:r>
    </w:p>
    <w:p w14:paraId="57DB4B17" w14:textId="77777777" w:rsidR="00D20D2A" w:rsidRPr="009619C3" w:rsidRDefault="00D20D2A" w:rsidP="00CE4D0E">
      <w:pPr>
        <w:pStyle w:val="Heading4"/>
      </w:pPr>
      <w:r w:rsidRPr="009619C3">
        <w:t>Key Strategies and Next Steps</w:t>
      </w:r>
    </w:p>
    <w:p w14:paraId="25FF9081" w14:textId="153126A9" w:rsidR="00E620DA" w:rsidRPr="00B50D38" w:rsidRDefault="00E620DA" w:rsidP="00F336A4">
      <w:pPr>
        <w:spacing w:before="120" w:after="240" w:line="240" w:lineRule="auto"/>
      </w:pPr>
      <w:r w:rsidRPr="00B50D38">
        <w:t>PHMSA works to protect people and the environment</w:t>
      </w:r>
      <w:r>
        <w:t xml:space="preserve"> from the risk of hazardous materials</w:t>
      </w:r>
      <w:r w:rsidRPr="00B50D38">
        <w:t xml:space="preserve"> throughout the transportation system.  </w:t>
      </w:r>
      <w:r>
        <w:t>To achieve our goal of reduced hazardous materials incidents resulti</w:t>
      </w:r>
      <w:r w:rsidR="00D20D2A">
        <w:t xml:space="preserve">ng in death or major industry, the Office of </w:t>
      </w:r>
      <w:r>
        <w:t>H</w:t>
      </w:r>
      <w:r w:rsidR="00D20D2A">
        <w:t xml:space="preserve">azardous </w:t>
      </w:r>
      <w:r>
        <w:t>M</w:t>
      </w:r>
      <w:r w:rsidR="00D20D2A">
        <w:t xml:space="preserve">aterials </w:t>
      </w:r>
      <w:r>
        <w:t>S</w:t>
      </w:r>
      <w:r w:rsidR="00D20D2A">
        <w:t>afety</w:t>
      </w:r>
      <w:r>
        <w:t xml:space="preserve"> has focused on a number of key areas and implored targeted strategies to address the risks. </w:t>
      </w:r>
      <w:r w:rsidRPr="00B50D38">
        <w:t>These include:</w:t>
      </w:r>
    </w:p>
    <w:p w14:paraId="58576C1E" w14:textId="77777777" w:rsidR="00E620DA" w:rsidRPr="00EC27B9" w:rsidRDefault="00E620DA" w:rsidP="007935D7">
      <w:pPr>
        <w:pStyle w:val="ListParagraph"/>
        <w:numPr>
          <w:ilvl w:val="1"/>
          <w:numId w:val="3"/>
        </w:numPr>
        <w:autoSpaceDE w:val="0"/>
        <w:autoSpaceDN w:val="0"/>
        <w:adjustRightInd w:val="0"/>
        <w:spacing w:before="120" w:after="120"/>
        <w:ind w:left="360" w:right="58"/>
        <w:contextualSpacing w:val="0"/>
        <w:rPr>
          <w:rFonts w:cs="Times New Roman"/>
        </w:rPr>
      </w:pPr>
      <w:r w:rsidRPr="008009F9">
        <w:rPr>
          <w:rFonts w:cs="Times New Roman"/>
          <w:i/>
        </w:rPr>
        <w:t>Streamlining</w:t>
      </w:r>
      <w:r>
        <w:rPr>
          <w:rFonts w:cs="Times New Roman"/>
          <w:i/>
        </w:rPr>
        <w:t xml:space="preserve">, </w:t>
      </w:r>
      <w:r w:rsidRPr="008009F9">
        <w:rPr>
          <w:rFonts w:cs="Times New Roman"/>
          <w:i/>
        </w:rPr>
        <w:t>Clarifying</w:t>
      </w:r>
      <w:r>
        <w:rPr>
          <w:rFonts w:cs="Times New Roman"/>
          <w:i/>
        </w:rPr>
        <w:t>,</w:t>
      </w:r>
      <w:r w:rsidRPr="008009F9">
        <w:rPr>
          <w:rFonts w:cs="Times New Roman"/>
          <w:i/>
        </w:rPr>
        <w:t xml:space="preserve"> and</w:t>
      </w:r>
      <w:r>
        <w:rPr>
          <w:rFonts w:cs="Times New Roman"/>
          <w:i/>
        </w:rPr>
        <w:t xml:space="preserve"> Harmonizing </w:t>
      </w:r>
      <w:r w:rsidRPr="008009F9">
        <w:rPr>
          <w:rFonts w:cs="Times New Roman"/>
          <w:i/>
        </w:rPr>
        <w:t>Hazardous Materials Transportation Regulations</w:t>
      </w:r>
      <w:r>
        <w:rPr>
          <w:rFonts w:cs="Times New Roman"/>
          <w:i/>
        </w:rPr>
        <w:t xml:space="preserve">: </w:t>
      </w:r>
      <w:r>
        <w:t xml:space="preserve">Consistent with </w:t>
      </w:r>
      <w:r w:rsidRPr="00020828">
        <w:t>Executive Orders</w:t>
      </w:r>
      <w:r>
        <w:t xml:space="preserve"> (EO)</w:t>
      </w:r>
      <w:r w:rsidRPr="00020828">
        <w:t xml:space="preserve"> 12866</w:t>
      </w:r>
      <w:r>
        <w:t>,</w:t>
      </w:r>
      <w:r w:rsidRPr="00020828">
        <w:t xml:space="preserve"> 13563</w:t>
      </w:r>
      <w:r>
        <w:t>,</w:t>
      </w:r>
      <w:r w:rsidRPr="00020828">
        <w:t xml:space="preserve"> </w:t>
      </w:r>
      <w:r>
        <w:t xml:space="preserve">and 13610, OHMS frequently conducts retrospective reviews of our regulations to ensure they remain justified, </w:t>
      </w:r>
      <w:r>
        <w:lastRenderedPageBreak/>
        <w:t>are not duplicative, and reflect current practices and technologies</w:t>
      </w:r>
      <w:r w:rsidRPr="00020828">
        <w:t>.</w:t>
      </w:r>
      <w:r>
        <w:t xml:space="preserve">  In addition, on January 30, 2017, President Trump signed an EO 13771 entitled “Reducing Regulation and Controlling Cost” requiring the removal of duplicative or unnecessary regulations.  The reviews conducted by OHMS, consistent with the EOs, will identify and advance the streamlining of hazardous materials regulations.  OHMS believes streamlining, updating, and clarifying regulations will improve compliance and allow industry and government to more effectively focus on high risk shipments.  </w:t>
      </w:r>
    </w:p>
    <w:p w14:paraId="2CDBB123" w14:textId="77777777" w:rsidR="00E620DA" w:rsidRPr="00EC27B9" w:rsidRDefault="00E620DA" w:rsidP="00E620DA">
      <w:pPr>
        <w:pStyle w:val="ListParagraph"/>
        <w:autoSpaceDE w:val="0"/>
        <w:autoSpaceDN w:val="0"/>
        <w:adjustRightInd w:val="0"/>
        <w:spacing w:before="120" w:after="120"/>
        <w:ind w:left="360" w:right="58"/>
        <w:contextualSpacing w:val="0"/>
        <w:rPr>
          <w:rFonts w:cs="Times New Roman"/>
        </w:rPr>
      </w:pPr>
      <w:r>
        <w:rPr>
          <w:rFonts w:cs="Times New Roman"/>
        </w:rPr>
        <w:t>International h</w:t>
      </w:r>
      <w:r w:rsidRPr="00EC27B9">
        <w:rPr>
          <w:rFonts w:cs="Times New Roman"/>
        </w:rPr>
        <w:t xml:space="preserve">armonization facilitates international trade by minimizing the costs and other burdens of complying with multiple or inconsistent safety requirements for transportation of hazardous materials.  Safety is enhanced by creating a uniform framework for compliance, and as the volume of hazardous materials transported in international commerce continues to grow, harmonization becomes increasingly important.  </w:t>
      </w:r>
      <w:r>
        <w:rPr>
          <w:rFonts w:cs="Times New Roman"/>
        </w:rPr>
        <w:t>OHMS c</w:t>
      </w:r>
      <w:r w:rsidRPr="00EC27B9">
        <w:rPr>
          <w:rFonts w:cs="Times New Roman"/>
        </w:rPr>
        <w:t>ontinue</w:t>
      </w:r>
      <w:r>
        <w:rPr>
          <w:rFonts w:cs="Times New Roman"/>
        </w:rPr>
        <w:t>s</w:t>
      </w:r>
      <w:r w:rsidRPr="00EC27B9">
        <w:rPr>
          <w:rFonts w:cs="Times New Roman"/>
        </w:rPr>
        <w:t xml:space="preserve"> to work with modal partners and international regulatory bodies to strengthen global requirements.</w:t>
      </w:r>
    </w:p>
    <w:p w14:paraId="03275752" w14:textId="77777777" w:rsidR="00E620DA" w:rsidRDefault="00E620DA" w:rsidP="007935D7">
      <w:pPr>
        <w:pStyle w:val="ListParagraph"/>
        <w:numPr>
          <w:ilvl w:val="1"/>
          <w:numId w:val="3"/>
        </w:numPr>
        <w:autoSpaceDE w:val="0"/>
        <w:autoSpaceDN w:val="0"/>
        <w:adjustRightInd w:val="0"/>
        <w:spacing w:before="120" w:after="120"/>
        <w:ind w:left="360" w:right="58"/>
        <w:contextualSpacing w:val="0"/>
        <w:rPr>
          <w:rFonts w:cs="Times New Roman"/>
        </w:rPr>
      </w:pPr>
      <w:r>
        <w:rPr>
          <w:rFonts w:cs="Times New Roman"/>
          <w:i/>
        </w:rPr>
        <w:t xml:space="preserve">Industry, Community, and Emergency Responder Outreach: </w:t>
      </w:r>
      <w:r w:rsidRPr="00EC27B9">
        <w:rPr>
          <w:rFonts w:cs="Times New Roman"/>
        </w:rPr>
        <w:t xml:space="preserve">Ensuring stakeholder awareness is essential in </w:t>
      </w:r>
      <w:r>
        <w:rPr>
          <w:rFonts w:cs="Times New Roman"/>
        </w:rPr>
        <w:t xml:space="preserve">improving compliance while also </w:t>
      </w:r>
      <w:r w:rsidRPr="00EC27B9">
        <w:rPr>
          <w:rFonts w:cs="Times New Roman"/>
        </w:rPr>
        <w:t>mitigating consequences of hazardous materials incidents.</w:t>
      </w:r>
      <w:r>
        <w:rPr>
          <w:rFonts w:cs="Times New Roman"/>
        </w:rPr>
        <w:t xml:space="preserve">  OHMS utilizes a robust outreach campaign to reduce </w:t>
      </w:r>
      <w:r w:rsidRPr="00EC27B9">
        <w:rPr>
          <w:rFonts w:cs="Times New Roman"/>
        </w:rPr>
        <w:t>hazardous materials incidents involving death or major injury.</w:t>
      </w:r>
      <w:r>
        <w:rPr>
          <w:rFonts w:cs="Times New Roman"/>
        </w:rPr>
        <w:t xml:space="preserve">  This includes participation in the regulatory process, compliance assistance, training, and allocation of grant funding. </w:t>
      </w:r>
    </w:p>
    <w:p w14:paraId="174DA2D5" w14:textId="77777777" w:rsidR="00E620DA" w:rsidRDefault="00E620DA" w:rsidP="007935D7">
      <w:pPr>
        <w:pStyle w:val="ListParagraph"/>
        <w:numPr>
          <w:ilvl w:val="0"/>
          <w:numId w:val="60"/>
        </w:numPr>
        <w:autoSpaceDE w:val="0"/>
        <w:autoSpaceDN w:val="0"/>
        <w:adjustRightInd w:val="0"/>
        <w:spacing w:before="120" w:after="120"/>
        <w:ind w:right="58"/>
        <w:contextualSpacing w:val="0"/>
        <w:rPr>
          <w:rFonts w:cs="Times New Roman"/>
        </w:rPr>
      </w:pPr>
      <w:r w:rsidRPr="003B1996">
        <w:rPr>
          <w:rFonts w:cs="Times New Roman"/>
          <w:b/>
        </w:rPr>
        <w:t>Regulatory Process</w:t>
      </w:r>
      <w:r>
        <w:rPr>
          <w:rFonts w:cs="Times New Roman"/>
        </w:rPr>
        <w:t>:  OHMS provides ample opportunity for our stakeholders to provide input on the impacts and feasibility of our regulations.  OMHS</w:t>
      </w:r>
      <w:r w:rsidRPr="00D66A1C">
        <w:rPr>
          <w:rFonts w:cs="Times New Roman"/>
        </w:rPr>
        <w:t xml:space="preserve"> issues special permits to address the unique needs of individual companies and industries</w:t>
      </w:r>
      <w:r>
        <w:rPr>
          <w:rFonts w:cs="Times New Roman"/>
        </w:rPr>
        <w:t xml:space="preserve"> and to foster innovative solutions</w:t>
      </w:r>
      <w:r w:rsidRPr="00D66A1C">
        <w:rPr>
          <w:rFonts w:cs="Times New Roman"/>
        </w:rPr>
        <w:t>.</w:t>
      </w:r>
      <w:r>
        <w:rPr>
          <w:rFonts w:cs="Times New Roman"/>
        </w:rPr>
        <w:t xml:space="preserve">  In addition to posting rulemakings for public comment, OHMS implements a petition for rulemaking process that provides industry a voice in the development of new or the repeal of current regulations.  This engagement ensures our regulations are clear and targeted.</w:t>
      </w:r>
    </w:p>
    <w:p w14:paraId="186C8825" w14:textId="77777777" w:rsidR="00E620DA" w:rsidRDefault="00E620DA" w:rsidP="007935D7">
      <w:pPr>
        <w:pStyle w:val="ListParagraph"/>
        <w:numPr>
          <w:ilvl w:val="0"/>
          <w:numId w:val="60"/>
        </w:numPr>
        <w:autoSpaceDE w:val="0"/>
        <w:autoSpaceDN w:val="0"/>
        <w:adjustRightInd w:val="0"/>
        <w:spacing w:before="120" w:after="120"/>
        <w:ind w:right="58"/>
        <w:contextualSpacing w:val="0"/>
        <w:rPr>
          <w:rFonts w:cs="Times New Roman"/>
        </w:rPr>
      </w:pPr>
      <w:r w:rsidRPr="003B1996">
        <w:rPr>
          <w:rFonts w:cs="Times New Roman"/>
          <w:b/>
        </w:rPr>
        <w:t>Compliance Assistance</w:t>
      </w:r>
      <w:r>
        <w:rPr>
          <w:rFonts w:cs="Times New Roman"/>
        </w:rPr>
        <w:t>: In addition to day to day compliance inspections, o</w:t>
      </w:r>
      <w:r w:rsidRPr="00D66A1C">
        <w:rPr>
          <w:rFonts w:cs="Times New Roman"/>
        </w:rPr>
        <w:t>ver the past 10 years, PHMSA has engaged in a voluntary systems integrity approach to work collaboratively with global corporations</w:t>
      </w:r>
      <w:r>
        <w:rPr>
          <w:rFonts w:cs="Times New Roman"/>
        </w:rPr>
        <w:t xml:space="preserve"> to reduce risk</w:t>
      </w:r>
      <w:r w:rsidRPr="00D66A1C">
        <w:rPr>
          <w:rFonts w:cs="Times New Roman"/>
        </w:rPr>
        <w:t>.  The program helps companies who have systematic noncompliance; a substantially high percentage of incidents leading to deaths, injuries, and environmental releases; or present a high level of risk to the public</w:t>
      </w:r>
      <w:r>
        <w:rPr>
          <w:rFonts w:cs="Times New Roman"/>
        </w:rPr>
        <w:t xml:space="preserve"> </w:t>
      </w:r>
      <w:r w:rsidRPr="00D66A1C">
        <w:rPr>
          <w:rFonts w:cs="Times New Roman"/>
        </w:rPr>
        <w:t xml:space="preserve">in </w:t>
      </w:r>
      <w:r>
        <w:rPr>
          <w:rFonts w:cs="Times New Roman"/>
        </w:rPr>
        <w:t xml:space="preserve">actively </w:t>
      </w:r>
      <w:r w:rsidRPr="00D66A1C">
        <w:rPr>
          <w:rFonts w:cs="Times New Roman"/>
        </w:rPr>
        <w:t xml:space="preserve">developing sustainable solutions by investing in themselves.  This voluntary action, in lieu of traditional enforcement actions, has improved compliance, obtained a higher level of safety than possible with standard processes, and leveraged limited investigator resources. </w:t>
      </w:r>
    </w:p>
    <w:p w14:paraId="16AFB7DB" w14:textId="77777777" w:rsidR="00E620DA" w:rsidRDefault="00E620DA" w:rsidP="007935D7">
      <w:pPr>
        <w:pStyle w:val="ListParagraph"/>
        <w:numPr>
          <w:ilvl w:val="0"/>
          <w:numId w:val="60"/>
        </w:numPr>
        <w:autoSpaceDE w:val="0"/>
        <w:autoSpaceDN w:val="0"/>
        <w:adjustRightInd w:val="0"/>
        <w:spacing w:before="120" w:after="120"/>
        <w:ind w:right="58"/>
        <w:contextualSpacing w:val="0"/>
        <w:rPr>
          <w:rFonts w:cs="Times New Roman"/>
        </w:rPr>
      </w:pPr>
      <w:r w:rsidRPr="003B1996">
        <w:rPr>
          <w:rFonts w:cs="Times New Roman"/>
          <w:b/>
        </w:rPr>
        <w:t>Training and Grants</w:t>
      </w:r>
      <w:r>
        <w:rPr>
          <w:rFonts w:cs="Times New Roman"/>
          <w:i/>
        </w:rPr>
        <w:t>:</w:t>
      </w:r>
      <w:r w:rsidRPr="00D66A1C">
        <w:rPr>
          <w:rFonts w:cs="Times New Roman"/>
          <w:i/>
        </w:rPr>
        <w:t xml:space="preserve"> </w:t>
      </w:r>
      <w:r>
        <w:rPr>
          <w:rFonts w:cs="Times New Roman"/>
        </w:rPr>
        <w:t>OHMS</w:t>
      </w:r>
      <w:r w:rsidRPr="00D66A1C">
        <w:rPr>
          <w:rFonts w:cs="Times New Roman"/>
        </w:rPr>
        <w:t xml:space="preserve"> oversees a diverse range of industry outreach and collaboration activities.  </w:t>
      </w:r>
      <w:r>
        <w:rPr>
          <w:rFonts w:cs="Times New Roman"/>
        </w:rPr>
        <w:t xml:space="preserve">We participate in the development and dissemination of the emergency response guidebook to assist emergency responders when they respond to a hazardous materials incident.  OHMS also </w:t>
      </w:r>
      <w:r w:rsidRPr="00D66A1C">
        <w:rPr>
          <w:rFonts w:cs="Times New Roman"/>
        </w:rPr>
        <w:t xml:space="preserve">provides outreach to industry and dissemination of training, technical assistance, informational initiatives, and grants to improve safety and compliance and aid in emergency preparedness.  </w:t>
      </w:r>
      <w:r>
        <w:rPr>
          <w:rFonts w:cs="Times New Roman"/>
        </w:rPr>
        <w:t xml:space="preserve"> This outreach is designed to increase preparedness and improve emergency response thus diminishing the consequences of a hazardous materials incident.</w:t>
      </w:r>
    </w:p>
    <w:p w14:paraId="4E7895AD" w14:textId="77777777" w:rsidR="00E620DA" w:rsidRPr="00A55732" w:rsidRDefault="00E620DA" w:rsidP="007935D7">
      <w:pPr>
        <w:pStyle w:val="ListParagraph"/>
        <w:numPr>
          <w:ilvl w:val="1"/>
          <w:numId w:val="3"/>
        </w:numPr>
        <w:autoSpaceDE w:val="0"/>
        <w:autoSpaceDN w:val="0"/>
        <w:adjustRightInd w:val="0"/>
        <w:spacing w:before="120" w:after="120"/>
        <w:ind w:left="360" w:right="58"/>
        <w:contextualSpacing w:val="0"/>
        <w:rPr>
          <w:rFonts w:cs="Times New Roman"/>
        </w:rPr>
      </w:pPr>
      <w:r w:rsidRPr="00A55732">
        <w:rPr>
          <w:rFonts w:cs="Times New Roman"/>
          <w:i/>
        </w:rPr>
        <w:lastRenderedPageBreak/>
        <w:t xml:space="preserve">Safe transportation of Energy Products.  </w:t>
      </w:r>
      <w:r w:rsidRPr="00A55732">
        <w:rPr>
          <w:rFonts w:cs="Times New Roman"/>
        </w:rPr>
        <w:t xml:space="preserve">The emergence of the United States as a leading energy producer has changed our transportation system and presented new challenges for PHMSA.  The increased transport of large volumes of energy products poses a significant risk to life, property, and the environment.  To address the risks associated with such transportation, PHMSA conducts targeted research to gather additional data and further understand the risks associated with the transport of energy products.  In addition, PHMSA is pursuing actions to address congressional mandates in the Fixing America’s Surface Transportation Act (FAST </w:t>
      </w:r>
      <w:r>
        <w:rPr>
          <w:rFonts w:cs="Times New Roman"/>
        </w:rPr>
        <w:t>A</w:t>
      </w:r>
      <w:r w:rsidRPr="00A55732">
        <w:rPr>
          <w:rFonts w:cs="Times New Roman"/>
        </w:rPr>
        <w:t xml:space="preserve">ct) that will improve the safety of transporting energy product.  </w:t>
      </w:r>
      <w:r w:rsidRPr="00702331">
        <w:t xml:space="preserve">PHMSA is actively working to complete recommendations detailed in the FAST Act </w:t>
      </w:r>
      <w:r>
        <w:t>and has</w:t>
      </w:r>
      <w:r w:rsidRPr="00702331">
        <w:t xml:space="preserve"> already </w:t>
      </w:r>
      <w:r>
        <w:t>made considerable progress on</w:t>
      </w:r>
      <w:r w:rsidRPr="00702331">
        <w:t xml:space="preserve"> major accomplishments in FY 2016</w:t>
      </w:r>
      <w:r>
        <w:t xml:space="preserve">.  </w:t>
      </w:r>
      <w:r w:rsidRPr="00A55732">
        <w:rPr>
          <w:rFonts w:cs="Times New Roman"/>
        </w:rPr>
        <w:t xml:space="preserve">PHMSA continues to address the risks associated with the transport of energy products and improve emergency preparedness and communication through outreach efforts and further future regulation. </w:t>
      </w:r>
    </w:p>
    <w:p w14:paraId="0312E418" w14:textId="77777777" w:rsidR="00E620DA" w:rsidRPr="00794F56" w:rsidRDefault="00E620DA" w:rsidP="007935D7">
      <w:pPr>
        <w:pStyle w:val="ListParagraph"/>
        <w:numPr>
          <w:ilvl w:val="1"/>
          <w:numId w:val="3"/>
        </w:numPr>
        <w:autoSpaceDE w:val="0"/>
        <w:autoSpaceDN w:val="0"/>
        <w:adjustRightInd w:val="0"/>
        <w:spacing w:before="120" w:after="120"/>
        <w:ind w:left="360" w:right="58"/>
        <w:contextualSpacing w:val="0"/>
        <w:rPr>
          <w:rFonts w:cs="Times New Roman"/>
        </w:rPr>
      </w:pPr>
      <w:r w:rsidRPr="00794F56">
        <w:rPr>
          <w:rFonts w:cs="Times New Roman"/>
          <w:i/>
        </w:rPr>
        <w:t xml:space="preserve">Bulk Transportation of </w:t>
      </w:r>
      <w:r>
        <w:rPr>
          <w:rFonts w:cs="Times New Roman"/>
          <w:i/>
        </w:rPr>
        <w:t>H</w:t>
      </w:r>
      <w:r w:rsidRPr="00794F56">
        <w:rPr>
          <w:rFonts w:cs="Times New Roman"/>
          <w:i/>
        </w:rPr>
        <w:t xml:space="preserve">azardous </w:t>
      </w:r>
      <w:r>
        <w:rPr>
          <w:rFonts w:cs="Times New Roman"/>
          <w:i/>
        </w:rPr>
        <w:t>M</w:t>
      </w:r>
      <w:r w:rsidRPr="00794F56">
        <w:rPr>
          <w:rFonts w:cs="Times New Roman"/>
          <w:i/>
        </w:rPr>
        <w:t xml:space="preserve">aterials that are </w:t>
      </w:r>
      <w:r>
        <w:rPr>
          <w:rFonts w:cs="Times New Roman"/>
          <w:i/>
        </w:rPr>
        <w:t>T</w:t>
      </w:r>
      <w:r w:rsidRPr="00794F56">
        <w:rPr>
          <w:rFonts w:cs="Times New Roman"/>
          <w:i/>
        </w:rPr>
        <w:t xml:space="preserve">oxic by </w:t>
      </w:r>
      <w:r>
        <w:rPr>
          <w:rFonts w:cs="Times New Roman"/>
          <w:i/>
        </w:rPr>
        <w:t>I</w:t>
      </w:r>
      <w:r w:rsidRPr="00794F56">
        <w:rPr>
          <w:rFonts w:cs="Times New Roman"/>
          <w:i/>
        </w:rPr>
        <w:t>nhalation (TIH)</w:t>
      </w:r>
      <w:r w:rsidRPr="00794F56">
        <w:rPr>
          <w:rFonts w:cs="Times New Roman"/>
        </w:rPr>
        <w:t xml:space="preserve"> present a </w:t>
      </w:r>
      <w:r>
        <w:rPr>
          <w:rFonts w:cs="Times New Roman"/>
        </w:rPr>
        <w:t xml:space="preserve">low probability, </w:t>
      </w:r>
      <w:r w:rsidRPr="00794F56">
        <w:rPr>
          <w:rFonts w:cs="Times New Roman"/>
        </w:rPr>
        <w:t xml:space="preserve">high-consequence risk in </w:t>
      </w:r>
      <w:r w:rsidRPr="00794F56">
        <w:rPr>
          <w:rFonts w:cs="Times New Roman"/>
          <w:spacing w:val="-2"/>
        </w:rPr>
        <w:t>m</w:t>
      </w:r>
      <w:r w:rsidRPr="00794F56">
        <w:rPr>
          <w:rFonts w:cs="Times New Roman"/>
        </w:rPr>
        <w:t xml:space="preserve">any modes of transportation. </w:t>
      </w:r>
      <w:r>
        <w:rPr>
          <w:rFonts w:cs="Times New Roman"/>
        </w:rPr>
        <w:t xml:space="preserve"> In 2005, a Chlorine train derailment in Graniteville, South Carolina claimed the lives of nine individuals and resulted in considerable property damage.  To avoid such incidents, PHMSA</w:t>
      </w:r>
      <w:r w:rsidRPr="00794F56">
        <w:rPr>
          <w:rFonts w:cs="Times New Roman"/>
        </w:rPr>
        <w:t xml:space="preserve"> </w:t>
      </w:r>
      <w:r>
        <w:rPr>
          <w:rFonts w:cs="Times New Roman"/>
        </w:rPr>
        <w:t xml:space="preserve">is working with the industry to incorporate advanced rail tank car designs into regulation with a reasonable and safe phase out schedule of older tank cars.  In addition, </w:t>
      </w:r>
      <w:r>
        <w:rPr>
          <w:rFonts w:cs="Times New Roman"/>
          <w:position w:val="-1"/>
        </w:rPr>
        <w:t>PHMSA plans to address other TIH issues highlighted by the regulated community through the Rail Safety Advisory Committee and industry petitions for regulatory reform.</w:t>
      </w:r>
    </w:p>
    <w:p w14:paraId="06C522D2" w14:textId="77777777" w:rsidR="00E620DA" w:rsidRPr="001F4756" w:rsidRDefault="00E620DA" w:rsidP="007935D7">
      <w:pPr>
        <w:numPr>
          <w:ilvl w:val="1"/>
          <w:numId w:val="3"/>
        </w:numPr>
        <w:autoSpaceDE w:val="0"/>
        <w:autoSpaceDN w:val="0"/>
        <w:adjustRightInd w:val="0"/>
        <w:spacing w:before="120" w:after="120" w:line="240" w:lineRule="auto"/>
        <w:ind w:left="360" w:right="134"/>
        <w:rPr>
          <w:rFonts w:cs="Times New Roman"/>
          <w:szCs w:val="24"/>
        </w:rPr>
      </w:pPr>
      <w:r w:rsidRPr="00B50D38">
        <w:rPr>
          <w:rFonts w:cs="Times New Roman"/>
          <w:i/>
          <w:iCs/>
        </w:rPr>
        <w:t>Hazardous Materials that Present a R</w:t>
      </w:r>
      <w:r w:rsidRPr="00B50D38">
        <w:rPr>
          <w:rFonts w:cs="Times New Roman"/>
          <w:i/>
          <w:iCs/>
          <w:spacing w:val="1"/>
        </w:rPr>
        <w:t>i</w:t>
      </w:r>
      <w:r w:rsidRPr="00B50D38">
        <w:rPr>
          <w:rFonts w:cs="Times New Roman"/>
          <w:i/>
          <w:iCs/>
        </w:rPr>
        <w:t>sk of Fire Aboard Aircraf</w:t>
      </w:r>
      <w:r w:rsidRPr="00B50D38">
        <w:rPr>
          <w:rFonts w:cs="Times New Roman"/>
          <w:i/>
          <w:iCs/>
          <w:spacing w:val="1"/>
        </w:rPr>
        <w:t>t</w:t>
      </w:r>
      <w:r w:rsidRPr="00B50D38">
        <w:rPr>
          <w:rFonts w:cs="Times New Roman"/>
        </w:rPr>
        <w:t>: An aircra</w:t>
      </w:r>
      <w:r w:rsidRPr="00B50D38">
        <w:rPr>
          <w:rFonts w:cs="Times New Roman"/>
          <w:spacing w:val="-2"/>
        </w:rPr>
        <w:t>f</w:t>
      </w:r>
      <w:r w:rsidRPr="00B50D38">
        <w:rPr>
          <w:rFonts w:cs="Times New Roman"/>
        </w:rPr>
        <w:t xml:space="preserve">t in </w:t>
      </w:r>
      <w:r w:rsidRPr="00B50D38">
        <w:rPr>
          <w:rFonts w:cs="Times New Roman"/>
          <w:spacing w:val="-1"/>
        </w:rPr>
        <w:t>f</w:t>
      </w:r>
      <w:r w:rsidRPr="00B50D38">
        <w:rPr>
          <w:rFonts w:cs="Times New Roman"/>
        </w:rPr>
        <w:t>lig</w:t>
      </w:r>
      <w:r w:rsidRPr="00B50D38">
        <w:rPr>
          <w:rFonts w:cs="Times New Roman"/>
          <w:spacing w:val="-1"/>
        </w:rPr>
        <w:t>h</w:t>
      </w:r>
      <w:r w:rsidRPr="00B50D38">
        <w:rPr>
          <w:rFonts w:cs="Times New Roman"/>
        </w:rPr>
        <w:t>t is particul</w:t>
      </w:r>
      <w:r w:rsidRPr="00B50D38">
        <w:rPr>
          <w:rFonts w:cs="Times New Roman"/>
          <w:spacing w:val="-1"/>
        </w:rPr>
        <w:t>a</w:t>
      </w:r>
      <w:r w:rsidRPr="00B50D38">
        <w:rPr>
          <w:rFonts w:cs="Times New Roman"/>
        </w:rPr>
        <w:t>rly vulnera</w:t>
      </w:r>
      <w:r w:rsidRPr="00B50D38">
        <w:rPr>
          <w:rFonts w:cs="Times New Roman"/>
          <w:spacing w:val="-1"/>
        </w:rPr>
        <w:t>b</w:t>
      </w:r>
      <w:r w:rsidRPr="00B50D38">
        <w:rPr>
          <w:rFonts w:cs="Times New Roman"/>
          <w:spacing w:val="1"/>
        </w:rPr>
        <w:t>l</w:t>
      </w:r>
      <w:r w:rsidRPr="00B50D38">
        <w:rPr>
          <w:rFonts w:cs="Times New Roman"/>
        </w:rPr>
        <w:t>e to the risk of</w:t>
      </w:r>
      <w:r w:rsidRPr="00B50D38">
        <w:rPr>
          <w:rFonts w:cs="Times New Roman"/>
          <w:spacing w:val="-2"/>
        </w:rPr>
        <w:t xml:space="preserve"> </w:t>
      </w:r>
      <w:r w:rsidRPr="00B50D38">
        <w:rPr>
          <w:rFonts w:cs="Times New Roman"/>
        </w:rPr>
        <w:t>fire, and the consequences can be</w:t>
      </w:r>
      <w:r w:rsidRPr="00B50D38">
        <w:rPr>
          <w:rFonts w:cs="Times New Roman"/>
          <w:spacing w:val="1"/>
        </w:rPr>
        <w:t xml:space="preserve"> </w:t>
      </w:r>
      <w:r w:rsidRPr="00B50D38">
        <w:rPr>
          <w:rFonts w:cs="Times New Roman"/>
        </w:rPr>
        <w:t>catastrophic.</w:t>
      </w:r>
      <w:r w:rsidRPr="00B50D38">
        <w:rPr>
          <w:rFonts w:cs="Times New Roman"/>
          <w:spacing w:val="59"/>
        </w:rPr>
        <w:t xml:space="preserve">  </w:t>
      </w:r>
      <w:r w:rsidRPr="00B50D38">
        <w:rPr>
          <w:rFonts w:cs="Times New Roman"/>
        </w:rPr>
        <w:t>PHMSA’s strategy</w:t>
      </w:r>
      <w:r w:rsidRPr="00B50D38">
        <w:rPr>
          <w:rFonts w:cs="Times New Roman"/>
          <w:spacing w:val="-1"/>
        </w:rPr>
        <w:t xml:space="preserve"> f</w:t>
      </w:r>
      <w:r w:rsidRPr="00B50D38">
        <w:rPr>
          <w:rFonts w:cs="Times New Roman"/>
        </w:rPr>
        <w:t>or dealing with this challenge is t</w:t>
      </w:r>
      <w:r>
        <w:rPr>
          <w:rFonts w:cs="Times New Roman"/>
          <w:szCs w:val="24"/>
        </w:rPr>
        <w:t>o s</w:t>
      </w:r>
      <w:r w:rsidRPr="001F4756">
        <w:rPr>
          <w:rFonts w:cs="Times New Roman"/>
          <w:szCs w:val="24"/>
        </w:rPr>
        <w:t xml:space="preserve">trengthen rules/standards for transporting lithium batteries and other hazardous materials by air; </w:t>
      </w:r>
      <w:r>
        <w:rPr>
          <w:rFonts w:cs="Times New Roman"/>
          <w:szCs w:val="24"/>
        </w:rPr>
        <w:t>harmonize with international regulations, and s</w:t>
      </w:r>
      <w:r w:rsidRPr="001F4756">
        <w:rPr>
          <w:rFonts w:cs="Times New Roman"/>
          <w:szCs w:val="24"/>
        </w:rPr>
        <w:t xml:space="preserve">tay </w:t>
      </w:r>
      <w:r>
        <w:rPr>
          <w:rFonts w:cs="Times New Roman"/>
          <w:szCs w:val="24"/>
        </w:rPr>
        <w:t>current</w:t>
      </w:r>
      <w:r w:rsidRPr="001F4756">
        <w:rPr>
          <w:rFonts w:cs="Times New Roman"/>
          <w:szCs w:val="24"/>
        </w:rPr>
        <w:t xml:space="preserve"> with advances in technology through outreach, research, and applications for permits and approvals; and</w:t>
      </w:r>
    </w:p>
    <w:p w14:paraId="5144FFF5" w14:textId="52619F3C" w:rsidR="00E24CE9" w:rsidRPr="00520061" w:rsidRDefault="00E620DA" w:rsidP="00520061">
      <w:pPr>
        <w:numPr>
          <w:ilvl w:val="1"/>
          <w:numId w:val="3"/>
        </w:numPr>
        <w:autoSpaceDE w:val="0"/>
        <w:autoSpaceDN w:val="0"/>
        <w:adjustRightInd w:val="0"/>
        <w:spacing w:before="120" w:after="120" w:line="240" w:lineRule="auto"/>
        <w:ind w:left="360" w:right="487"/>
        <w:rPr>
          <w:rFonts w:cs="Times New Roman"/>
          <w:szCs w:val="24"/>
        </w:rPr>
      </w:pPr>
      <w:r w:rsidRPr="00560813">
        <w:rPr>
          <w:rFonts w:cs="Times New Roman"/>
          <w:i/>
        </w:rPr>
        <w:t>Rollover Crashes</w:t>
      </w:r>
      <w:r w:rsidRPr="00560813">
        <w:rPr>
          <w:rFonts w:cs="Times New Roman"/>
          <w:i/>
          <w:iCs/>
        </w:rPr>
        <w:t xml:space="preserve"> Inv</w:t>
      </w:r>
      <w:r w:rsidRPr="00560813">
        <w:rPr>
          <w:rFonts w:cs="Times New Roman"/>
          <w:i/>
          <w:iCs/>
          <w:spacing w:val="-1"/>
        </w:rPr>
        <w:t>o</w:t>
      </w:r>
      <w:r w:rsidRPr="00560813">
        <w:rPr>
          <w:rFonts w:cs="Times New Roman"/>
          <w:i/>
          <w:iCs/>
        </w:rPr>
        <w:t>lving Tank Tr</w:t>
      </w:r>
      <w:r w:rsidRPr="00560813">
        <w:rPr>
          <w:rFonts w:cs="Times New Roman"/>
          <w:i/>
          <w:iCs/>
          <w:spacing w:val="-1"/>
        </w:rPr>
        <w:t>uc</w:t>
      </w:r>
      <w:r w:rsidRPr="00560813">
        <w:rPr>
          <w:rFonts w:cs="Times New Roman"/>
          <w:i/>
          <w:iCs/>
        </w:rPr>
        <w:t>ks Carrying Gasoline and Other Flammable Liquids</w:t>
      </w:r>
      <w:r>
        <w:rPr>
          <w:rFonts w:cs="Times New Roman"/>
          <w:i/>
          <w:iCs/>
        </w:rPr>
        <w:t xml:space="preserve">:  </w:t>
      </w:r>
      <w:r w:rsidRPr="001F4756">
        <w:rPr>
          <w:rFonts w:cs="Times New Roman"/>
        </w:rPr>
        <w:t>Annually</w:t>
      </w:r>
      <w:r>
        <w:rPr>
          <w:rFonts w:cs="Times New Roman"/>
        </w:rPr>
        <w:t>,</w:t>
      </w:r>
      <w:r w:rsidRPr="001F4756">
        <w:rPr>
          <w:rFonts w:cs="Times New Roman"/>
        </w:rPr>
        <w:t xml:space="preserve"> rollover accidents are a leading cause of death or major injury related to hazardous materials transport via highway. </w:t>
      </w:r>
      <w:r w:rsidRPr="00560813">
        <w:rPr>
          <w:rFonts w:cs="Times New Roman"/>
        </w:rPr>
        <w:t>PHMSA</w:t>
      </w:r>
      <w:r>
        <w:rPr>
          <w:rFonts w:cs="Times New Roman"/>
        </w:rPr>
        <w:t xml:space="preserve"> understands this is an issue that spans multiple DOT agencies and is</w:t>
      </w:r>
      <w:r>
        <w:rPr>
          <w:rFonts w:cs="Times New Roman"/>
          <w:szCs w:val="24"/>
        </w:rPr>
        <w:t xml:space="preserve"> collaborating with NHTSA, FMCSA, and other appropriate agencies to develop a comprehensive approach to the issue.  This may include the d</w:t>
      </w:r>
      <w:r w:rsidRPr="001F4756">
        <w:rPr>
          <w:rFonts w:cs="Times New Roman"/>
          <w:szCs w:val="24"/>
        </w:rPr>
        <w:t>evelop</w:t>
      </w:r>
      <w:r>
        <w:rPr>
          <w:rFonts w:cs="Times New Roman"/>
          <w:szCs w:val="24"/>
        </w:rPr>
        <w:t>ment of</w:t>
      </w:r>
      <w:r w:rsidRPr="001F4756">
        <w:rPr>
          <w:rFonts w:cs="Times New Roman"/>
          <w:szCs w:val="24"/>
        </w:rPr>
        <w:t xml:space="preserve"> new standards for electronic stability control for trucks; and Work with other DOT operating administrations to improve driver training and to reduce driver fatigue.</w:t>
      </w:r>
    </w:p>
    <w:p w14:paraId="5F1C42AD" w14:textId="4DB576A3" w:rsidR="00E24CE9" w:rsidRPr="00D20D2A" w:rsidRDefault="00E24CE9" w:rsidP="00961E73">
      <w:pPr>
        <w:pStyle w:val="Heading2"/>
        <w:spacing w:after="240"/>
        <w:rPr>
          <w:sz w:val="32"/>
          <w:szCs w:val="32"/>
        </w:rPr>
      </w:pPr>
      <w:bookmarkStart w:id="19" w:name="_Toc483414861"/>
      <w:r w:rsidRPr="00D20D2A">
        <w:rPr>
          <w:sz w:val="32"/>
          <w:szCs w:val="32"/>
        </w:rPr>
        <w:t xml:space="preserve">Pipeline </w:t>
      </w:r>
      <w:r w:rsidRPr="00F336A4">
        <w:rPr>
          <w:sz w:val="32"/>
          <w:szCs w:val="32"/>
        </w:rPr>
        <w:t>Safety</w:t>
      </w:r>
      <w:r w:rsidR="00D20D2A">
        <w:rPr>
          <w:sz w:val="32"/>
          <w:szCs w:val="32"/>
        </w:rPr>
        <w:t xml:space="preserve"> (PHMSA)</w:t>
      </w:r>
      <w:bookmarkEnd w:id="19"/>
    </w:p>
    <w:p w14:paraId="05DD9FD3" w14:textId="77777777" w:rsidR="00E24CE9" w:rsidRPr="00891E2E" w:rsidRDefault="00E24CE9" w:rsidP="00E24CE9">
      <w:pPr>
        <w:spacing w:before="120" w:after="120" w:line="240" w:lineRule="auto"/>
        <w:rPr>
          <w:rFonts w:eastAsia="Calibri" w:cs="Times New Roman"/>
          <w:szCs w:val="24"/>
        </w:rPr>
      </w:pPr>
      <w:r w:rsidRPr="00891E2E">
        <w:rPr>
          <w:rFonts w:eastAsia="Calibri" w:cs="Times New Roman"/>
          <w:szCs w:val="24"/>
        </w:rPr>
        <w:t xml:space="preserve">Natural gas and hazardous liquid pipelines supply more than two-thirds of the fuel used </w:t>
      </w:r>
      <w:r>
        <w:rPr>
          <w:rFonts w:eastAsia="Calibri" w:cs="Times New Roman"/>
          <w:szCs w:val="24"/>
        </w:rPr>
        <w:t>in</w:t>
      </w:r>
      <w:r w:rsidRPr="00891E2E">
        <w:rPr>
          <w:rFonts w:eastAsia="Calibri" w:cs="Times New Roman"/>
          <w:szCs w:val="24"/>
        </w:rPr>
        <w:t xml:space="preserve"> American homes, cars, and businesses</w:t>
      </w:r>
      <w:r>
        <w:rPr>
          <w:rFonts w:eastAsia="Calibri" w:cs="Times New Roman"/>
          <w:szCs w:val="24"/>
        </w:rPr>
        <w:t xml:space="preserve"> through </w:t>
      </w:r>
      <w:r w:rsidRPr="00891E2E">
        <w:rPr>
          <w:rFonts w:eastAsia="Calibri" w:cs="Times New Roman"/>
          <w:szCs w:val="24"/>
        </w:rPr>
        <w:t xml:space="preserve">a network of </w:t>
      </w:r>
      <w:r>
        <w:rPr>
          <w:rFonts w:eastAsia="Calibri" w:cs="Times New Roman"/>
          <w:szCs w:val="24"/>
        </w:rPr>
        <w:t xml:space="preserve">over </w:t>
      </w:r>
      <w:r w:rsidRPr="00891E2E">
        <w:rPr>
          <w:rFonts w:eastAsia="Calibri" w:cs="Times New Roman"/>
          <w:szCs w:val="24"/>
        </w:rPr>
        <w:t xml:space="preserve">2.7 million miles of pipelines.  </w:t>
      </w:r>
      <w:r>
        <w:rPr>
          <w:rFonts w:eastAsia="Calibri" w:cs="Times New Roman"/>
          <w:szCs w:val="24"/>
        </w:rPr>
        <w:t xml:space="preserve">Pipelines also supply the vast majority of energy used to fuel commercial transportation supporting growing domestic and international markets.  </w:t>
      </w:r>
      <w:r w:rsidRPr="00891E2E">
        <w:rPr>
          <w:rFonts w:eastAsia="Calibri" w:cs="Times New Roman"/>
          <w:szCs w:val="24"/>
        </w:rPr>
        <w:t xml:space="preserve">While pipelines are by many measures the safest mode of transportation for these </w:t>
      </w:r>
      <w:r>
        <w:rPr>
          <w:rFonts w:eastAsia="Calibri" w:cs="Times New Roman"/>
          <w:szCs w:val="24"/>
        </w:rPr>
        <w:t>products</w:t>
      </w:r>
      <w:r w:rsidRPr="00891E2E">
        <w:rPr>
          <w:rFonts w:eastAsia="Calibri" w:cs="Times New Roman"/>
          <w:szCs w:val="24"/>
        </w:rPr>
        <w:t xml:space="preserve">, the nature of the cargo is inherently </w:t>
      </w:r>
      <w:r w:rsidRPr="00891E2E">
        <w:rPr>
          <w:rFonts w:eastAsia="Calibri" w:cs="Times New Roman"/>
          <w:szCs w:val="24"/>
        </w:rPr>
        <w:lastRenderedPageBreak/>
        <w:t xml:space="preserve">dangerous, and because of the large volumes transported, </w:t>
      </w:r>
      <w:r>
        <w:rPr>
          <w:rFonts w:eastAsia="Calibri" w:cs="Times New Roman"/>
          <w:szCs w:val="24"/>
        </w:rPr>
        <w:t>pipelines present</w:t>
      </w:r>
      <w:r w:rsidRPr="00891E2E">
        <w:rPr>
          <w:rFonts w:eastAsia="Calibri" w:cs="Times New Roman"/>
          <w:szCs w:val="24"/>
        </w:rPr>
        <w:t xml:space="preserve"> a risk of low-probability, high-consequence failure.  </w:t>
      </w:r>
    </w:p>
    <w:p w14:paraId="224906F8" w14:textId="77777777" w:rsidR="00E24CE9" w:rsidRPr="00891E2E" w:rsidRDefault="00E24CE9" w:rsidP="00E24CE9">
      <w:pPr>
        <w:spacing w:before="120" w:after="120" w:line="240" w:lineRule="auto"/>
        <w:rPr>
          <w:rFonts w:eastAsia="Calibri" w:cs="Times New Roman"/>
          <w:szCs w:val="24"/>
        </w:rPr>
      </w:pPr>
      <w:r w:rsidRPr="00891E2E">
        <w:rPr>
          <w:rFonts w:eastAsia="Calibri" w:cs="Times New Roman"/>
          <w:szCs w:val="24"/>
        </w:rPr>
        <w:t xml:space="preserve">Pipeline incidents with death or major injury (serious incidents) have declined </w:t>
      </w:r>
      <w:r>
        <w:rPr>
          <w:rFonts w:eastAsia="Calibri" w:cs="Times New Roman"/>
          <w:szCs w:val="24"/>
        </w:rPr>
        <w:t xml:space="preserve">significantly in the last 28 years from 95 in 1988 to 33 in 2016. </w:t>
      </w:r>
      <w:r w:rsidRPr="00891E2E">
        <w:rPr>
          <w:rFonts w:eastAsia="Calibri" w:cs="Times New Roman"/>
          <w:szCs w:val="24"/>
        </w:rPr>
        <w:t xml:space="preserve">At the same time, most measures of risk exposure—U.S. population, pipeline mileage, and pipeline ton-miles—have </w:t>
      </w:r>
      <w:r>
        <w:rPr>
          <w:rFonts w:eastAsia="Calibri" w:cs="Times New Roman"/>
          <w:szCs w:val="24"/>
        </w:rPr>
        <w:t>increased as pipeline networks multiply to support new markets, new energy sources and ever increasing demand</w:t>
      </w:r>
      <w:r w:rsidRPr="00891E2E">
        <w:rPr>
          <w:rFonts w:eastAsia="Calibri" w:cs="Times New Roman"/>
          <w:szCs w:val="24"/>
        </w:rPr>
        <w:t>.</w:t>
      </w:r>
    </w:p>
    <w:p w14:paraId="669D1D1A" w14:textId="77777777" w:rsidR="00E24CE9" w:rsidRDefault="00E24CE9" w:rsidP="00E24CE9">
      <w:pPr>
        <w:tabs>
          <w:tab w:val="left" w:pos="0"/>
        </w:tabs>
        <w:spacing w:before="120" w:after="120" w:line="240" w:lineRule="auto"/>
        <w:rPr>
          <w:rFonts w:eastAsia="Calibri" w:cs="Times New Roman"/>
          <w:noProof/>
          <w:szCs w:val="24"/>
        </w:rPr>
      </w:pPr>
      <w:r w:rsidRPr="00BE6F70">
        <w:rPr>
          <w:rFonts w:eastAsia="Calibri" w:cs="Times New Roman"/>
          <w:szCs w:val="24"/>
        </w:rPr>
        <w:t xml:space="preserve">Most of the risk (about 80 percent of the incidents with death or major injury) occurs on natural gas distribution systems, which provide direct services to </w:t>
      </w:r>
      <w:r>
        <w:rPr>
          <w:rFonts w:eastAsia="Calibri" w:cs="Times New Roman"/>
          <w:szCs w:val="24"/>
        </w:rPr>
        <w:t>near 70</w:t>
      </w:r>
      <w:r w:rsidRPr="00BE6F70">
        <w:rPr>
          <w:rFonts w:eastAsia="Calibri" w:cs="Times New Roman"/>
          <w:szCs w:val="24"/>
        </w:rPr>
        <w:t xml:space="preserve"> million households and businesses. </w:t>
      </w:r>
      <w:r w:rsidRPr="00891E2E">
        <w:rPr>
          <w:rFonts w:eastAsia="Calibri" w:cs="Times New Roman"/>
          <w:szCs w:val="24"/>
        </w:rPr>
        <w:t>Since 1988, this risk has dropped from about 1.5 serious incidents per million services to 0.5</w:t>
      </w:r>
      <w:r>
        <w:rPr>
          <w:rFonts w:eastAsia="Calibri" w:cs="Times New Roman"/>
          <w:szCs w:val="24"/>
        </w:rPr>
        <w:t>4</w:t>
      </w:r>
      <w:r w:rsidRPr="00891E2E">
        <w:rPr>
          <w:rFonts w:eastAsia="Calibri" w:cs="Times New Roman"/>
          <w:szCs w:val="24"/>
        </w:rPr>
        <w:t xml:space="preserve"> per million services.</w:t>
      </w:r>
      <w:r>
        <w:rPr>
          <w:rFonts w:eastAsia="Calibri" w:cs="Times New Roman"/>
          <w:noProof/>
          <w:szCs w:val="24"/>
        </w:rPr>
        <w:t xml:space="preserve"> </w:t>
      </w:r>
    </w:p>
    <w:p w14:paraId="34725373" w14:textId="77777777" w:rsidR="00F40453" w:rsidRPr="00DF639E" w:rsidRDefault="00E24CE9" w:rsidP="00E24CE9">
      <w:pPr>
        <w:spacing w:before="120" w:after="120" w:line="240" w:lineRule="auto"/>
        <w:rPr>
          <w:rFonts w:cs="Times New Roman"/>
          <w:szCs w:val="24"/>
        </w:rPr>
      </w:pPr>
      <w:r>
        <w:rPr>
          <w:noProof/>
        </w:rPr>
        <w:drawing>
          <wp:inline distT="0" distB="0" distL="0" distR="0" wp14:anchorId="19BB452E" wp14:editId="34FE4A89">
            <wp:extent cx="5343525" cy="380047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2F40A5F" w14:textId="77777777" w:rsidR="00D20D2A" w:rsidRPr="009619C3" w:rsidRDefault="00D20D2A" w:rsidP="00CE4D0E">
      <w:pPr>
        <w:pStyle w:val="Heading4"/>
      </w:pPr>
      <w:r w:rsidRPr="009619C3">
        <w:t>Key Strategies and Next Steps</w:t>
      </w:r>
    </w:p>
    <w:p w14:paraId="43D30282" w14:textId="1881FC37" w:rsidR="00A12EE4" w:rsidRPr="003C4EBC" w:rsidRDefault="00A12EE4" w:rsidP="00F336A4">
      <w:pPr>
        <w:spacing w:before="120" w:line="240" w:lineRule="auto"/>
      </w:pPr>
      <w:r w:rsidRPr="003C4EBC">
        <w:t xml:space="preserve">High risk, aging and obsolete pipeline infrastructure: Over 700,000 miles of pipelines were installed before 1970. Some of these pipelines were </w:t>
      </w:r>
      <w:r>
        <w:t>constructed of legacy materials including</w:t>
      </w:r>
      <w:r w:rsidRPr="003C4EBC">
        <w:t xml:space="preserve"> bare steel, iron, </w:t>
      </w:r>
      <w:r>
        <w:t xml:space="preserve">and </w:t>
      </w:r>
      <w:r w:rsidRPr="003C4EBC">
        <w:t>copper</w:t>
      </w:r>
      <w:r>
        <w:t xml:space="preserve"> </w:t>
      </w:r>
      <w:r w:rsidRPr="003C4EBC">
        <w:t>that are more vulnerable to deterioration and failure than the mat</w:t>
      </w:r>
      <w:r w:rsidR="00D20D2A">
        <w:t>erials commonly used today.  PHMSA’s</w:t>
      </w:r>
      <w:r w:rsidRPr="003C4EBC">
        <w:t xml:space="preserve"> strategy </w:t>
      </w:r>
      <w:r>
        <w:t xml:space="preserve">for dealing with this challenge </w:t>
      </w:r>
      <w:r w:rsidRPr="003C4EBC">
        <w:t>is to:</w:t>
      </w:r>
    </w:p>
    <w:p w14:paraId="11141F41" w14:textId="77777777" w:rsidR="00A12EE4" w:rsidRDefault="00A12EE4" w:rsidP="007935D7">
      <w:pPr>
        <w:numPr>
          <w:ilvl w:val="0"/>
          <w:numId w:val="7"/>
        </w:numPr>
        <w:spacing w:after="0" w:line="240" w:lineRule="auto"/>
        <w:rPr>
          <w:rFonts w:cs="Times New Roman"/>
          <w:szCs w:val="24"/>
        </w:rPr>
      </w:pPr>
      <w:r>
        <w:rPr>
          <w:rFonts w:cs="Times New Roman"/>
          <w:szCs w:val="24"/>
        </w:rPr>
        <w:t>Work with all stakeholders, including the public, industry and state regulators, to promote and expedite the construction of new, replaced or rehabilitated pipeline infrastructure that will meet the Nation’s energy supply needs.</w:t>
      </w:r>
    </w:p>
    <w:p w14:paraId="4BFFB4EA" w14:textId="77777777" w:rsidR="00A12EE4" w:rsidRDefault="00A12EE4" w:rsidP="007935D7">
      <w:pPr>
        <w:numPr>
          <w:ilvl w:val="0"/>
          <w:numId w:val="7"/>
        </w:numPr>
        <w:spacing w:after="0" w:line="240" w:lineRule="auto"/>
        <w:rPr>
          <w:rFonts w:cs="Times New Roman"/>
          <w:szCs w:val="24"/>
        </w:rPr>
      </w:pPr>
      <w:r w:rsidRPr="003C4EBC">
        <w:rPr>
          <w:rFonts w:cs="Times New Roman"/>
          <w:szCs w:val="24"/>
        </w:rPr>
        <w:lastRenderedPageBreak/>
        <w:t>Work with State pipeline safety programs and pipeline operators to assure that the identification, repair, rehabilitation, requalification, or replacement of the highest risk pipelines is accelerated;</w:t>
      </w:r>
    </w:p>
    <w:p w14:paraId="2BCC469B" w14:textId="77777777" w:rsidR="00A12EE4" w:rsidRDefault="00A12EE4" w:rsidP="007935D7">
      <w:pPr>
        <w:numPr>
          <w:ilvl w:val="0"/>
          <w:numId w:val="7"/>
        </w:numPr>
        <w:spacing w:after="0" w:line="240" w:lineRule="auto"/>
        <w:rPr>
          <w:rFonts w:cs="Times New Roman"/>
          <w:szCs w:val="24"/>
        </w:rPr>
      </w:pPr>
      <w:r w:rsidRPr="003C4EBC">
        <w:rPr>
          <w:rFonts w:cs="Times New Roman"/>
          <w:szCs w:val="24"/>
        </w:rPr>
        <w:t>Enhance pipeline integrity management programs to cover more miles of gas transmission and hazardous liquid pipeline systems;</w:t>
      </w:r>
    </w:p>
    <w:p w14:paraId="56BD7ABB" w14:textId="77777777" w:rsidR="00A12EE4" w:rsidRDefault="00A12EE4" w:rsidP="007935D7">
      <w:pPr>
        <w:numPr>
          <w:ilvl w:val="0"/>
          <w:numId w:val="7"/>
        </w:numPr>
        <w:spacing w:after="0" w:line="240" w:lineRule="auto"/>
        <w:rPr>
          <w:rFonts w:cs="Times New Roman"/>
          <w:szCs w:val="24"/>
        </w:rPr>
      </w:pPr>
      <w:r>
        <w:rPr>
          <w:rFonts w:cs="Times New Roman"/>
          <w:szCs w:val="24"/>
        </w:rPr>
        <w:t>Work with State pipeline safety programs to assure</w:t>
      </w:r>
      <w:r w:rsidRPr="003C4EBC">
        <w:rPr>
          <w:rFonts w:cs="Times New Roman"/>
          <w:szCs w:val="24"/>
        </w:rPr>
        <w:t xml:space="preserve"> gas distribution integrity management programs </w:t>
      </w:r>
      <w:r>
        <w:rPr>
          <w:rFonts w:cs="Times New Roman"/>
          <w:szCs w:val="24"/>
        </w:rPr>
        <w:t>are in place to mitigate safety risks on the pipelines systems located underneath and throughout our cities and communities</w:t>
      </w:r>
      <w:r w:rsidRPr="003C4EBC">
        <w:rPr>
          <w:rFonts w:cs="Times New Roman"/>
          <w:szCs w:val="24"/>
        </w:rPr>
        <w:t>; and</w:t>
      </w:r>
    </w:p>
    <w:p w14:paraId="3E1A2A48" w14:textId="77777777" w:rsidR="00A12EE4" w:rsidRPr="003C4EBC" w:rsidRDefault="00A12EE4" w:rsidP="007935D7">
      <w:pPr>
        <w:numPr>
          <w:ilvl w:val="0"/>
          <w:numId w:val="7"/>
        </w:numPr>
        <w:spacing w:after="0" w:line="240" w:lineRule="auto"/>
        <w:rPr>
          <w:rFonts w:cs="Times New Roman"/>
          <w:szCs w:val="24"/>
        </w:rPr>
      </w:pPr>
      <w:r w:rsidRPr="003C4EBC">
        <w:rPr>
          <w:rFonts w:cs="Times New Roman"/>
          <w:szCs w:val="24"/>
        </w:rPr>
        <w:t>Investigate new technologies for improving the assessment, detection and control of pipeline risks.</w:t>
      </w:r>
    </w:p>
    <w:p w14:paraId="0CD4D78A" w14:textId="33612B44" w:rsidR="00A12EE4" w:rsidRPr="00236CB8" w:rsidRDefault="00A12EE4" w:rsidP="00A12EE4">
      <w:pPr>
        <w:spacing w:before="120" w:after="120" w:line="240" w:lineRule="auto"/>
        <w:rPr>
          <w:rFonts w:cs="Times New Roman"/>
          <w:szCs w:val="24"/>
        </w:rPr>
      </w:pPr>
      <w:r w:rsidRPr="00F12333">
        <w:rPr>
          <w:rFonts w:cs="Times New Roman"/>
          <w:szCs w:val="24"/>
        </w:rPr>
        <w:t>Excavation and other outside force damage that compromise</w:t>
      </w:r>
      <w:r>
        <w:rPr>
          <w:rFonts w:cs="Times New Roman"/>
          <w:szCs w:val="24"/>
        </w:rPr>
        <w:t>s</w:t>
      </w:r>
      <w:r w:rsidRPr="00F12333">
        <w:rPr>
          <w:rFonts w:cs="Times New Roman"/>
          <w:szCs w:val="24"/>
        </w:rPr>
        <w:t xml:space="preserve"> pipeline integrity remain the two leading causes of incidents </w:t>
      </w:r>
      <w:r>
        <w:rPr>
          <w:rFonts w:cs="Times New Roman"/>
          <w:szCs w:val="24"/>
        </w:rPr>
        <w:t xml:space="preserve">involving gas transmission and gas distribution systems </w:t>
      </w:r>
      <w:r w:rsidRPr="00F12333">
        <w:rPr>
          <w:rFonts w:cs="Times New Roman"/>
          <w:szCs w:val="24"/>
        </w:rPr>
        <w:t>resulti</w:t>
      </w:r>
      <w:r w:rsidR="00D20D2A">
        <w:rPr>
          <w:rFonts w:cs="Times New Roman"/>
          <w:szCs w:val="24"/>
        </w:rPr>
        <w:t>ng in death or major injury. PHMSA’s</w:t>
      </w:r>
      <w:r w:rsidRPr="00F12333">
        <w:rPr>
          <w:rFonts w:cs="Times New Roman"/>
          <w:szCs w:val="24"/>
        </w:rPr>
        <w:t xml:space="preserve"> strategy for dealing with these </w:t>
      </w:r>
      <w:r w:rsidRPr="00BA35A7">
        <w:rPr>
          <w:rFonts w:cs="Times New Roman"/>
          <w:szCs w:val="24"/>
        </w:rPr>
        <w:t>challenges is to:</w:t>
      </w:r>
      <w:r w:rsidRPr="00236CB8">
        <w:rPr>
          <w:rFonts w:cs="Times New Roman"/>
          <w:szCs w:val="24"/>
        </w:rPr>
        <w:t xml:space="preserve"> </w:t>
      </w:r>
    </w:p>
    <w:p w14:paraId="5C5D7244" w14:textId="77777777" w:rsidR="00A12EE4" w:rsidRDefault="00A12EE4" w:rsidP="007935D7">
      <w:pPr>
        <w:numPr>
          <w:ilvl w:val="0"/>
          <w:numId w:val="7"/>
        </w:numPr>
        <w:spacing w:after="0" w:line="240" w:lineRule="auto"/>
        <w:rPr>
          <w:rFonts w:cs="Times New Roman"/>
          <w:szCs w:val="24"/>
        </w:rPr>
      </w:pPr>
      <w:r w:rsidRPr="00891E2E">
        <w:rPr>
          <w:rFonts w:cs="Times New Roman"/>
          <w:szCs w:val="24"/>
        </w:rPr>
        <w:t xml:space="preserve">Enhance the “811—Call Before You Dig” program at the State and local levels to prevent pipeline damage from excavation; </w:t>
      </w:r>
    </w:p>
    <w:p w14:paraId="07F59032" w14:textId="77777777" w:rsidR="00A12EE4" w:rsidRDefault="00A12EE4" w:rsidP="007935D7">
      <w:pPr>
        <w:numPr>
          <w:ilvl w:val="0"/>
          <w:numId w:val="7"/>
        </w:numPr>
        <w:spacing w:after="0" w:line="240" w:lineRule="auto"/>
        <w:rPr>
          <w:rFonts w:cs="Times New Roman"/>
          <w:szCs w:val="24"/>
        </w:rPr>
      </w:pPr>
      <w:r>
        <w:rPr>
          <w:rFonts w:cs="Times New Roman"/>
          <w:szCs w:val="24"/>
        </w:rPr>
        <w:t>Continue to p</w:t>
      </w:r>
      <w:r w:rsidRPr="003C4EBC">
        <w:rPr>
          <w:rFonts w:cs="Times New Roman"/>
          <w:szCs w:val="24"/>
        </w:rPr>
        <w:t>romote awareness and use of recommended practices for land use planning and development near transmission pipelines;</w:t>
      </w:r>
    </w:p>
    <w:p w14:paraId="72A97A72" w14:textId="77777777" w:rsidR="00A12EE4" w:rsidRDefault="00A12EE4" w:rsidP="007935D7">
      <w:pPr>
        <w:numPr>
          <w:ilvl w:val="0"/>
          <w:numId w:val="7"/>
        </w:numPr>
        <w:spacing w:after="0" w:line="240" w:lineRule="auto"/>
        <w:rPr>
          <w:rFonts w:cs="Times New Roman"/>
          <w:szCs w:val="24"/>
        </w:rPr>
      </w:pPr>
      <w:r>
        <w:rPr>
          <w:rFonts w:cs="Times New Roman"/>
          <w:szCs w:val="24"/>
        </w:rPr>
        <w:t>Continue to s</w:t>
      </w:r>
      <w:r w:rsidRPr="003C4EBC">
        <w:rPr>
          <w:rFonts w:cs="Times New Roman"/>
          <w:szCs w:val="24"/>
        </w:rPr>
        <w:t xml:space="preserve">upport state damage prevention legislative initiatives; and </w:t>
      </w:r>
    </w:p>
    <w:p w14:paraId="1495B54A" w14:textId="534BCE56" w:rsidR="00A12EE4" w:rsidRPr="00520061" w:rsidRDefault="00A12EE4" w:rsidP="00520061">
      <w:pPr>
        <w:numPr>
          <w:ilvl w:val="0"/>
          <w:numId w:val="7"/>
        </w:numPr>
        <w:spacing w:after="0" w:line="240" w:lineRule="auto"/>
        <w:rPr>
          <w:rFonts w:cs="Times New Roman"/>
          <w:szCs w:val="24"/>
        </w:rPr>
      </w:pPr>
      <w:r>
        <w:rPr>
          <w:rFonts w:cs="Times New Roman"/>
          <w:szCs w:val="24"/>
        </w:rPr>
        <w:t>Continue to p</w:t>
      </w:r>
      <w:r w:rsidRPr="003C4EBC">
        <w:rPr>
          <w:rFonts w:cs="Times New Roman"/>
          <w:szCs w:val="24"/>
        </w:rPr>
        <w:t>romote awareness and use of the national pipeline mapping system.</w:t>
      </w:r>
    </w:p>
    <w:sectPr w:rsidR="00A12EE4" w:rsidRPr="00520061" w:rsidSect="00D20D2A">
      <w:headerReference w:type="default" r:id="rId25"/>
      <w:headerReference w:type="first" r:id="rId26"/>
      <w:footerReference w:type="first" r:id="rId27"/>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C7BA21" w14:textId="77777777" w:rsidR="00487D63" w:rsidRDefault="00487D63" w:rsidP="00362545">
      <w:pPr>
        <w:spacing w:after="0" w:line="240" w:lineRule="auto"/>
      </w:pPr>
      <w:r>
        <w:separator/>
      </w:r>
    </w:p>
  </w:endnote>
  <w:endnote w:type="continuationSeparator" w:id="0">
    <w:p w14:paraId="4F49164E" w14:textId="77777777" w:rsidR="00487D63" w:rsidRDefault="00487D63" w:rsidP="00362545">
      <w:pPr>
        <w:spacing w:after="0" w:line="240" w:lineRule="auto"/>
      </w:pPr>
      <w:r>
        <w:continuationSeparator/>
      </w:r>
    </w:p>
  </w:endnote>
  <w:endnote w:type="continuationNotice" w:id="1">
    <w:p w14:paraId="37FD0DCE" w14:textId="77777777" w:rsidR="00487D63" w:rsidRDefault="00487D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IN">
    <w:altName w:val="Times New Roman"/>
    <w:panose1 w:val="00000000000000000000"/>
    <w:charset w:val="00"/>
    <w:family w:val="swiss"/>
    <w:notTrueType/>
    <w:pitch w:val="default"/>
    <w:sig w:usb0="00000003" w:usb1="00000000" w:usb2="00000000" w:usb3="00000000" w:csb0="00000001" w:csb1="00000000"/>
  </w:font>
  <w:font w:name="Adobe Jenson Pro">
    <w:altName w:val="Times New Roman"/>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F74E51" w14:paraId="2FB88DD4" w14:textId="77777777">
      <w:tc>
        <w:tcPr>
          <w:tcW w:w="918" w:type="dxa"/>
        </w:tcPr>
        <w:p w14:paraId="39C36606" w14:textId="77777777" w:rsidR="00F74E51" w:rsidRDefault="00F74E51">
          <w:pPr>
            <w:pStyle w:val="Footer"/>
            <w:jc w:val="right"/>
            <w:rPr>
              <w:b/>
              <w:bCs/>
              <w:color w:val="4F81BD" w:themeColor="accent1"/>
              <w:sz w:val="32"/>
              <w:szCs w:val="32"/>
              <w14:numForm w14:val="oldStyle"/>
            </w:rPr>
          </w:pPr>
          <w:r>
            <w:rPr>
              <w:sz w:val="22"/>
              <w:szCs w:val="22"/>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sz w:val="22"/>
              <w:szCs w:val="22"/>
              <w14:shadow w14:blurRad="50800" w14:dist="38100" w14:dir="2700000" w14:sx="100000" w14:sy="100000" w14:kx="0" w14:ky="0" w14:algn="tl">
                <w14:srgbClr w14:val="000000">
                  <w14:alpha w14:val="60000"/>
                </w14:srgbClr>
              </w14:shadow>
              <w14:numForm w14:val="oldStyle"/>
            </w:rPr>
            <w:fldChar w:fldCharType="separate"/>
          </w:r>
          <w:r w:rsidR="007667E3" w:rsidRPr="007667E3">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2</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182DCA5A" w14:textId="77777777" w:rsidR="00F74E51" w:rsidRDefault="00F74E51">
          <w:pPr>
            <w:pStyle w:val="Footer"/>
          </w:pPr>
        </w:p>
      </w:tc>
    </w:tr>
  </w:tbl>
  <w:p w14:paraId="5319697F" w14:textId="2BDC33FE" w:rsidR="00487D63" w:rsidRDefault="00487D63" w:rsidP="00A22917">
    <w:pPr>
      <w:pStyle w:val="Footer"/>
      <w:tabs>
        <w:tab w:val="clear" w:pos="4680"/>
        <w:tab w:val="clear" w:pos="9360"/>
        <w:tab w:val="left" w:pos="684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D73FA" w14:textId="77777777" w:rsidR="00487D63" w:rsidRDefault="00487D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2EAD93" w14:textId="77777777" w:rsidR="00487D63" w:rsidRDefault="00487D63" w:rsidP="00362545">
      <w:pPr>
        <w:spacing w:after="0" w:line="240" w:lineRule="auto"/>
      </w:pPr>
      <w:r>
        <w:separator/>
      </w:r>
    </w:p>
  </w:footnote>
  <w:footnote w:type="continuationSeparator" w:id="0">
    <w:p w14:paraId="5D5BBBA5" w14:textId="77777777" w:rsidR="00487D63" w:rsidRDefault="00487D63" w:rsidP="00362545">
      <w:pPr>
        <w:spacing w:after="0" w:line="240" w:lineRule="auto"/>
      </w:pPr>
      <w:r>
        <w:continuationSeparator/>
      </w:r>
    </w:p>
  </w:footnote>
  <w:footnote w:type="continuationNotice" w:id="1">
    <w:p w14:paraId="17A3B9BA" w14:textId="77777777" w:rsidR="00487D63" w:rsidRDefault="00487D63">
      <w:pPr>
        <w:spacing w:after="0" w:line="240" w:lineRule="auto"/>
      </w:pPr>
    </w:p>
  </w:footnote>
  <w:footnote w:id="2">
    <w:p w14:paraId="7A78402F" w14:textId="77777777" w:rsidR="00487D63" w:rsidRDefault="00487D63" w:rsidP="00AD36F0">
      <w:pPr>
        <w:pStyle w:val="FootnoteText"/>
      </w:pPr>
      <w:r>
        <w:rPr>
          <w:rStyle w:val="FootnoteReference"/>
        </w:rPr>
        <w:footnoteRef/>
      </w:r>
      <w:r>
        <w:t xml:space="preserve"> Webb, C. (2016, July).  </w:t>
      </w:r>
      <w:r w:rsidRPr="00DA3B0E">
        <w:rPr>
          <w:i/>
        </w:rPr>
        <w:t>Motor vehicle traffic crashes as a leading cause of death in the United States, 2012-2014</w:t>
      </w:r>
      <w:r>
        <w:t xml:space="preserve"> (DOT HS 812 297).  Washington, DC:  National Highway Traffic Safety Administration.  </w:t>
      </w:r>
    </w:p>
  </w:footnote>
  <w:footnote w:id="3">
    <w:p w14:paraId="72434129" w14:textId="77777777" w:rsidR="00487D63" w:rsidRPr="0036406D" w:rsidRDefault="00487D63" w:rsidP="0024563F">
      <w:pPr>
        <w:pStyle w:val="FootnoteText"/>
        <w:spacing w:before="120"/>
        <w:ind w:left="216" w:hanging="216"/>
      </w:pPr>
      <w:r w:rsidRPr="00B47758">
        <w:rPr>
          <w:rStyle w:val="FootnoteReference"/>
        </w:rPr>
        <w:footnoteRef/>
      </w:r>
      <w:r w:rsidRPr="00B47758">
        <w:t xml:space="preserve"> </w:t>
      </w:r>
      <w:r w:rsidRPr="00B47758">
        <w:tab/>
        <w:t>Metro-North is the second largest commuter railroad in the United States, serving New York, Connecticut, and New Jersey, with an annual ridership of almost 83 million people.</w:t>
      </w:r>
    </w:p>
  </w:footnote>
  <w:footnote w:id="4">
    <w:p w14:paraId="1927A5ED" w14:textId="77777777" w:rsidR="00487D63" w:rsidRDefault="00487D63" w:rsidP="0024563F">
      <w:pPr>
        <w:pStyle w:val="FootnoteText"/>
        <w:ind w:left="216" w:hanging="216"/>
      </w:pPr>
      <w:r>
        <w:rPr>
          <w:rStyle w:val="FootnoteReference"/>
        </w:rPr>
        <w:footnoteRef/>
      </w:r>
      <w:r>
        <w:t xml:space="preserve"> </w:t>
      </w:r>
      <w:r>
        <w:tab/>
        <w:t>All Class I railroad lines that carry poisonous by inhalation hazardous material and 5 million gross tons or more of annual traffic, and on any railroad’s main line tracks over which intercity or commuter rail passenger train service is regularly provided. A main line is a line over which 5 million or more gross tons are transported annually.</w:t>
      </w:r>
    </w:p>
  </w:footnote>
  <w:footnote w:id="5">
    <w:p w14:paraId="21153B75" w14:textId="77777777" w:rsidR="00487D63" w:rsidRPr="00D54C56" w:rsidRDefault="00487D63" w:rsidP="00986EDC">
      <w:pPr>
        <w:pStyle w:val="FootnoteText"/>
      </w:pPr>
      <w:r w:rsidRPr="00D54C56">
        <w:rPr>
          <w:rStyle w:val="FootnoteReference"/>
        </w:rPr>
        <w:footnoteRef/>
      </w:r>
      <w:r w:rsidRPr="00B56609">
        <w:rPr>
          <w:sz w:val="18"/>
          <w:szCs w:val="18"/>
        </w:rPr>
        <w:t xml:space="preserve"> </w:t>
      </w:r>
      <w:r w:rsidRPr="001E643C">
        <w:t xml:space="preserve">2012 Commodity Flow Survey, Research and Innovative Technology Administration (RITA), Bureau of Transportation Statistics (BTS). See </w:t>
      </w:r>
      <w:hyperlink r:id="rId1" w:history="1">
        <w:r w:rsidRPr="00682BC9">
          <w:rPr>
            <w:rStyle w:val="Hyperlink"/>
          </w:rPr>
          <w:t>http://factfinder.census.gov/faces/tableservices/jsf/pages/productview.xhtml?pid=CFS_2012_00H01&amp;prodType=table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B2F24" w14:textId="304B27AD" w:rsidR="00487D63" w:rsidRPr="00DE6656" w:rsidRDefault="00487D63" w:rsidP="00DE6656">
    <w:pPr>
      <w:pStyle w:val="Header"/>
      <w:shd w:val="clear" w:color="auto" w:fill="0070C0"/>
      <w:jc w:val="center"/>
      <w:rPr>
        <w:b/>
        <w:color w:val="FFFFFF" w:themeColor="background1"/>
        <w:sz w:val="40"/>
        <w:szCs w:val="40"/>
      </w:rPr>
    </w:pPr>
    <w:r>
      <w:rPr>
        <w:b/>
        <w:color w:val="FFFFFF" w:themeColor="background1"/>
        <w:sz w:val="40"/>
        <w:szCs w:val="40"/>
      </w:rPr>
      <w:t>Performance Report Summary Tables</w:t>
    </w:r>
  </w:p>
  <w:p w14:paraId="775C6240" w14:textId="77777777" w:rsidR="00487D63" w:rsidRPr="00DA358E" w:rsidRDefault="00487D63" w:rsidP="00FD39F2">
    <w:pPr>
      <w:pStyle w:val="Header"/>
      <w:pBdr>
        <w:between w:val="single" w:sz="4" w:space="1" w:color="4F81BD" w:themeColor="accent1"/>
      </w:pBdr>
      <w:tabs>
        <w:tab w:val="center" w:pos="4815"/>
        <w:tab w:val="left" w:pos="8607"/>
      </w:tabs>
      <w:spacing w:line="276" w:lineRule="auto"/>
      <w:rPr>
        <w:color w:val="FFFFFF" w:themeColor="background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B5009" w14:textId="13F5D320" w:rsidR="00487D63" w:rsidRPr="00271A79" w:rsidRDefault="006336D9" w:rsidP="006336D9">
    <w:pPr>
      <w:tabs>
        <w:tab w:val="left" w:pos="400"/>
        <w:tab w:val="center" w:pos="4680"/>
      </w:tabs>
      <w:spacing w:after="0" w:line="240" w:lineRule="auto"/>
      <w:rPr>
        <w:color w:val="FFFFFF" w:themeColor="background1"/>
        <w:sz w:val="32"/>
        <w:szCs w:val="32"/>
      </w:rPr>
    </w:pPr>
    <w:r>
      <w:rPr>
        <w:color w:val="FFFFFF" w:themeColor="background1"/>
        <w:sz w:val="32"/>
        <w:szCs w:val="32"/>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EFE74" w14:textId="77777777" w:rsidR="00487D63" w:rsidRDefault="00487D6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CB58A" w14:textId="6044896B" w:rsidR="00487D63" w:rsidRPr="00903687" w:rsidRDefault="00487D63" w:rsidP="00903687">
    <w:pPr>
      <w:pStyle w:val="Header"/>
      <w:shd w:val="clear" w:color="auto" w:fill="808080" w:themeFill="background1" w:themeFillShade="80"/>
      <w:jc w:val="center"/>
      <w:rPr>
        <w:color w:val="FFFFFF" w:themeColor="background1"/>
        <w:sz w:val="40"/>
        <w:szCs w:val="40"/>
      </w:rPr>
    </w:pPr>
    <w:r w:rsidRPr="00903687">
      <w:rPr>
        <w:color w:val="FFFFFF" w:themeColor="background1"/>
        <w:sz w:val="40"/>
        <w:szCs w:val="40"/>
      </w:rPr>
      <w:t>FY 2016 DOT Performance Report – Summary Tables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B2012" w14:textId="77777777" w:rsidR="00487D63" w:rsidRPr="00BB3F87" w:rsidRDefault="00487D63" w:rsidP="00CB040F">
    <w:pPr>
      <w:spacing w:after="0" w:line="240" w:lineRule="auto"/>
    </w:pPr>
    <w:r w:rsidRPr="00CB040F">
      <w:rPr>
        <w:b/>
        <w:noProof/>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A68B1" w14:textId="77777777" w:rsidR="00487D63" w:rsidRPr="00722FB7" w:rsidRDefault="00487D63" w:rsidP="00722F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25C1A"/>
    <w:multiLevelType w:val="hybridMultilevel"/>
    <w:tmpl w:val="5836A29C"/>
    <w:lvl w:ilvl="0" w:tplc="CF5C971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63C6F08"/>
    <w:multiLevelType w:val="hybridMultilevel"/>
    <w:tmpl w:val="9B92D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FA5BEA"/>
    <w:multiLevelType w:val="hybridMultilevel"/>
    <w:tmpl w:val="F08E4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BF354B"/>
    <w:multiLevelType w:val="hybridMultilevel"/>
    <w:tmpl w:val="5CAA7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93609C5"/>
    <w:multiLevelType w:val="hybridMultilevel"/>
    <w:tmpl w:val="772437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4A47B3"/>
    <w:multiLevelType w:val="hybridMultilevel"/>
    <w:tmpl w:val="E2E62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4F7559"/>
    <w:multiLevelType w:val="hybridMultilevel"/>
    <w:tmpl w:val="6536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8A6777"/>
    <w:multiLevelType w:val="hybridMultilevel"/>
    <w:tmpl w:val="2AC63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C53E6E"/>
    <w:multiLevelType w:val="hybridMultilevel"/>
    <w:tmpl w:val="8430C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8E05C0"/>
    <w:multiLevelType w:val="hybridMultilevel"/>
    <w:tmpl w:val="9CF29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1820D4"/>
    <w:multiLevelType w:val="hybridMultilevel"/>
    <w:tmpl w:val="59348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44439F"/>
    <w:multiLevelType w:val="hybridMultilevel"/>
    <w:tmpl w:val="DB70D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EC516D"/>
    <w:multiLevelType w:val="hybridMultilevel"/>
    <w:tmpl w:val="2220857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A6422AF"/>
    <w:multiLevelType w:val="hybridMultilevel"/>
    <w:tmpl w:val="91000F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BA40B0E"/>
    <w:multiLevelType w:val="hybridMultilevel"/>
    <w:tmpl w:val="9A7C0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E7E70AC"/>
    <w:multiLevelType w:val="hybridMultilevel"/>
    <w:tmpl w:val="B2420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BA7885"/>
    <w:multiLevelType w:val="hybridMultilevel"/>
    <w:tmpl w:val="983A9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FD0ABE"/>
    <w:multiLevelType w:val="hybridMultilevel"/>
    <w:tmpl w:val="8B329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6064C6"/>
    <w:multiLevelType w:val="hybridMultilevel"/>
    <w:tmpl w:val="A2C84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761B46"/>
    <w:multiLevelType w:val="hybridMultilevel"/>
    <w:tmpl w:val="F0523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E821DE"/>
    <w:multiLevelType w:val="hybridMultilevel"/>
    <w:tmpl w:val="F1804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223854"/>
    <w:multiLevelType w:val="hybridMultilevel"/>
    <w:tmpl w:val="5344C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3878FE"/>
    <w:multiLevelType w:val="hybridMultilevel"/>
    <w:tmpl w:val="F7E4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53747E"/>
    <w:multiLevelType w:val="hybridMultilevel"/>
    <w:tmpl w:val="77101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2C6263FC"/>
    <w:multiLevelType w:val="hybridMultilevel"/>
    <w:tmpl w:val="18D85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822A9D"/>
    <w:multiLevelType w:val="hybridMultilevel"/>
    <w:tmpl w:val="F82AF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EC1E59"/>
    <w:multiLevelType w:val="hybridMultilevel"/>
    <w:tmpl w:val="F34645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0CC326B"/>
    <w:multiLevelType w:val="hybridMultilevel"/>
    <w:tmpl w:val="D3062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3C67EDE"/>
    <w:multiLevelType w:val="hybridMultilevel"/>
    <w:tmpl w:val="D5AA6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56060A2"/>
    <w:multiLevelType w:val="hybridMultilevel"/>
    <w:tmpl w:val="DBD03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76F6B24"/>
    <w:multiLevelType w:val="hybridMultilevel"/>
    <w:tmpl w:val="20945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A0918FA"/>
    <w:multiLevelType w:val="hybridMultilevel"/>
    <w:tmpl w:val="B512E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A324108"/>
    <w:multiLevelType w:val="hybridMultilevel"/>
    <w:tmpl w:val="281E73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3D466394"/>
    <w:multiLevelType w:val="hybridMultilevel"/>
    <w:tmpl w:val="FE661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DAC31B7"/>
    <w:multiLevelType w:val="hybridMultilevel"/>
    <w:tmpl w:val="EEE0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16345DD"/>
    <w:multiLevelType w:val="hybridMultilevel"/>
    <w:tmpl w:val="E2267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24F1F56"/>
    <w:multiLevelType w:val="hybridMultilevel"/>
    <w:tmpl w:val="95B27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2725BFB"/>
    <w:multiLevelType w:val="hybridMultilevel"/>
    <w:tmpl w:val="D83E744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8">
    <w:nsid w:val="43A962EB"/>
    <w:multiLevelType w:val="hybridMultilevel"/>
    <w:tmpl w:val="5860A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53252AC"/>
    <w:multiLevelType w:val="hybridMultilevel"/>
    <w:tmpl w:val="C3DC7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601537E"/>
    <w:multiLevelType w:val="hybridMultilevel"/>
    <w:tmpl w:val="BB925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75133CB"/>
    <w:multiLevelType w:val="hybridMultilevel"/>
    <w:tmpl w:val="50346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7C51043"/>
    <w:multiLevelType w:val="hybridMultilevel"/>
    <w:tmpl w:val="05B2F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D004E35"/>
    <w:multiLevelType w:val="hybridMultilevel"/>
    <w:tmpl w:val="02ACC7B8"/>
    <w:lvl w:ilvl="0" w:tplc="453EE95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DD6442B"/>
    <w:multiLevelType w:val="hybridMultilevel"/>
    <w:tmpl w:val="D0223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E0442F5"/>
    <w:multiLevelType w:val="hybridMultilevel"/>
    <w:tmpl w:val="D5B04EBE"/>
    <w:lvl w:ilvl="0" w:tplc="616E37C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F7450E8"/>
    <w:multiLevelType w:val="hybridMultilevel"/>
    <w:tmpl w:val="52C60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1AD1829"/>
    <w:multiLevelType w:val="hybridMultilevel"/>
    <w:tmpl w:val="2F7E5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52A7A4A"/>
    <w:multiLevelType w:val="hybridMultilevel"/>
    <w:tmpl w:val="63E6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63B4FA7"/>
    <w:multiLevelType w:val="hybridMultilevel"/>
    <w:tmpl w:val="06CC2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8C5571C"/>
    <w:multiLevelType w:val="hybridMultilevel"/>
    <w:tmpl w:val="3FB8F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AD02A51"/>
    <w:multiLevelType w:val="hybridMultilevel"/>
    <w:tmpl w:val="19623EB2"/>
    <w:lvl w:ilvl="0" w:tplc="04090001">
      <w:start w:val="1"/>
      <w:numFmt w:val="bullet"/>
      <w:lvlText w:val=""/>
      <w:lvlJc w:val="left"/>
      <w:pPr>
        <w:ind w:left="720" w:hanging="360"/>
      </w:pPr>
      <w:rPr>
        <w:rFonts w:ascii="Symbol" w:hAnsi="Symbol" w:hint="default"/>
      </w:rPr>
    </w:lvl>
    <w:lvl w:ilvl="1" w:tplc="7C44E2F2">
      <w:numFmt w:val="bullet"/>
      <w:lvlText w:val="•"/>
      <w:lvlJc w:val="left"/>
      <w:pPr>
        <w:ind w:left="1800" w:hanging="720"/>
      </w:pPr>
      <w:rPr>
        <w:rFonts w:ascii="Times New Roman" w:eastAsiaTheme="minorHAnsi" w:hAnsi="Times New Roman" w:cs="Times New Roman"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C1C5851"/>
    <w:multiLevelType w:val="hybridMultilevel"/>
    <w:tmpl w:val="CDCCA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09F0AD0"/>
    <w:multiLevelType w:val="hybridMultilevel"/>
    <w:tmpl w:val="F17E1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1461833"/>
    <w:multiLevelType w:val="hybridMultilevel"/>
    <w:tmpl w:val="12B874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62C32A04"/>
    <w:multiLevelType w:val="hybridMultilevel"/>
    <w:tmpl w:val="06DA5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3E042D3"/>
    <w:multiLevelType w:val="hybridMultilevel"/>
    <w:tmpl w:val="96221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58902A1"/>
    <w:multiLevelType w:val="hybridMultilevel"/>
    <w:tmpl w:val="1EF27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64D779A"/>
    <w:multiLevelType w:val="hybridMultilevel"/>
    <w:tmpl w:val="4C8E6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6AB501FA"/>
    <w:multiLevelType w:val="hybridMultilevel"/>
    <w:tmpl w:val="F16C4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B020CD7"/>
    <w:multiLevelType w:val="hybridMultilevel"/>
    <w:tmpl w:val="A75ABF12"/>
    <w:lvl w:ilvl="0" w:tplc="453EE95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C647DA2"/>
    <w:multiLevelType w:val="hybridMultilevel"/>
    <w:tmpl w:val="22A46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D5829BA"/>
    <w:multiLevelType w:val="hybridMultilevel"/>
    <w:tmpl w:val="0EFE9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715340C3"/>
    <w:multiLevelType w:val="hybridMultilevel"/>
    <w:tmpl w:val="94CE4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3820B4B"/>
    <w:multiLevelType w:val="hybridMultilevel"/>
    <w:tmpl w:val="C9A2F752"/>
    <w:lvl w:ilvl="0" w:tplc="616E37C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39B57DA"/>
    <w:multiLevelType w:val="hybridMultilevel"/>
    <w:tmpl w:val="29AADADA"/>
    <w:lvl w:ilvl="0" w:tplc="6C50B90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3CF1093"/>
    <w:multiLevelType w:val="hybridMultilevel"/>
    <w:tmpl w:val="0206D874"/>
    <w:lvl w:ilvl="0" w:tplc="616E37C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3E86179"/>
    <w:multiLevelType w:val="hybridMultilevel"/>
    <w:tmpl w:val="79E25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42F0E94"/>
    <w:multiLevelType w:val="hybridMultilevel"/>
    <w:tmpl w:val="F0C8D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A457914"/>
    <w:multiLevelType w:val="hybridMultilevel"/>
    <w:tmpl w:val="B3E61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D2556D7"/>
    <w:multiLevelType w:val="hybridMultilevel"/>
    <w:tmpl w:val="E736A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F064E62"/>
    <w:multiLevelType w:val="hybridMultilevel"/>
    <w:tmpl w:val="7362F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59"/>
  </w:num>
  <w:num w:numId="3">
    <w:abstractNumId w:val="12"/>
  </w:num>
  <w:num w:numId="4">
    <w:abstractNumId w:val="49"/>
  </w:num>
  <w:num w:numId="5">
    <w:abstractNumId w:val="37"/>
  </w:num>
  <w:num w:numId="6">
    <w:abstractNumId w:val="10"/>
  </w:num>
  <w:num w:numId="7">
    <w:abstractNumId w:val="18"/>
  </w:num>
  <w:num w:numId="8">
    <w:abstractNumId w:val="11"/>
  </w:num>
  <w:num w:numId="9">
    <w:abstractNumId w:val="68"/>
  </w:num>
  <w:num w:numId="10">
    <w:abstractNumId w:val="24"/>
  </w:num>
  <w:num w:numId="11">
    <w:abstractNumId w:val="45"/>
  </w:num>
  <w:num w:numId="12">
    <w:abstractNumId w:val="64"/>
  </w:num>
  <w:num w:numId="13">
    <w:abstractNumId w:val="26"/>
  </w:num>
  <w:num w:numId="14">
    <w:abstractNumId w:val="34"/>
  </w:num>
  <w:num w:numId="15">
    <w:abstractNumId w:val="1"/>
  </w:num>
  <w:num w:numId="16">
    <w:abstractNumId w:val="51"/>
  </w:num>
  <w:num w:numId="17">
    <w:abstractNumId w:val="65"/>
  </w:num>
  <w:num w:numId="18">
    <w:abstractNumId w:val="54"/>
  </w:num>
  <w:num w:numId="19">
    <w:abstractNumId w:val="63"/>
  </w:num>
  <w:num w:numId="20">
    <w:abstractNumId w:val="21"/>
  </w:num>
  <w:num w:numId="21">
    <w:abstractNumId w:val="44"/>
  </w:num>
  <w:num w:numId="22">
    <w:abstractNumId w:val="52"/>
  </w:num>
  <w:num w:numId="23">
    <w:abstractNumId w:val="36"/>
  </w:num>
  <w:num w:numId="24">
    <w:abstractNumId w:val="38"/>
  </w:num>
  <w:num w:numId="25">
    <w:abstractNumId w:val="25"/>
  </w:num>
  <w:num w:numId="26">
    <w:abstractNumId w:val="56"/>
  </w:num>
  <w:num w:numId="27">
    <w:abstractNumId w:val="0"/>
  </w:num>
  <w:num w:numId="28">
    <w:abstractNumId w:val="7"/>
  </w:num>
  <w:num w:numId="29">
    <w:abstractNumId w:val="48"/>
  </w:num>
  <w:num w:numId="30">
    <w:abstractNumId w:val="2"/>
  </w:num>
  <w:num w:numId="31">
    <w:abstractNumId w:val="9"/>
  </w:num>
  <w:num w:numId="32">
    <w:abstractNumId w:val="50"/>
  </w:num>
  <w:num w:numId="33">
    <w:abstractNumId w:val="66"/>
  </w:num>
  <w:num w:numId="34">
    <w:abstractNumId w:val="57"/>
  </w:num>
  <w:num w:numId="35">
    <w:abstractNumId w:val="61"/>
  </w:num>
  <w:num w:numId="36">
    <w:abstractNumId w:val="19"/>
  </w:num>
  <w:num w:numId="37">
    <w:abstractNumId w:val="31"/>
  </w:num>
  <w:num w:numId="38">
    <w:abstractNumId w:val="42"/>
  </w:num>
  <w:num w:numId="39">
    <w:abstractNumId w:val="33"/>
  </w:num>
  <w:num w:numId="40">
    <w:abstractNumId w:val="70"/>
  </w:num>
  <w:num w:numId="41">
    <w:abstractNumId w:val="53"/>
  </w:num>
  <w:num w:numId="42">
    <w:abstractNumId w:val="20"/>
  </w:num>
  <w:num w:numId="43">
    <w:abstractNumId w:val="43"/>
  </w:num>
  <w:num w:numId="44">
    <w:abstractNumId w:val="60"/>
  </w:num>
  <w:num w:numId="45">
    <w:abstractNumId w:val="69"/>
  </w:num>
  <w:num w:numId="46">
    <w:abstractNumId w:val="3"/>
  </w:num>
  <w:num w:numId="47">
    <w:abstractNumId w:val="62"/>
  </w:num>
  <w:num w:numId="48">
    <w:abstractNumId w:val="29"/>
  </w:num>
  <w:num w:numId="49">
    <w:abstractNumId w:val="22"/>
  </w:num>
  <w:num w:numId="50">
    <w:abstractNumId w:val="30"/>
  </w:num>
  <w:num w:numId="51">
    <w:abstractNumId w:val="16"/>
  </w:num>
  <w:num w:numId="52">
    <w:abstractNumId w:val="8"/>
  </w:num>
  <w:num w:numId="53">
    <w:abstractNumId w:val="27"/>
  </w:num>
  <w:num w:numId="54">
    <w:abstractNumId w:val="4"/>
  </w:num>
  <w:num w:numId="55">
    <w:abstractNumId w:val="28"/>
  </w:num>
  <w:num w:numId="56">
    <w:abstractNumId w:val="58"/>
  </w:num>
  <w:num w:numId="57">
    <w:abstractNumId w:val="46"/>
  </w:num>
  <w:num w:numId="58">
    <w:abstractNumId w:val="55"/>
  </w:num>
  <w:num w:numId="59">
    <w:abstractNumId w:val="67"/>
  </w:num>
  <w:num w:numId="60">
    <w:abstractNumId w:val="32"/>
  </w:num>
  <w:num w:numId="61">
    <w:abstractNumId w:val="71"/>
  </w:num>
  <w:num w:numId="62">
    <w:abstractNumId w:val="23"/>
  </w:num>
  <w:num w:numId="63">
    <w:abstractNumId w:val="39"/>
  </w:num>
  <w:num w:numId="64">
    <w:abstractNumId w:val="14"/>
  </w:num>
  <w:num w:numId="65">
    <w:abstractNumId w:val="15"/>
  </w:num>
  <w:num w:numId="66">
    <w:abstractNumId w:val="47"/>
  </w:num>
  <w:num w:numId="67">
    <w:abstractNumId w:val="13"/>
  </w:num>
  <w:num w:numId="68">
    <w:abstractNumId w:val="40"/>
  </w:num>
  <w:num w:numId="69">
    <w:abstractNumId w:val="17"/>
  </w:num>
  <w:num w:numId="70">
    <w:abstractNumId w:val="6"/>
  </w:num>
  <w:num w:numId="71">
    <w:abstractNumId w:val="41"/>
  </w:num>
  <w:num w:numId="72">
    <w:abstractNumId w:val="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545"/>
    <w:rsid w:val="00002A85"/>
    <w:rsid w:val="00007D45"/>
    <w:rsid w:val="00013A33"/>
    <w:rsid w:val="0001585E"/>
    <w:rsid w:val="000223C6"/>
    <w:rsid w:val="000227D2"/>
    <w:rsid w:val="00022CD4"/>
    <w:rsid w:val="000250F8"/>
    <w:rsid w:val="00025CDF"/>
    <w:rsid w:val="00026C8B"/>
    <w:rsid w:val="00026F5E"/>
    <w:rsid w:val="00027040"/>
    <w:rsid w:val="00027236"/>
    <w:rsid w:val="00031EDD"/>
    <w:rsid w:val="00037096"/>
    <w:rsid w:val="00040484"/>
    <w:rsid w:val="000456ED"/>
    <w:rsid w:val="000472AA"/>
    <w:rsid w:val="00047445"/>
    <w:rsid w:val="00053B1F"/>
    <w:rsid w:val="00054EBB"/>
    <w:rsid w:val="00055C37"/>
    <w:rsid w:val="00056909"/>
    <w:rsid w:val="0006271E"/>
    <w:rsid w:val="0006296F"/>
    <w:rsid w:val="00062E67"/>
    <w:rsid w:val="00063730"/>
    <w:rsid w:val="0006498B"/>
    <w:rsid w:val="00064FDD"/>
    <w:rsid w:val="0007365F"/>
    <w:rsid w:val="0007415A"/>
    <w:rsid w:val="00074D76"/>
    <w:rsid w:val="00076CAC"/>
    <w:rsid w:val="00082917"/>
    <w:rsid w:val="00086609"/>
    <w:rsid w:val="00092BBA"/>
    <w:rsid w:val="00093237"/>
    <w:rsid w:val="000936B2"/>
    <w:rsid w:val="000974FB"/>
    <w:rsid w:val="000A03A4"/>
    <w:rsid w:val="000A2660"/>
    <w:rsid w:val="000A3F2D"/>
    <w:rsid w:val="000A55E6"/>
    <w:rsid w:val="000A7BB4"/>
    <w:rsid w:val="000B10D7"/>
    <w:rsid w:val="000B304E"/>
    <w:rsid w:val="000B4521"/>
    <w:rsid w:val="000B559F"/>
    <w:rsid w:val="000C10F0"/>
    <w:rsid w:val="000C16A7"/>
    <w:rsid w:val="000D0A56"/>
    <w:rsid w:val="000D1123"/>
    <w:rsid w:val="000D2281"/>
    <w:rsid w:val="000D3E9B"/>
    <w:rsid w:val="000D579A"/>
    <w:rsid w:val="000E099E"/>
    <w:rsid w:val="000E3681"/>
    <w:rsid w:val="000E3F10"/>
    <w:rsid w:val="000E515D"/>
    <w:rsid w:val="000E5ABC"/>
    <w:rsid w:val="000F195C"/>
    <w:rsid w:val="0010294D"/>
    <w:rsid w:val="001068F9"/>
    <w:rsid w:val="00114829"/>
    <w:rsid w:val="00116338"/>
    <w:rsid w:val="00121655"/>
    <w:rsid w:val="00123E8D"/>
    <w:rsid w:val="00124712"/>
    <w:rsid w:val="00126045"/>
    <w:rsid w:val="00126FC5"/>
    <w:rsid w:val="00130965"/>
    <w:rsid w:val="001309F0"/>
    <w:rsid w:val="00131CCE"/>
    <w:rsid w:val="00137CE7"/>
    <w:rsid w:val="0014063F"/>
    <w:rsid w:val="001428C4"/>
    <w:rsid w:val="0014479D"/>
    <w:rsid w:val="001447BA"/>
    <w:rsid w:val="001553FC"/>
    <w:rsid w:val="001579C3"/>
    <w:rsid w:val="00162C3D"/>
    <w:rsid w:val="00162F5D"/>
    <w:rsid w:val="001679B4"/>
    <w:rsid w:val="00170F5C"/>
    <w:rsid w:val="00171654"/>
    <w:rsid w:val="00180F09"/>
    <w:rsid w:val="001811A0"/>
    <w:rsid w:val="00185591"/>
    <w:rsid w:val="00187330"/>
    <w:rsid w:val="00187482"/>
    <w:rsid w:val="00187789"/>
    <w:rsid w:val="00187CE8"/>
    <w:rsid w:val="001928CE"/>
    <w:rsid w:val="00193B78"/>
    <w:rsid w:val="0019433B"/>
    <w:rsid w:val="00195A8C"/>
    <w:rsid w:val="00195C30"/>
    <w:rsid w:val="00196424"/>
    <w:rsid w:val="001A15BF"/>
    <w:rsid w:val="001A3CE1"/>
    <w:rsid w:val="001A6CFB"/>
    <w:rsid w:val="001B01BC"/>
    <w:rsid w:val="001B0E91"/>
    <w:rsid w:val="001B1597"/>
    <w:rsid w:val="001B1869"/>
    <w:rsid w:val="001B1A15"/>
    <w:rsid w:val="001C1C35"/>
    <w:rsid w:val="001C2D7E"/>
    <w:rsid w:val="001C4739"/>
    <w:rsid w:val="001C51E4"/>
    <w:rsid w:val="001D1630"/>
    <w:rsid w:val="001D3A97"/>
    <w:rsid w:val="001D4A11"/>
    <w:rsid w:val="001D52AD"/>
    <w:rsid w:val="001E1B2E"/>
    <w:rsid w:val="001E3FB2"/>
    <w:rsid w:val="001E584C"/>
    <w:rsid w:val="001E5AE2"/>
    <w:rsid w:val="001E6DCD"/>
    <w:rsid w:val="001F0E6A"/>
    <w:rsid w:val="001F5005"/>
    <w:rsid w:val="001F6395"/>
    <w:rsid w:val="001F69DC"/>
    <w:rsid w:val="001F6ABE"/>
    <w:rsid w:val="001F6F3B"/>
    <w:rsid w:val="001F7ACD"/>
    <w:rsid w:val="0020253B"/>
    <w:rsid w:val="00203196"/>
    <w:rsid w:val="00215C9B"/>
    <w:rsid w:val="00223417"/>
    <w:rsid w:val="0022437D"/>
    <w:rsid w:val="002243D8"/>
    <w:rsid w:val="00227AC0"/>
    <w:rsid w:val="00227C3F"/>
    <w:rsid w:val="00227F21"/>
    <w:rsid w:val="0023117F"/>
    <w:rsid w:val="00232C03"/>
    <w:rsid w:val="002331DD"/>
    <w:rsid w:val="00235079"/>
    <w:rsid w:val="00235D9D"/>
    <w:rsid w:val="0023652B"/>
    <w:rsid w:val="00236CB8"/>
    <w:rsid w:val="00240DA5"/>
    <w:rsid w:val="00244457"/>
    <w:rsid w:val="00244B7F"/>
    <w:rsid w:val="0024563F"/>
    <w:rsid w:val="002509E1"/>
    <w:rsid w:val="00251A61"/>
    <w:rsid w:val="00257949"/>
    <w:rsid w:val="002609DD"/>
    <w:rsid w:val="00260C83"/>
    <w:rsid w:val="00262AC3"/>
    <w:rsid w:val="002635BE"/>
    <w:rsid w:val="002642C6"/>
    <w:rsid w:val="0026450E"/>
    <w:rsid w:val="002714EA"/>
    <w:rsid w:val="002746CF"/>
    <w:rsid w:val="002749C0"/>
    <w:rsid w:val="00275F74"/>
    <w:rsid w:val="002767CC"/>
    <w:rsid w:val="002812BC"/>
    <w:rsid w:val="00284AFD"/>
    <w:rsid w:val="0028730B"/>
    <w:rsid w:val="002878F9"/>
    <w:rsid w:val="00294C38"/>
    <w:rsid w:val="0029503F"/>
    <w:rsid w:val="00295551"/>
    <w:rsid w:val="00297ED3"/>
    <w:rsid w:val="002A2CAD"/>
    <w:rsid w:val="002A384D"/>
    <w:rsid w:val="002A6EB0"/>
    <w:rsid w:val="002B08BD"/>
    <w:rsid w:val="002B2C0C"/>
    <w:rsid w:val="002B3126"/>
    <w:rsid w:val="002B55A8"/>
    <w:rsid w:val="002B6591"/>
    <w:rsid w:val="002B6D7F"/>
    <w:rsid w:val="002B746C"/>
    <w:rsid w:val="002C1EEB"/>
    <w:rsid w:val="002C719F"/>
    <w:rsid w:val="002D1C05"/>
    <w:rsid w:val="002D235B"/>
    <w:rsid w:val="002D3F3A"/>
    <w:rsid w:val="002D4AE5"/>
    <w:rsid w:val="002D5129"/>
    <w:rsid w:val="002D6F45"/>
    <w:rsid w:val="002D723C"/>
    <w:rsid w:val="002E0DDB"/>
    <w:rsid w:val="002E49F3"/>
    <w:rsid w:val="002E79D3"/>
    <w:rsid w:val="002F39FB"/>
    <w:rsid w:val="002F4E1A"/>
    <w:rsid w:val="002F594D"/>
    <w:rsid w:val="002F6869"/>
    <w:rsid w:val="003008CA"/>
    <w:rsid w:val="00302517"/>
    <w:rsid w:val="00303522"/>
    <w:rsid w:val="00306778"/>
    <w:rsid w:val="00307B0A"/>
    <w:rsid w:val="00314E3D"/>
    <w:rsid w:val="003173F4"/>
    <w:rsid w:val="003212F7"/>
    <w:rsid w:val="00323701"/>
    <w:rsid w:val="00325334"/>
    <w:rsid w:val="0032560D"/>
    <w:rsid w:val="00327FBC"/>
    <w:rsid w:val="00330F38"/>
    <w:rsid w:val="003310DC"/>
    <w:rsid w:val="00332E7D"/>
    <w:rsid w:val="003338DC"/>
    <w:rsid w:val="00334045"/>
    <w:rsid w:val="00336F48"/>
    <w:rsid w:val="003408EE"/>
    <w:rsid w:val="00340DEE"/>
    <w:rsid w:val="003426A6"/>
    <w:rsid w:val="00344A80"/>
    <w:rsid w:val="00344C42"/>
    <w:rsid w:val="00344DC1"/>
    <w:rsid w:val="003464EF"/>
    <w:rsid w:val="00346886"/>
    <w:rsid w:val="00352C42"/>
    <w:rsid w:val="00354E41"/>
    <w:rsid w:val="003576A0"/>
    <w:rsid w:val="00360CCD"/>
    <w:rsid w:val="00361994"/>
    <w:rsid w:val="00362545"/>
    <w:rsid w:val="00364C25"/>
    <w:rsid w:val="00366EEA"/>
    <w:rsid w:val="0037047E"/>
    <w:rsid w:val="0037104B"/>
    <w:rsid w:val="003740A8"/>
    <w:rsid w:val="00374C87"/>
    <w:rsid w:val="00375ECA"/>
    <w:rsid w:val="00380226"/>
    <w:rsid w:val="00384779"/>
    <w:rsid w:val="003859C3"/>
    <w:rsid w:val="003871E6"/>
    <w:rsid w:val="00393B99"/>
    <w:rsid w:val="003A013F"/>
    <w:rsid w:val="003A030B"/>
    <w:rsid w:val="003A4E20"/>
    <w:rsid w:val="003A5864"/>
    <w:rsid w:val="003A64B9"/>
    <w:rsid w:val="003A6CDA"/>
    <w:rsid w:val="003A6FE4"/>
    <w:rsid w:val="003B420E"/>
    <w:rsid w:val="003C0746"/>
    <w:rsid w:val="003C1119"/>
    <w:rsid w:val="003C3037"/>
    <w:rsid w:val="003C35CC"/>
    <w:rsid w:val="003C4EBC"/>
    <w:rsid w:val="003C5A7B"/>
    <w:rsid w:val="003D041F"/>
    <w:rsid w:val="003D45D0"/>
    <w:rsid w:val="003D4F21"/>
    <w:rsid w:val="003D5353"/>
    <w:rsid w:val="003D55DF"/>
    <w:rsid w:val="003D678F"/>
    <w:rsid w:val="003E0059"/>
    <w:rsid w:val="003E2439"/>
    <w:rsid w:val="003E734B"/>
    <w:rsid w:val="003F006F"/>
    <w:rsid w:val="003F05AF"/>
    <w:rsid w:val="003F06A9"/>
    <w:rsid w:val="003F160D"/>
    <w:rsid w:val="003F1D18"/>
    <w:rsid w:val="003F6A9F"/>
    <w:rsid w:val="00410962"/>
    <w:rsid w:val="00411569"/>
    <w:rsid w:val="00411E77"/>
    <w:rsid w:val="00412FD6"/>
    <w:rsid w:val="004135C4"/>
    <w:rsid w:val="00425161"/>
    <w:rsid w:val="00432038"/>
    <w:rsid w:val="0043480E"/>
    <w:rsid w:val="00435600"/>
    <w:rsid w:val="0044284E"/>
    <w:rsid w:val="004457C9"/>
    <w:rsid w:val="00452B3B"/>
    <w:rsid w:val="004547CC"/>
    <w:rsid w:val="00456202"/>
    <w:rsid w:val="00456F9D"/>
    <w:rsid w:val="00456FFA"/>
    <w:rsid w:val="00461373"/>
    <w:rsid w:val="004636FE"/>
    <w:rsid w:val="004665D0"/>
    <w:rsid w:val="00466F5F"/>
    <w:rsid w:val="00467F89"/>
    <w:rsid w:val="004702AD"/>
    <w:rsid w:val="004724B7"/>
    <w:rsid w:val="004725E0"/>
    <w:rsid w:val="00473A0F"/>
    <w:rsid w:val="0047507F"/>
    <w:rsid w:val="00476685"/>
    <w:rsid w:val="00476ACB"/>
    <w:rsid w:val="0047739C"/>
    <w:rsid w:val="00483760"/>
    <w:rsid w:val="0048609A"/>
    <w:rsid w:val="00486767"/>
    <w:rsid w:val="00487D63"/>
    <w:rsid w:val="0049102B"/>
    <w:rsid w:val="004915BC"/>
    <w:rsid w:val="00493455"/>
    <w:rsid w:val="004936E9"/>
    <w:rsid w:val="004942C6"/>
    <w:rsid w:val="00495AB7"/>
    <w:rsid w:val="004A164A"/>
    <w:rsid w:val="004A27FC"/>
    <w:rsid w:val="004A29F8"/>
    <w:rsid w:val="004A2CDB"/>
    <w:rsid w:val="004A3BB8"/>
    <w:rsid w:val="004A434A"/>
    <w:rsid w:val="004A4EC3"/>
    <w:rsid w:val="004A5E28"/>
    <w:rsid w:val="004A5F41"/>
    <w:rsid w:val="004A7F13"/>
    <w:rsid w:val="004B02BC"/>
    <w:rsid w:val="004B162A"/>
    <w:rsid w:val="004B4239"/>
    <w:rsid w:val="004B4A0C"/>
    <w:rsid w:val="004B4C68"/>
    <w:rsid w:val="004B4DA7"/>
    <w:rsid w:val="004B57DF"/>
    <w:rsid w:val="004C049A"/>
    <w:rsid w:val="004C1A82"/>
    <w:rsid w:val="004C32B9"/>
    <w:rsid w:val="004C3B1C"/>
    <w:rsid w:val="004C6185"/>
    <w:rsid w:val="004C642C"/>
    <w:rsid w:val="004D1BDA"/>
    <w:rsid w:val="004D6430"/>
    <w:rsid w:val="004D6CA0"/>
    <w:rsid w:val="004E05A7"/>
    <w:rsid w:val="004E2B50"/>
    <w:rsid w:val="004E3E08"/>
    <w:rsid w:val="004E3F22"/>
    <w:rsid w:val="004E45CC"/>
    <w:rsid w:val="004E48FA"/>
    <w:rsid w:val="004E4F9A"/>
    <w:rsid w:val="004F2D66"/>
    <w:rsid w:val="004F31F3"/>
    <w:rsid w:val="004F3341"/>
    <w:rsid w:val="004F46A5"/>
    <w:rsid w:val="004F484F"/>
    <w:rsid w:val="004F52A8"/>
    <w:rsid w:val="004F5BAD"/>
    <w:rsid w:val="004F72C3"/>
    <w:rsid w:val="00501E28"/>
    <w:rsid w:val="00504B6B"/>
    <w:rsid w:val="00505A18"/>
    <w:rsid w:val="005074F7"/>
    <w:rsid w:val="00511A93"/>
    <w:rsid w:val="00511CFC"/>
    <w:rsid w:val="00512A86"/>
    <w:rsid w:val="00512C85"/>
    <w:rsid w:val="00514D6D"/>
    <w:rsid w:val="00517C69"/>
    <w:rsid w:val="00520061"/>
    <w:rsid w:val="0052201E"/>
    <w:rsid w:val="00522E8F"/>
    <w:rsid w:val="0052490D"/>
    <w:rsid w:val="00524D8A"/>
    <w:rsid w:val="00525216"/>
    <w:rsid w:val="005267E3"/>
    <w:rsid w:val="00532E37"/>
    <w:rsid w:val="005337E4"/>
    <w:rsid w:val="0053497C"/>
    <w:rsid w:val="005355A6"/>
    <w:rsid w:val="00536566"/>
    <w:rsid w:val="00540967"/>
    <w:rsid w:val="005410BE"/>
    <w:rsid w:val="005423F1"/>
    <w:rsid w:val="005428F2"/>
    <w:rsid w:val="00543DDB"/>
    <w:rsid w:val="005451DD"/>
    <w:rsid w:val="005472BC"/>
    <w:rsid w:val="00554671"/>
    <w:rsid w:val="00554ADC"/>
    <w:rsid w:val="00560813"/>
    <w:rsid w:val="0056394A"/>
    <w:rsid w:val="00564980"/>
    <w:rsid w:val="00580F70"/>
    <w:rsid w:val="005826E4"/>
    <w:rsid w:val="00584580"/>
    <w:rsid w:val="00585156"/>
    <w:rsid w:val="00590560"/>
    <w:rsid w:val="00591570"/>
    <w:rsid w:val="005928C9"/>
    <w:rsid w:val="00593BD1"/>
    <w:rsid w:val="00596121"/>
    <w:rsid w:val="00596675"/>
    <w:rsid w:val="005A15FF"/>
    <w:rsid w:val="005A1B23"/>
    <w:rsid w:val="005A5A26"/>
    <w:rsid w:val="005B5D20"/>
    <w:rsid w:val="005C0D21"/>
    <w:rsid w:val="005C112D"/>
    <w:rsid w:val="005D12C1"/>
    <w:rsid w:val="005D2B91"/>
    <w:rsid w:val="005D5D13"/>
    <w:rsid w:val="005D7711"/>
    <w:rsid w:val="005D7B65"/>
    <w:rsid w:val="005D7F0B"/>
    <w:rsid w:val="005E1A43"/>
    <w:rsid w:val="005E1ACF"/>
    <w:rsid w:val="005E5FBC"/>
    <w:rsid w:val="005F2078"/>
    <w:rsid w:val="00601BFB"/>
    <w:rsid w:val="00607BD2"/>
    <w:rsid w:val="00610051"/>
    <w:rsid w:val="00611B59"/>
    <w:rsid w:val="0061240F"/>
    <w:rsid w:val="0061387B"/>
    <w:rsid w:val="006158BE"/>
    <w:rsid w:val="00616F0F"/>
    <w:rsid w:val="00620E42"/>
    <w:rsid w:val="00620FE4"/>
    <w:rsid w:val="0062610F"/>
    <w:rsid w:val="00626C27"/>
    <w:rsid w:val="0063039F"/>
    <w:rsid w:val="006336D9"/>
    <w:rsid w:val="0063433D"/>
    <w:rsid w:val="0064289B"/>
    <w:rsid w:val="00645DC1"/>
    <w:rsid w:val="0065093C"/>
    <w:rsid w:val="00651869"/>
    <w:rsid w:val="0065262B"/>
    <w:rsid w:val="00653B92"/>
    <w:rsid w:val="006553A9"/>
    <w:rsid w:val="00656DBA"/>
    <w:rsid w:val="006571BA"/>
    <w:rsid w:val="0065747B"/>
    <w:rsid w:val="006621FA"/>
    <w:rsid w:val="00667741"/>
    <w:rsid w:val="00672BFA"/>
    <w:rsid w:val="00680603"/>
    <w:rsid w:val="00680D9E"/>
    <w:rsid w:val="00683F91"/>
    <w:rsid w:val="00686099"/>
    <w:rsid w:val="0068732B"/>
    <w:rsid w:val="0069041F"/>
    <w:rsid w:val="00692782"/>
    <w:rsid w:val="00695B56"/>
    <w:rsid w:val="0069648C"/>
    <w:rsid w:val="00696F90"/>
    <w:rsid w:val="00696FC4"/>
    <w:rsid w:val="006A1E16"/>
    <w:rsid w:val="006A29C1"/>
    <w:rsid w:val="006A2F30"/>
    <w:rsid w:val="006B4E8C"/>
    <w:rsid w:val="006B53E1"/>
    <w:rsid w:val="006C0A36"/>
    <w:rsid w:val="006C2D85"/>
    <w:rsid w:val="006C3BCA"/>
    <w:rsid w:val="006C7D6D"/>
    <w:rsid w:val="006D1CC2"/>
    <w:rsid w:val="006D1FA6"/>
    <w:rsid w:val="006D2070"/>
    <w:rsid w:val="006D6E1B"/>
    <w:rsid w:val="006E0B5A"/>
    <w:rsid w:val="006E2F0E"/>
    <w:rsid w:val="006E4FDB"/>
    <w:rsid w:val="006F0617"/>
    <w:rsid w:val="006F3519"/>
    <w:rsid w:val="006F3DF4"/>
    <w:rsid w:val="00700B90"/>
    <w:rsid w:val="00700D84"/>
    <w:rsid w:val="00703425"/>
    <w:rsid w:val="007070CE"/>
    <w:rsid w:val="0070787A"/>
    <w:rsid w:val="0071069D"/>
    <w:rsid w:val="00712F97"/>
    <w:rsid w:val="00713780"/>
    <w:rsid w:val="00715A2A"/>
    <w:rsid w:val="0072189D"/>
    <w:rsid w:val="00722FB7"/>
    <w:rsid w:val="007246B5"/>
    <w:rsid w:val="00727F90"/>
    <w:rsid w:val="0073392E"/>
    <w:rsid w:val="007348AC"/>
    <w:rsid w:val="007403AA"/>
    <w:rsid w:val="00742AB1"/>
    <w:rsid w:val="00743ACA"/>
    <w:rsid w:val="0074466C"/>
    <w:rsid w:val="0074712A"/>
    <w:rsid w:val="00754194"/>
    <w:rsid w:val="00754C76"/>
    <w:rsid w:val="0076183F"/>
    <w:rsid w:val="00762EF3"/>
    <w:rsid w:val="007655E3"/>
    <w:rsid w:val="007667E3"/>
    <w:rsid w:val="00772CE7"/>
    <w:rsid w:val="00774C08"/>
    <w:rsid w:val="007751D9"/>
    <w:rsid w:val="0077553A"/>
    <w:rsid w:val="007770EE"/>
    <w:rsid w:val="00781538"/>
    <w:rsid w:val="0078542F"/>
    <w:rsid w:val="00785838"/>
    <w:rsid w:val="00785C5C"/>
    <w:rsid w:val="00787359"/>
    <w:rsid w:val="00790913"/>
    <w:rsid w:val="0079092E"/>
    <w:rsid w:val="0079130F"/>
    <w:rsid w:val="00791793"/>
    <w:rsid w:val="00791B84"/>
    <w:rsid w:val="00792386"/>
    <w:rsid w:val="00792ED3"/>
    <w:rsid w:val="007935D7"/>
    <w:rsid w:val="00796E50"/>
    <w:rsid w:val="007977B2"/>
    <w:rsid w:val="007A441F"/>
    <w:rsid w:val="007A5134"/>
    <w:rsid w:val="007A56E0"/>
    <w:rsid w:val="007A718D"/>
    <w:rsid w:val="007B0CFD"/>
    <w:rsid w:val="007B1042"/>
    <w:rsid w:val="007B31FF"/>
    <w:rsid w:val="007B6AC4"/>
    <w:rsid w:val="007B7ABE"/>
    <w:rsid w:val="007C6742"/>
    <w:rsid w:val="007D0728"/>
    <w:rsid w:val="007D0D2C"/>
    <w:rsid w:val="007D2D9E"/>
    <w:rsid w:val="007D3F70"/>
    <w:rsid w:val="007D5B82"/>
    <w:rsid w:val="007E275D"/>
    <w:rsid w:val="007E3310"/>
    <w:rsid w:val="007E49FD"/>
    <w:rsid w:val="007F0A5E"/>
    <w:rsid w:val="007F0AA3"/>
    <w:rsid w:val="007F19AC"/>
    <w:rsid w:val="007F28BE"/>
    <w:rsid w:val="007F4A10"/>
    <w:rsid w:val="007F6670"/>
    <w:rsid w:val="007F6C50"/>
    <w:rsid w:val="007F74D6"/>
    <w:rsid w:val="00804BCA"/>
    <w:rsid w:val="00804C9B"/>
    <w:rsid w:val="00811643"/>
    <w:rsid w:val="008139D1"/>
    <w:rsid w:val="008141C4"/>
    <w:rsid w:val="00817B1A"/>
    <w:rsid w:val="008207AB"/>
    <w:rsid w:val="008224EC"/>
    <w:rsid w:val="00823F05"/>
    <w:rsid w:val="00824874"/>
    <w:rsid w:val="008321BE"/>
    <w:rsid w:val="00840B90"/>
    <w:rsid w:val="00847EC1"/>
    <w:rsid w:val="00850AC1"/>
    <w:rsid w:val="0085104D"/>
    <w:rsid w:val="008530B0"/>
    <w:rsid w:val="00866582"/>
    <w:rsid w:val="008667A5"/>
    <w:rsid w:val="008706DE"/>
    <w:rsid w:val="00872618"/>
    <w:rsid w:val="00876A3D"/>
    <w:rsid w:val="00881584"/>
    <w:rsid w:val="00881D37"/>
    <w:rsid w:val="00885A57"/>
    <w:rsid w:val="00885AA3"/>
    <w:rsid w:val="00890F4F"/>
    <w:rsid w:val="00892A02"/>
    <w:rsid w:val="008932B1"/>
    <w:rsid w:val="008A01C0"/>
    <w:rsid w:val="008A154F"/>
    <w:rsid w:val="008A418D"/>
    <w:rsid w:val="008A4219"/>
    <w:rsid w:val="008A42C8"/>
    <w:rsid w:val="008A6A7F"/>
    <w:rsid w:val="008A6B02"/>
    <w:rsid w:val="008B1FF9"/>
    <w:rsid w:val="008B3D5E"/>
    <w:rsid w:val="008B59B8"/>
    <w:rsid w:val="008C10AE"/>
    <w:rsid w:val="008C31D9"/>
    <w:rsid w:val="008C3E46"/>
    <w:rsid w:val="008C64C8"/>
    <w:rsid w:val="008C66B1"/>
    <w:rsid w:val="008D0654"/>
    <w:rsid w:val="008D2214"/>
    <w:rsid w:val="008D3866"/>
    <w:rsid w:val="008D4FCE"/>
    <w:rsid w:val="008E02FF"/>
    <w:rsid w:val="008E135E"/>
    <w:rsid w:val="008F1D7C"/>
    <w:rsid w:val="008F2CA2"/>
    <w:rsid w:val="008F7364"/>
    <w:rsid w:val="008F7A5D"/>
    <w:rsid w:val="009008E2"/>
    <w:rsid w:val="00900BFD"/>
    <w:rsid w:val="0090119F"/>
    <w:rsid w:val="0090277C"/>
    <w:rsid w:val="00902AA4"/>
    <w:rsid w:val="00903687"/>
    <w:rsid w:val="00904343"/>
    <w:rsid w:val="00910252"/>
    <w:rsid w:val="00911337"/>
    <w:rsid w:val="009126F0"/>
    <w:rsid w:val="00913764"/>
    <w:rsid w:val="00914393"/>
    <w:rsid w:val="00932CE9"/>
    <w:rsid w:val="00933080"/>
    <w:rsid w:val="00937784"/>
    <w:rsid w:val="00946597"/>
    <w:rsid w:val="009465F6"/>
    <w:rsid w:val="0094678E"/>
    <w:rsid w:val="00951F99"/>
    <w:rsid w:val="00954731"/>
    <w:rsid w:val="00956A8C"/>
    <w:rsid w:val="009619C3"/>
    <w:rsid w:val="00961E73"/>
    <w:rsid w:val="00967541"/>
    <w:rsid w:val="009736BD"/>
    <w:rsid w:val="00975143"/>
    <w:rsid w:val="00976F2C"/>
    <w:rsid w:val="00976F77"/>
    <w:rsid w:val="00977DB4"/>
    <w:rsid w:val="00980530"/>
    <w:rsid w:val="00980776"/>
    <w:rsid w:val="00981032"/>
    <w:rsid w:val="00982854"/>
    <w:rsid w:val="00983215"/>
    <w:rsid w:val="009841C1"/>
    <w:rsid w:val="00985688"/>
    <w:rsid w:val="00986EDC"/>
    <w:rsid w:val="009921F5"/>
    <w:rsid w:val="0099422E"/>
    <w:rsid w:val="00996C0B"/>
    <w:rsid w:val="009A2AA5"/>
    <w:rsid w:val="009A3630"/>
    <w:rsid w:val="009A64E8"/>
    <w:rsid w:val="009B2953"/>
    <w:rsid w:val="009B3046"/>
    <w:rsid w:val="009B3EBC"/>
    <w:rsid w:val="009B447A"/>
    <w:rsid w:val="009C0818"/>
    <w:rsid w:val="009C1581"/>
    <w:rsid w:val="009C2749"/>
    <w:rsid w:val="009C679F"/>
    <w:rsid w:val="009C7584"/>
    <w:rsid w:val="009D18D3"/>
    <w:rsid w:val="009D47DA"/>
    <w:rsid w:val="009D60D5"/>
    <w:rsid w:val="009D6874"/>
    <w:rsid w:val="009E162E"/>
    <w:rsid w:val="009E1956"/>
    <w:rsid w:val="009E395C"/>
    <w:rsid w:val="009E3A83"/>
    <w:rsid w:val="009E3BFC"/>
    <w:rsid w:val="009E4A4C"/>
    <w:rsid w:val="009E5BF7"/>
    <w:rsid w:val="00A04CAF"/>
    <w:rsid w:val="00A05346"/>
    <w:rsid w:val="00A05F26"/>
    <w:rsid w:val="00A0689D"/>
    <w:rsid w:val="00A1139F"/>
    <w:rsid w:val="00A12364"/>
    <w:rsid w:val="00A12EE4"/>
    <w:rsid w:val="00A13DF6"/>
    <w:rsid w:val="00A13E4A"/>
    <w:rsid w:val="00A17B91"/>
    <w:rsid w:val="00A22917"/>
    <w:rsid w:val="00A2453E"/>
    <w:rsid w:val="00A25FF7"/>
    <w:rsid w:val="00A26ACB"/>
    <w:rsid w:val="00A30B06"/>
    <w:rsid w:val="00A310D4"/>
    <w:rsid w:val="00A3703E"/>
    <w:rsid w:val="00A37E16"/>
    <w:rsid w:val="00A4189C"/>
    <w:rsid w:val="00A455FE"/>
    <w:rsid w:val="00A46E9A"/>
    <w:rsid w:val="00A470B4"/>
    <w:rsid w:val="00A506C2"/>
    <w:rsid w:val="00A56CC6"/>
    <w:rsid w:val="00A62335"/>
    <w:rsid w:val="00A64976"/>
    <w:rsid w:val="00A66D01"/>
    <w:rsid w:val="00A7107B"/>
    <w:rsid w:val="00A720AF"/>
    <w:rsid w:val="00A77A85"/>
    <w:rsid w:val="00A87B73"/>
    <w:rsid w:val="00A90C77"/>
    <w:rsid w:val="00A970DE"/>
    <w:rsid w:val="00A97C38"/>
    <w:rsid w:val="00AA043F"/>
    <w:rsid w:val="00AA687F"/>
    <w:rsid w:val="00AA7FF3"/>
    <w:rsid w:val="00AB1963"/>
    <w:rsid w:val="00AB1D52"/>
    <w:rsid w:val="00AB285A"/>
    <w:rsid w:val="00AB46FE"/>
    <w:rsid w:val="00AB4CE8"/>
    <w:rsid w:val="00AB580C"/>
    <w:rsid w:val="00AC1DD8"/>
    <w:rsid w:val="00AC4267"/>
    <w:rsid w:val="00AC47E3"/>
    <w:rsid w:val="00AC55E5"/>
    <w:rsid w:val="00AD063F"/>
    <w:rsid w:val="00AD36F0"/>
    <w:rsid w:val="00AD3A55"/>
    <w:rsid w:val="00AD4A9F"/>
    <w:rsid w:val="00AE0DD2"/>
    <w:rsid w:val="00AF1784"/>
    <w:rsid w:val="00AF56E8"/>
    <w:rsid w:val="00B005FA"/>
    <w:rsid w:val="00B03B7A"/>
    <w:rsid w:val="00B0410D"/>
    <w:rsid w:val="00B04B47"/>
    <w:rsid w:val="00B04DFB"/>
    <w:rsid w:val="00B05728"/>
    <w:rsid w:val="00B14F99"/>
    <w:rsid w:val="00B153E8"/>
    <w:rsid w:val="00B20984"/>
    <w:rsid w:val="00B26527"/>
    <w:rsid w:val="00B329A5"/>
    <w:rsid w:val="00B34904"/>
    <w:rsid w:val="00B4323C"/>
    <w:rsid w:val="00B4436E"/>
    <w:rsid w:val="00B460B9"/>
    <w:rsid w:val="00B47758"/>
    <w:rsid w:val="00B47E76"/>
    <w:rsid w:val="00B50D38"/>
    <w:rsid w:val="00B53AE7"/>
    <w:rsid w:val="00B54529"/>
    <w:rsid w:val="00B64CD7"/>
    <w:rsid w:val="00B71358"/>
    <w:rsid w:val="00B72219"/>
    <w:rsid w:val="00B726BB"/>
    <w:rsid w:val="00B72A79"/>
    <w:rsid w:val="00B7587E"/>
    <w:rsid w:val="00B76F16"/>
    <w:rsid w:val="00B81339"/>
    <w:rsid w:val="00B829BB"/>
    <w:rsid w:val="00B879F8"/>
    <w:rsid w:val="00B92E11"/>
    <w:rsid w:val="00B941A2"/>
    <w:rsid w:val="00B95416"/>
    <w:rsid w:val="00B95F03"/>
    <w:rsid w:val="00B97203"/>
    <w:rsid w:val="00BA0017"/>
    <w:rsid w:val="00BA35A7"/>
    <w:rsid w:val="00BA3985"/>
    <w:rsid w:val="00BA3DED"/>
    <w:rsid w:val="00BA64AF"/>
    <w:rsid w:val="00BA7E28"/>
    <w:rsid w:val="00BB1746"/>
    <w:rsid w:val="00BB2B85"/>
    <w:rsid w:val="00BB31D6"/>
    <w:rsid w:val="00BB5493"/>
    <w:rsid w:val="00BC040D"/>
    <w:rsid w:val="00BC0B83"/>
    <w:rsid w:val="00BC2EDF"/>
    <w:rsid w:val="00BC3459"/>
    <w:rsid w:val="00BC5348"/>
    <w:rsid w:val="00BD14CB"/>
    <w:rsid w:val="00BD3B7A"/>
    <w:rsid w:val="00BD543C"/>
    <w:rsid w:val="00BD5BED"/>
    <w:rsid w:val="00BD639B"/>
    <w:rsid w:val="00BD7D8F"/>
    <w:rsid w:val="00BE2EB8"/>
    <w:rsid w:val="00BE36B4"/>
    <w:rsid w:val="00BE5CFF"/>
    <w:rsid w:val="00BE5FB4"/>
    <w:rsid w:val="00BE6EE3"/>
    <w:rsid w:val="00BF150A"/>
    <w:rsid w:val="00BF1576"/>
    <w:rsid w:val="00BF4E06"/>
    <w:rsid w:val="00BF7DB7"/>
    <w:rsid w:val="00C01907"/>
    <w:rsid w:val="00C021CC"/>
    <w:rsid w:val="00C02BE5"/>
    <w:rsid w:val="00C02F96"/>
    <w:rsid w:val="00C03574"/>
    <w:rsid w:val="00C10B92"/>
    <w:rsid w:val="00C157F2"/>
    <w:rsid w:val="00C163E7"/>
    <w:rsid w:val="00C1726C"/>
    <w:rsid w:val="00C31812"/>
    <w:rsid w:val="00C321ED"/>
    <w:rsid w:val="00C326A4"/>
    <w:rsid w:val="00C32706"/>
    <w:rsid w:val="00C3669E"/>
    <w:rsid w:val="00C377F1"/>
    <w:rsid w:val="00C4312A"/>
    <w:rsid w:val="00C43D96"/>
    <w:rsid w:val="00C445BE"/>
    <w:rsid w:val="00C500B4"/>
    <w:rsid w:val="00C54E5A"/>
    <w:rsid w:val="00C55FF3"/>
    <w:rsid w:val="00C56C2C"/>
    <w:rsid w:val="00C57C74"/>
    <w:rsid w:val="00C60393"/>
    <w:rsid w:val="00C653E2"/>
    <w:rsid w:val="00C7114D"/>
    <w:rsid w:val="00C733BA"/>
    <w:rsid w:val="00C75259"/>
    <w:rsid w:val="00C76E5F"/>
    <w:rsid w:val="00C8034B"/>
    <w:rsid w:val="00C83A6A"/>
    <w:rsid w:val="00C84FA8"/>
    <w:rsid w:val="00C864C5"/>
    <w:rsid w:val="00C87131"/>
    <w:rsid w:val="00C930B9"/>
    <w:rsid w:val="00C935D5"/>
    <w:rsid w:val="00CA504B"/>
    <w:rsid w:val="00CA7FF6"/>
    <w:rsid w:val="00CB0022"/>
    <w:rsid w:val="00CB040F"/>
    <w:rsid w:val="00CB2BE7"/>
    <w:rsid w:val="00CB36E3"/>
    <w:rsid w:val="00CB59E7"/>
    <w:rsid w:val="00CC2A01"/>
    <w:rsid w:val="00CC62A8"/>
    <w:rsid w:val="00CD06EE"/>
    <w:rsid w:val="00CD10B6"/>
    <w:rsid w:val="00CD154E"/>
    <w:rsid w:val="00CD2321"/>
    <w:rsid w:val="00CD403E"/>
    <w:rsid w:val="00CD6894"/>
    <w:rsid w:val="00CD6B7F"/>
    <w:rsid w:val="00CD71E2"/>
    <w:rsid w:val="00CD7BD1"/>
    <w:rsid w:val="00CE0833"/>
    <w:rsid w:val="00CE26B1"/>
    <w:rsid w:val="00CE4D0E"/>
    <w:rsid w:val="00CF0765"/>
    <w:rsid w:val="00CF2566"/>
    <w:rsid w:val="00CF60D5"/>
    <w:rsid w:val="00D01973"/>
    <w:rsid w:val="00D03136"/>
    <w:rsid w:val="00D04CB5"/>
    <w:rsid w:val="00D1271D"/>
    <w:rsid w:val="00D156A5"/>
    <w:rsid w:val="00D17893"/>
    <w:rsid w:val="00D20680"/>
    <w:rsid w:val="00D20D2A"/>
    <w:rsid w:val="00D23045"/>
    <w:rsid w:val="00D256E8"/>
    <w:rsid w:val="00D26F94"/>
    <w:rsid w:val="00D35A06"/>
    <w:rsid w:val="00D41288"/>
    <w:rsid w:val="00D43669"/>
    <w:rsid w:val="00D43ED9"/>
    <w:rsid w:val="00D450B9"/>
    <w:rsid w:val="00D453FB"/>
    <w:rsid w:val="00D4798B"/>
    <w:rsid w:val="00D53545"/>
    <w:rsid w:val="00D55744"/>
    <w:rsid w:val="00D626E2"/>
    <w:rsid w:val="00D63BA1"/>
    <w:rsid w:val="00D702D3"/>
    <w:rsid w:val="00D71D84"/>
    <w:rsid w:val="00D73D97"/>
    <w:rsid w:val="00D749D5"/>
    <w:rsid w:val="00D76808"/>
    <w:rsid w:val="00D77903"/>
    <w:rsid w:val="00D83373"/>
    <w:rsid w:val="00D84030"/>
    <w:rsid w:val="00D8538D"/>
    <w:rsid w:val="00D9240E"/>
    <w:rsid w:val="00D93D06"/>
    <w:rsid w:val="00D95314"/>
    <w:rsid w:val="00D95848"/>
    <w:rsid w:val="00D97A34"/>
    <w:rsid w:val="00DA01FB"/>
    <w:rsid w:val="00DA0B5E"/>
    <w:rsid w:val="00DA2E8B"/>
    <w:rsid w:val="00DA3314"/>
    <w:rsid w:val="00DA358E"/>
    <w:rsid w:val="00DA62D4"/>
    <w:rsid w:val="00DB09FF"/>
    <w:rsid w:val="00DB7132"/>
    <w:rsid w:val="00DB754D"/>
    <w:rsid w:val="00DC19BD"/>
    <w:rsid w:val="00DC631D"/>
    <w:rsid w:val="00DC7331"/>
    <w:rsid w:val="00DD0871"/>
    <w:rsid w:val="00DD2CFE"/>
    <w:rsid w:val="00DD3DA6"/>
    <w:rsid w:val="00DD6FAC"/>
    <w:rsid w:val="00DD7B56"/>
    <w:rsid w:val="00DE425C"/>
    <w:rsid w:val="00DE5835"/>
    <w:rsid w:val="00DE61CA"/>
    <w:rsid w:val="00DE6656"/>
    <w:rsid w:val="00DF2826"/>
    <w:rsid w:val="00DF33F0"/>
    <w:rsid w:val="00DF3552"/>
    <w:rsid w:val="00DF3BC1"/>
    <w:rsid w:val="00DF4A94"/>
    <w:rsid w:val="00DF530F"/>
    <w:rsid w:val="00DF639E"/>
    <w:rsid w:val="00E00CFF"/>
    <w:rsid w:val="00E01781"/>
    <w:rsid w:val="00E037CE"/>
    <w:rsid w:val="00E044EC"/>
    <w:rsid w:val="00E0454A"/>
    <w:rsid w:val="00E046BE"/>
    <w:rsid w:val="00E07F7E"/>
    <w:rsid w:val="00E1130D"/>
    <w:rsid w:val="00E13EBF"/>
    <w:rsid w:val="00E17A75"/>
    <w:rsid w:val="00E21D92"/>
    <w:rsid w:val="00E24CE9"/>
    <w:rsid w:val="00E273C5"/>
    <w:rsid w:val="00E27B73"/>
    <w:rsid w:val="00E32EE4"/>
    <w:rsid w:val="00E35366"/>
    <w:rsid w:val="00E3704B"/>
    <w:rsid w:val="00E371AA"/>
    <w:rsid w:val="00E40078"/>
    <w:rsid w:val="00E40F6C"/>
    <w:rsid w:val="00E42A64"/>
    <w:rsid w:val="00E44DDA"/>
    <w:rsid w:val="00E457A9"/>
    <w:rsid w:val="00E472C7"/>
    <w:rsid w:val="00E47D14"/>
    <w:rsid w:val="00E509C0"/>
    <w:rsid w:val="00E513AD"/>
    <w:rsid w:val="00E536AC"/>
    <w:rsid w:val="00E549F5"/>
    <w:rsid w:val="00E54FD4"/>
    <w:rsid w:val="00E5662B"/>
    <w:rsid w:val="00E620DA"/>
    <w:rsid w:val="00E62B45"/>
    <w:rsid w:val="00E65119"/>
    <w:rsid w:val="00E72A46"/>
    <w:rsid w:val="00E73C93"/>
    <w:rsid w:val="00E91C06"/>
    <w:rsid w:val="00E97F12"/>
    <w:rsid w:val="00EA126C"/>
    <w:rsid w:val="00EB6B84"/>
    <w:rsid w:val="00EB7676"/>
    <w:rsid w:val="00EC28B3"/>
    <w:rsid w:val="00EC2DFD"/>
    <w:rsid w:val="00EC4D9D"/>
    <w:rsid w:val="00EC7FDF"/>
    <w:rsid w:val="00ED0DDF"/>
    <w:rsid w:val="00ED1D96"/>
    <w:rsid w:val="00ED40F0"/>
    <w:rsid w:val="00ED5302"/>
    <w:rsid w:val="00ED5D74"/>
    <w:rsid w:val="00ED6B58"/>
    <w:rsid w:val="00ED7241"/>
    <w:rsid w:val="00ED796D"/>
    <w:rsid w:val="00EE1AD7"/>
    <w:rsid w:val="00EE2096"/>
    <w:rsid w:val="00EE3096"/>
    <w:rsid w:val="00EE490B"/>
    <w:rsid w:val="00EE5108"/>
    <w:rsid w:val="00EE5F4A"/>
    <w:rsid w:val="00EF041A"/>
    <w:rsid w:val="00EF45E4"/>
    <w:rsid w:val="00EF74C4"/>
    <w:rsid w:val="00F00CDD"/>
    <w:rsid w:val="00F12333"/>
    <w:rsid w:val="00F14556"/>
    <w:rsid w:val="00F14D0F"/>
    <w:rsid w:val="00F17EC5"/>
    <w:rsid w:val="00F21D2E"/>
    <w:rsid w:val="00F25653"/>
    <w:rsid w:val="00F25832"/>
    <w:rsid w:val="00F26113"/>
    <w:rsid w:val="00F2632F"/>
    <w:rsid w:val="00F27D1F"/>
    <w:rsid w:val="00F336A4"/>
    <w:rsid w:val="00F34955"/>
    <w:rsid w:val="00F365AA"/>
    <w:rsid w:val="00F37885"/>
    <w:rsid w:val="00F40453"/>
    <w:rsid w:val="00F40D25"/>
    <w:rsid w:val="00F420EB"/>
    <w:rsid w:val="00F42339"/>
    <w:rsid w:val="00F46D9C"/>
    <w:rsid w:val="00F47D2F"/>
    <w:rsid w:val="00F51BBC"/>
    <w:rsid w:val="00F52A28"/>
    <w:rsid w:val="00F536F7"/>
    <w:rsid w:val="00F5569F"/>
    <w:rsid w:val="00F56386"/>
    <w:rsid w:val="00F56C1B"/>
    <w:rsid w:val="00F62716"/>
    <w:rsid w:val="00F6619F"/>
    <w:rsid w:val="00F72FE5"/>
    <w:rsid w:val="00F74E51"/>
    <w:rsid w:val="00F7744C"/>
    <w:rsid w:val="00F850E3"/>
    <w:rsid w:val="00F86AB7"/>
    <w:rsid w:val="00F90609"/>
    <w:rsid w:val="00F920FF"/>
    <w:rsid w:val="00F92F1F"/>
    <w:rsid w:val="00F9605E"/>
    <w:rsid w:val="00F96F83"/>
    <w:rsid w:val="00FA08F1"/>
    <w:rsid w:val="00FA1A26"/>
    <w:rsid w:val="00FA1DB6"/>
    <w:rsid w:val="00FA41A7"/>
    <w:rsid w:val="00FA4F91"/>
    <w:rsid w:val="00FB46C2"/>
    <w:rsid w:val="00FB7516"/>
    <w:rsid w:val="00FC355E"/>
    <w:rsid w:val="00FC6A9C"/>
    <w:rsid w:val="00FD1234"/>
    <w:rsid w:val="00FD1E15"/>
    <w:rsid w:val="00FD30B4"/>
    <w:rsid w:val="00FD30EA"/>
    <w:rsid w:val="00FD39F2"/>
    <w:rsid w:val="00FD3DC7"/>
    <w:rsid w:val="00FD58F7"/>
    <w:rsid w:val="00FE00AB"/>
    <w:rsid w:val="00FE0609"/>
    <w:rsid w:val="00FE1020"/>
    <w:rsid w:val="00FE22EA"/>
    <w:rsid w:val="00FE49A0"/>
    <w:rsid w:val="00FE660A"/>
    <w:rsid w:val="00FE7494"/>
    <w:rsid w:val="00FF0384"/>
    <w:rsid w:val="00FF21AD"/>
    <w:rsid w:val="00FF4999"/>
    <w:rsid w:val="00FF6B26"/>
    <w:rsid w:val="00FF7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FD9D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A9F"/>
  </w:style>
  <w:style w:type="paragraph" w:styleId="Heading1">
    <w:name w:val="heading 1"/>
    <w:basedOn w:val="Normal"/>
    <w:next w:val="Normal"/>
    <w:link w:val="Heading1Char"/>
    <w:uiPriority w:val="9"/>
    <w:qFormat/>
    <w:rsid w:val="00362545"/>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2545"/>
    <w:pPr>
      <w:keepNext/>
      <w:keepLines/>
      <w:spacing w:before="200" w:after="0" w:line="240" w:lineRule="auto"/>
      <w:jc w:val="center"/>
      <w:outlineLvl w:val="1"/>
    </w:pPr>
    <w:rPr>
      <w:rFonts w:asciiTheme="majorHAnsi" w:eastAsiaTheme="majorEastAsia" w:hAnsiTheme="majorHAnsi" w:cstheme="majorBidi"/>
      <w:b/>
      <w:bCs/>
      <w:caps/>
      <w:color w:val="4F81BD" w:themeColor="accent1"/>
      <w:sz w:val="28"/>
      <w:szCs w:val="28"/>
    </w:rPr>
  </w:style>
  <w:style w:type="paragraph" w:styleId="Heading3">
    <w:name w:val="heading 3"/>
    <w:basedOn w:val="Normal"/>
    <w:next w:val="Normal"/>
    <w:link w:val="Heading3Char"/>
    <w:uiPriority w:val="9"/>
    <w:unhideWhenUsed/>
    <w:qFormat/>
    <w:rsid w:val="00362545"/>
    <w:pPr>
      <w:keepNext/>
      <w:keepLines/>
      <w:spacing w:before="200" w:after="0" w:line="240" w:lineRule="auto"/>
      <w:jc w:val="center"/>
      <w:outlineLvl w:val="2"/>
    </w:pPr>
    <w:rPr>
      <w:rFonts w:asciiTheme="majorHAnsi" w:eastAsiaTheme="majorEastAsia" w:hAnsiTheme="majorHAnsi" w:cstheme="majorBidi"/>
      <w:b/>
      <w:bCs/>
      <w:color w:val="4F81BD" w:themeColor="accent1"/>
      <w:sz w:val="28"/>
      <w:szCs w:val="24"/>
    </w:rPr>
  </w:style>
  <w:style w:type="paragraph" w:styleId="Heading4">
    <w:name w:val="heading 4"/>
    <w:basedOn w:val="Normal"/>
    <w:next w:val="Normal"/>
    <w:link w:val="Heading4Char"/>
    <w:autoRedefine/>
    <w:uiPriority w:val="9"/>
    <w:unhideWhenUsed/>
    <w:qFormat/>
    <w:rsid w:val="00CE4D0E"/>
    <w:pPr>
      <w:keepNext/>
      <w:keepLines/>
      <w:shd w:val="clear" w:color="auto" w:fill="FFFFFF" w:themeFill="background1"/>
      <w:spacing w:before="240" w:after="120" w:line="240" w:lineRule="auto"/>
      <w:outlineLvl w:val="3"/>
    </w:pPr>
    <w:rPr>
      <w:rFonts w:asciiTheme="majorHAnsi" w:eastAsiaTheme="majorEastAsia" w:hAnsiTheme="majorHAnsi" w:cstheme="majorBidi"/>
      <w:b/>
      <w:bCs/>
      <w:i/>
      <w:iCs/>
      <w:color w:val="4F81BD" w:themeColor="accent1"/>
      <w:szCs w:val="24"/>
    </w:rPr>
  </w:style>
  <w:style w:type="paragraph" w:styleId="Heading5">
    <w:name w:val="heading 5"/>
    <w:basedOn w:val="Normal"/>
    <w:next w:val="Normal"/>
    <w:link w:val="Heading5Char"/>
    <w:uiPriority w:val="9"/>
    <w:unhideWhenUsed/>
    <w:qFormat/>
    <w:rsid w:val="00362545"/>
    <w:pPr>
      <w:keepNext/>
      <w:keepLines/>
      <w:spacing w:after="0" w:line="240" w:lineRule="auto"/>
      <w:outlineLvl w:val="4"/>
    </w:pPr>
    <w:rPr>
      <w:rFonts w:asciiTheme="majorHAnsi" w:eastAsiaTheme="majorEastAsia" w:hAnsiTheme="majorHAnsi" w:cstheme="majorBidi"/>
      <w:color w:val="243F60" w:themeColor="accent1" w:themeShade="7F"/>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254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62545"/>
    <w:rPr>
      <w:rFonts w:asciiTheme="majorHAnsi" w:eastAsiaTheme="majorEastAsia" w:hAnsiTheme="majorHAnsi" w:cstheme="majorBidi"/>
      <w:b/>
      <w:bCs/>
      <w:caps/>
      <w:color w:val="4F81BD" w:themeColor="accent1"/>
      <w:sz w:val="28"/>
      <w:szCs w:val="28"/>
    </w:rPr>
  </w:style>
  <w:style w:type="character" w:customStyle="1" w:styleId="Heading3Char">
    <w:name w:val="Heading 3 Char"/>
    <w:basedOn w:val="DefaultParagraphFont"/>
    <w:link w:val="Heading3"/>
    <w:uiPriority w:val="9"/>
    <w:rsid w:val="00362545"/>
    <w:rPr>
      <w:rFonts w:asciiTheme="majorHAnsi" w:eastAsiaTheme="majorEastAsia" w:hAnsiTheme="majorHAnsi" w:cstheme="majorBidi"/>
      <w:b/>
      <w:bCs/>
      <w:color w:val="4F81BD" w:themeColor="accent1"/>
      <w:sz w:val="28"/>
      <w:szCs w:val="24"/>
    </w:rPr>
  </w:style>
  <w:style w:type="character" w:customStyle="1" w:styleId="Heading4Char">
    <w:name w:val="Heading 4 Char"/>
    <w:basedOn w:val="DefaultParagraphFont"/>
    <w:link w:val="Heading4"/>
    <w:uiPriority w:val="9"/>
    <w:rsid w:val="00CE4D0E"/>
    <w:rPr>
      <w:rFonts w:asciiTheme="majorHAnsi" w:eastAsiaTheme="majorEastAsia" w:hAnsiTheme="majorHAnsi" w:cstheme="majorBidi"/>
      <w:b/>
      <w:bCs/>
      <w:i/>
      <w:iCs/>
      <w:color w:val="4F81BD" w:themeColor="accent1"/>
      <w:szCs w:val="24"/>
      <w:shd w:val="clear" w:color="auto" w:fill="FFFFFF" w:themeFill="background1"/>
    </w:rPr>
  </w:style>
  <w:style w:type="character" w:customStyle="1" w:styleId="Heading5Char">
    <w:name w:val="Heading 5 Char"/>
    <w:basedOn w:val="DefaultParagraphFont"/>
    <w:link w:val="Heading5"/>
    <w:uiPriority w:val="9"/>
    <w:rsid w:val="00362545"/>
    <w:rPr>
      <w:rFonts w:asciiTheme="majorHAnsi" w:eastAsiaTheme="majorEastAsia" w:hAnsiTheme="majorHAnsi" w:cstheme="majorBidi"/>
      <w:color w:val="243F60" w:themeColor="accent1" w:themeShade="7F"/>
      <w:szCs w:val="24"/>
      <w:lang w:eastAsia="zh-CN"/>
    </w:rPr>
  </w:style>
  <w:style w:type="numbering" w:customStyle="1" w:styleId="NoList1">
    <w:name w:val="No List1"/>
    <w:next w:val="NoList"/>
    <w:uiPriority w:val="99"/>
    <w:semiHidden/>
    <w:unhideWhenUsed/>
    <w:rsid w:val="00362545"/>
  </w:style>
  <w:style w:type="table" w:styleId="TableGrid">
    <w:name w:val="Table Grid"/>
    <w:basedOn w:val="TableNormal"/>
    <w:uiPriority w:val="59"/>
    <w:rsid w:val="0036254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6254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E0E0E0"/>
      </w:tcPr>
    </w:tblStylePr>
  </w:style>
  <w:style w:type="table" w:customStyle="1" w:styleId="TableGrid31">
    <w:name w:val="Table Grid31"/>
    <w:basedOn w:val="TableNormal"/>
    <w:next w:val="TableGrid"/>
    <w:uiPriority w:val="99"/>
    <w:rsid w:val="0036254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625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2545"/>
    <w:rPr>
      <w:rFonts w:ascii="Tahoma" w:hAnsi="Tahoma" w:cs="Tahoma"/>
      <w:sz w:val="16"/>
      <w:szCs w:val="16"/>
    </w:rPr>
  </w:style>
  <w:style w:type="paragraph" w:styleId="ListParagraph">
    <w:name w:val="List Paragraph"/>
    <w:basedOn w:val="Normal"/>
    <w:link w:val="ListParagraphChar"/>
    <w:uiPriority w:val="34"/>
    <w:qFormat/>
    <w:rsid w:val="00362545"/>
    <w:pPr>
      <w:spacing w:after="0" w:line="240" w:lineRule="auto"/>
      <w:ind w:left="720"/>
      <w:contextualSpacing/>
    </w:pPr>
    <w:rPr>
      <w:szCs w:val="24"/>
    </w:rPr>
  </w:style>
  <w:style w:type="paragraph" w:customStyle="1" w:styleId="Default">
    <w:name w:val="Default"/>
    <w:rsid w:val="00362545"/>
    <w:pPr>
      <w:autoSpaceDE w:val="0"/>
      <w:autoSpaceDN w:val="0"/>
      <w:adjustRightInd w:val="0"/>
      <w:spacing w:after="0" w:line="240" w:lineRule="auto"/>
    </w:pPr>
    <w:rPr>
      <w:rFonts w:ascii="DIN" w:hAnsi="DIN" w:cs="DIN"/>
      <w:color w:val="000000"/>
      <w:szCs w:val="24"/>
    </w:rPr>
  </w:style>
  <w:style w:type="paragraph" w:customStyle="1" w:styleId="CM7">
    <w:name w:val="CM7"/>
    <w:basedOn w:val="Default"/>
    <w:next w:val="Default"/>
    <w:uiPriority w:val="99"/>
    <w:rsid w:val="00362545"/>
    <w:pPr>
      <w:spacing w:line="240" w:lineRule="atLeast"/>
    </w:pPr>
    <w:rPr>
      <w:rFonts w:cstheme="minorBidi"/>
      <w:color w:val="auto"/>
    </w:rPr>
  </w:style>
  <w:style w:type="character" w:customStyle="1" w:styleId="ListParagraphChar">
    <w:name w:val="List Paragraph Char"/>
    <w:basedOn w:val="DefaultParagraphFont"/>
    <w:link w:val="ListParagraph"/>
    <w:uiPriority w:val="34"/>
    <w:locked/>
    <w:rsid w:val="00362545"/>
    <w:rPr>
      <w:szCs w:val="24"/>
    </w:rPr>
  </w:style>
  <w:style w:type="character" w:styleId="Hyperlink">
    <w:name w:val="Hyperlink"/>
    <w:basedOn w:val="DefaultParagraphFont"/>
    <w:uiPriority w:val="99"/>
    <w:unhideWhenUsed/>
    <w:rsid w:val="00362545"/>
    <w:rPr>
      <w:color w:val="0000FF" w:themeColor="hyperlink"/>
      <w:u w:val="single"/>
    </w:rPr>
  </w:style>
  <w:style w:type="character" w:styleId="CommentReference">
    <w:name w:val="annotation reference"/>
    <w:basedOn w:val="DefaultParagraphFont"/>
    <w:uiPriority w:val="99"/>
    <w:semiHidden/>
    <w:unhideWhenUsed/>
    <w:rsid w:val="00362545"/>
    <w:rPr>
      <w:sz w:val="16"/>
      <w:szCs w:val="16"/>
    </w:rPr>
  </w:style>
  <w:style w:type="paragraph" w:styleId="CommentText">
    <w:name w:val="annotation text"/>
    <w:basedOn w:val="Normal"/>
    <w:link w:val="CommentTextChar"/>
    <w:uiPriority w:val="99"/>
    <w:semiHidden/>
    <w:unhideWhenUsed/>
    <w:rsid w:val="00362545"/>
    <w:pPr>
      <w:spacing w:after="0" w:line="240" w:lineRule="auto"/>
    </w:pPr>
    <w:rPr>
      <w:sz w:val="20"/>
      <w:szCs w:val="20"/>
    </w:rPr>
  </w:style>
  <w:style w:type="character" w:customStyle="1" w:styleId="CommentTextChar">
    <w:name w:val="Comment Text Char"/>
    <w:basedOn w:val="DefaultParagraphFont"/>
    <w:link w:val="CommentText"/>
    <w:uiPriority w:val="99"/>
    <w:semiHidden/>
    <w:rsid w:val="00362545"/>
    <w:rPr>
      <w:sz w:val="20"/>
      <w:szCs w:val="20"/>
    </w:rPr>
  </w:style>
  <w:style w:type="table" w:customStyle="1" w:styleId="TableGrid11">
    <w:name w:val="Table Grid11"/>
    <w:basedOn w:val="TableNormal"/>
    <w:next w:val="TableGrid"/>
    <w:uiPriority w:val="59"/>
    <w:rsid w:val="00362545"/>
    <w:pPr>
      <w:spacing w:after="0" w:line="240" w:lineRule="auto"/>
    </w:pPr>
    <w:rPr>
      <w:rFonts w:eastAsia="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62545"/>
    <w:pPr>
      <w:spacing w:after="0" w:line="240" w:lineRule="auto"/>
    </w:pPr>
    <w:rPr>
      <w:sz w:val="20"/>
      <w:szCs w:val="20"/>
    </w:rPr>
  </w:style>
  <w:style w:type="character" w:customStyle="1" w:styleId="FootnoteTextChar">
    <w:name w:val="Footnote Text Char"/>
    <w:basedOn w:val="DefaultParagraphFont"/>
    <w:link w:val="FootnoteText"/>
    <w:uiPriority w:val="99"/>
    <w:rsid w:val="00362545"/>
    <w:rPr>
      <w:sz w:val="20"/>
      <w:szCs w:val="20"/>
    </w:rPr>
  </w:style>
  <w:style w:type="character" w:styleId="FootnoteReference">
    <w:name w:val="footnote reference"/>
    <w:basedOn w:val="DefaultParagraphFont"/>
    <w:unhideWhenUsed/>
    <w:rsid w:val="00362545"/>
    <w:rPr>
      <w:vertAlign w:val="superscript"/>
    </w:rPr>
  </w:style>
  <w:style w:type="paragraph" w:customStyle="1" w:styleId="Pa5">
    <w:name w:val="Pa5"/>
    <w:basedOn w:val="Normal"/>
    <w:next w:val="Normal"/>
    <w:rsid w:val="00362545"/>
    <w:pPr>
      <w:autoSpaceDE w:val="0"/>
      <w:autoSpaceDN w:val="0"/>
      <w:adjustRightInd w:val="0"/>
      <w:spacing w:after="0" w:line="241" w:lineRule="atLeast"/>
    </w:pPr>
    <w:rPr>
      <w:rFonts w:ascii="Adobe Jenson Pro" w:eastAsia="Calibri" w:hAnsi="Adobe Jenson Pro" w:cs="Calibri"/>
      <w:szCs w:val="24"/>
    </w:rPr>
  </w:style>
  <w:style w:type="character" w:customStyle="1" w:styleId="shorttext">
    <w:name w:val="short_text"/>
    <w:basedOn w:val="DefaultParagraphFont"/>
    <w:rsid w:val="00362545"/>
  </w:style>
  <w:style w:type="character" w:customStyle="1" w:styleId="hps">
    <w:name w:val="hps"/>
    <w:basedOn w:val="DefaultParagraphFont"/>
    <w:rsid w:val="00362545"/>
  </w:style>
  <w:style w:type="character" w:customStyle="1" w:styleId="Hyperlink1">
    <w:name w:val="Hyperlink1"/>
    <w:basedOn w:val="DefaultParagraphFont"/>
    <w:uiPriority w:val="99"/>
    <w:unhideWhenUsed/>
    <w:rsid w:val="00362545"/>
    <w:rPr>
      <w:color w:val="0000FF"/>
      <w:u w:val="single"/>
    </w:rPr>
  </w:style>
  <w:style w:type="table" w:customStyle="1" w:styleId="TableGrid12">
    <w:name w:val="Table Grid12"/>
    <w:basedOn w:val="TableNormal"/>
    <w:next w:val="TableGrid"/>
    <w:uiPriority w:val="59"/>
    <w:rsid w:val="0036254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E0E0E0"/>
      </w:tcPr>
    </w:tblStylePr>
  </w:style>
  <w:style w:type="table" w:customStyle="1" w:styleId="TableGrid13">
    <w:name w:val="Table Grid13"/>
    <w:basedOn w:val="TableNormal"/>
    <w:next w:val="TableGrid"/>
    <w:uiPriority w:val="59"/>
    <w:rsid w:val="0036254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E0E0E0"/>
      </w:tcPr>
    </w:tblStylePr>
  </w:style>
  <w:style w:type="paragraph" w:styleId="TOCHeading">
    <w:name w:val="TOC Heading"/>
    <w:basedOn w:val="Heading1"/>
    <w:next w:val="Normal"/>
    <w:uiPriority w:val="39"/>
    <w:unhideWhenUsed/>
    <w:qFormat/>
    <w:rsid w:val="00362545"/>
    <w:pPr>
      <w:outlineLvl w:val="9"/>
    </w:pPr>
    <w:rPr>
      <w:lang w:eastAsia="ja-JP"/>
    </w:rPr>
  </w:style>
  <w:style w:type="paragraph" w:styleId="TOC1">
    <w:name w:val="toc 1"/>
    <w:basedOn w:val="Normal"/>
    <w:next w:val="Normal"/>
    <w:autoRedefine/>
    <w:uiPriority w:val="39"/>
    <w:unhideWhenUsed/>
    <w:rsid w:val="00362545"/>
    <w:pPr>
      <w:spacing w:after="100" w:line="240" w:lineRule="auto"/>
    </w:pPr>
    <w:rPr>
      <w:szCs w:val="24"/>
    </w:rPr>
  </w:style>
  <w:style w:type="paragraph" w:styleId="TOC2">
    <w:name w:val="toc 2"/>
    <w:basedOn w:val="Normal"/>
    <w:next w:val="Normal"/>
    <w:autoRedefine/>
    <w:uiPriority w:val="39"/>
    <w:unhideWhenUsed/>
    <w:rsid w:val="00362545"/>
    <w:pPr>
      <w:spacing w:after="100" w:line="240" w:lineRule="auto"/>
      <w:ind w:left="220"/>
    </w:pPr>
    <w:rPr>
      <w:szCs w:val="24"/>
    </w:rPr>
  </w:style>
  <w:style w:type="paragraph" w:styleId="TOC3">
    <w:name w:val="toc 3"/>
    <w:basedOn w:val="Normal"/>
    <w:next w:val="Normal"/>
    <w:autoRedefine/>
    <w:uiPriority w:val="39"/>
    <w:unhideWhenUsed/>
    <w:rsid w:val="00362545"/>
    <w:pPr>
      <w:spacing w:after="100" w:line="240" w:lineRule="auto"/>
      <w:ind w:left="440"/>
    </w:pPr>
    <w:rPr>
      <w:szCs w:val="24"/>
    </w:rPr>
  </w:style>
  <w:style w:type="paragraph" w:styleId="TOC4">
    <w:name w:val="toc 4"/>
    <w:basedOn w:val="Normal"/>
    <w:next w:val="Normal"/>
    <w:autoRedefine/>
    <w:uiPriority w:val="39"/>
    <w:unhideWhenUsed/>
    <w:rsid w:val="00362545"/>
    <w:pPr>
      <w:spacing w:after="100" w:line="240" w:lineRule="auto"/>
      <w:ind w:left="660"/>
    </w:pPr>
    <w:rPr>
      <w:rFonts w:eastAsiaTheme="minorEastAsia"/>
      <w:szCs w:val="24"/>
    </w:rPr>
  </w:style>
  <w:style w:type="paragraph" w:styleId="TOC5">
    <w:name w:val="toc 5"/>
    <w:basedOn w:val="Normal"/>
    <w:next w:val="Normal"/>
    <w:autoRedefine/>
    <w:uiPriority w:val="39"/>
    <w:unhideWhenUsed/>
    <w:rsid w:val="00362545"/>
    <w:pPr>
      <w:spacing w:after="100" w:line="240" w:lineRule="auto"/>
      <w:ind w:left="880"/>
    </w:pPr>
    <w:rPr>
      <w:rFonts w:eastAsiaTheme="minorEastAsia"/>
      <w:szCs w:val="24"/>
    </w:rPr>
  </w:style>
  <w:style w:type="paragraph" w:styleId="TOC6">
    <w:name w:val="toc 6"/>
    <w:basedOn w:val="Normal"/>
    <w:next w:val="Normal"/>
    <w:autoRedefine/>
    <w:uiPriority w:val="39"/>
    <w:unhideWhenUsed/>
    <w:rsid w:val="00362545"/>
    <w:pPr>
      <w:spacing w:after="100" w:line="240" w:lineRule="auto"/>
      <w:ind w:left="1100"/>
    </w:pPr>
    <w:rPr>
      <w:rFonts w:eastAsiaTheme="minorEastAsia"/>
      <w:szCs w:val="24"/>
    </w:rPr>
  </w:style>
  <w:style w:type="paragraph" w:styleId="TOC7">
    <w:name w:val="toc 7"/>
    <w:basedOn w:val="Normal"/>
    <w:next w:val="Normal"/>
    <w:autoRedefine/>
    <w:uiPriority w:val="39"/>
    <w:unhideWhenUsed/>
    <w:rsid w:val="00362545"/>
    <w:pPr>
      <w:spacing w:after="100" w:line="240" w:lineRule="auto"/>
      <w:ind w:left="1320"/>
    </w:pPr>
    <w:rPr>
      <w:rFonts w:eastAsiaTheme="minorEastAsia"/>
      <w:szCs w:val="24"/>
    </w:rPr>
  </w:style>
  <w:style w:type="paragraph" w:styleId="TOC8">
    <w:name w:val="toc 8"/>
    <w:basedOn w:val="Normal"/>
    <w:next w:val="Normal"/>
    <w:autoRedefine/>
    <w:uiPriority w:val="39"/>
    <w:unhideWhenUsed/>
    <w:rsid w:val="00362545"/>
    <w:pPr>
      <w:spacing w:after="100" w:line="240" w:lineRule="auto"/>
      <w:ind w:left="1540"/>
    </w:pPr>
    <w:rPr>
      <w:rFonts w:eastAsiaTheme="minorEastAsia"/>
      <w:szCs w:val="24"/>
    </w:rPr>
  </w:style>
  <w:style w:type="paragraph" w:styleId="TOC9">
    <w:name w:val="toc 9"/>
    <w:basedOn w:val="Normal"/>
    <w:next w:val="Normal"/>
    <w:autoRedefine/>
    <w:uiPriority w:val="39"/>
    <w:unhideWhenUsed/>
    <w:rsid w:val="00362545"/>
    <w:pPr>
      <w:spacing w:after="100" w:line="240" w:lineRule="auto"/>
      <w:ind w:left="1760"/>
    </w:pPr>
    <w:rPr>
      <w:rFonts w:eastAsiaTheme="minorEastAsia"/>
      <w:szCs w:val="24"/>
    </w:rPr>
  </w:style>
  <w:style w:type="paragraph" w:styleId="Header">
    <w:name w:val="header"/>
    <w:basedOn w:val="Normal"/>
    <w:link w:val="HeaderChar"/>
    <w:uiPriority w:val="99"/>
    <w:unhideWhenUsed/>
    <w:rsid w:val="00362545"/>
    <w:pPr>
      <w:tabs>
        <w:tab w:val="center" w:pos="4680"/>
        <w:tab w:val="right" w:pos="9360"/>
      </w:tabs>
      <w:spacing w:after="0" w:line="240" w:lineRule="auto"/>
    </w:pPr>
    <w:rPr>
      <w:szCs w:val="24"/>
    </w:rPr>
  </w:style>
  <w:style w:type="character" w:customStyle="1" w:styleId="HeaderChar">
    <w:name w:val="Header Char"/>
    <w:basedOn w:val="DefaultParagraphFont"/>
    <w:link w:val="Header"/>
    <w:uiPriority w:val="99"/>
    <w:rsid w:val="00362545"/>
    <w:rPr>
      <w:szCs w:val="24"/>
    </w:rPr>
  </w:style>
  <w:style w:type="paragraph" w:styleId="Footer">
    <w:name w:val="footer"/>
    <w:basedOn w:val="Normal"/>
    <w:link w:val="FooterChar"/>
    <w:uiPriority w:val="99"/>
    <w:unhideWhenUsed/>
    <w:rsid w:val="00362545"/>
    <w:pPr>
      <w:tabs>
        <w:tab w:val="center" w:pos="4680"/>
        <w:tab w:val="right" w:pos="9360"/>
      </w:tabs>
      <w:spacing w:after="0" w:line="240" w:lineRule="auto"/>
    </w:pPr>
    <w:rPr>
      <w:szCs w:val="24"/>
    </w:rPr>
  </w:style>
  <w:style w:type="character" w:customStyle="1" w:styleId="FooterChar">
    <w:name w:val="Footer Char"/>
    <w:basedOn w:val="DefaultParagraphFont"/>
    <w:link w:val="Footer"/>
    <w:uiPriority w:val="99"/>
    <w:rsid w:val="00362545"/>
    <w:rPr>
      <w:szCs w:val="24"/>
    </w:rPr>
  </w:style>
  <w:style w:type="character" w:styleId="FollowedHyperlink">
    <w:name w:val="FollowedHyperlink"/>
    <w:basedOn w:val="DefaultParagraphFont"/>
    <w:uiPriority w:val="99"/>
    <w:semiHidden/>
    <w:unhideWhenUsed/>
    <w:rsid w:val="00362545"/>
    <w:rPr>
      <w:color w:val="800080" w:themeColor="followedHyperlink"/>
      <w:u w:val="single"/>
    </w:rPr>
  </w:style>
  <w:style w:type="table" w:customStyle="1" w:styleId="TableGrid14">
    <w:name w:val="Table Grid14"/>
    <w:basedOn w:val="TableNormal"/>
    <w:next w:val="TableGrid"/>
    <w:uiPriority w:val="59"/>
    <w:rsid w:val="0036254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E0E0E0"/>
      </w:tcPr>
    </w:tblStylePr>
  </w:style>
  <w:style w:type="table" w:customStyle="1" w:styleId="TableGrid2">
    <w:name w:val="Table Grid2"/>
    <w:basedOn w:val="TableNormal"/>
    <w:next w:val="TableGrid"/>
    <w:uiPriority w:val="59"/>
    <w:rsid w:val="00362545"/>
    <w:pPr>
      <w:spacing w:after="0" w:line="240" w:lineRule="auto"/>
    </w:pPr>
    <w:rPr>
      <w:rFonts w:eastAsia="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62545"/>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62545"/>
    <w:rPr>
      <w:b/>
      <w:bCs/>
    </w:rPr>
  </w:style>
  <w:style w:type="character" w:customStyle="1" w:styleId="CommentSubjectChar">
    <w:name w:val="Comment Subject Char"/>
    <w:basedOn w:val="CommentTextChar"/>
    <w:link w:val="CommentSubject"/>
    <w:uiPriority w:val="99"/>
    <w:semiHidden/>
    <w:rsid w:val="00362545"/>
    <w:rPr>
      <w:b/>
      <w:bCs/>
      <w:sz w:val="20"/>
      <w:szCs w:val="20"/>
    </w:rPr>
  </w:style>
  <w:style w:type="character" w:styleId="IntenseEmphasis">
    <w:name w:val="Intense Emphasis"/>
    <w:basedOn w:val="DefaultParagraphFont"/>
    <w:uiPriority w:val="21"/>
    <w:qFormat/>
    <w:rsid w:val="00362545"/>
    <w:rPr>
      <w:rFonts w:ascii="Times New Roman" w:hAnsi="Times New Roman"/>
      <w:b/>
      <w:bCs/>
      <w:i/>
      <w:iCs/>
      <w:color w:val="4F81BD" w:themeColor="accent1"/>
      <w:sz w:val="28"/>
    </w:rPr>
  </w:style>
  <w:style w:type="character" w:styleId="Strong">
    <w:name w:val="Strong"/>
    <w:basedOn w:val="DefaultParagraphFont"/>
    <w:uiPriority w:val="22"/>
    <w:qFormat/>
    <w:rsid w:val="00362545"/>
    <w:rPr>
      <w:b/>
      <w:bCs/>
    </w:rPr>
  </w:style>
  <w:style w:type="paragraph" w:styleId="DocumentMap">
    <w:name w:val="Document Map"/>
    <w:basedOn w:val="Normal"/>
    <w:link w:val="DocumentMapChar"/>
    <w:uiPriority w:val="99"/>
    <w:semiHidden/>
    <w:unhideWhenUsed/>
    <w:rsid w:val="00362545"/>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362545"/>
    <w:rPr>
      <w:rFonts w:ascii="Lucida Grande" w:hAnsi="Lucida Grande" w:cs="Lucida Grande"/>
      <w:szCs w:val="24"/>
    </w:rPr>
  </w:style>
  <w:style w:type="paragraph" w:styleId="NoSpacing">
    <w:name w:val="No Spacing"/>
    <w:link w:val="NoSpacingChar"/>
    <w:uiPriority w:val="1"/>
    <w:qFormat/>
    <w:rsid w:val="00362545"/>
    <w:pPr>
      <w:spacing w:after="0" w:line="240" w:lineRule="auto"/>
    </w:pPr>
    <w:rPr>
      <w:szCs w:val="24"/>
    </w:rPr>
  </w:style>
  <w:style w:type="character" w:styleId="PageNumber">
    <w:name w:val="page number"/>
    <w:basedOn w:val="DefaultParagraphFont"/>
    <w:uiPriority w:val="99"/>
    <w:semiHidden/>
    <w:unhideWhenUsed/>
    <w:rsid w:val="00362545"/>
  </w:style>
  <w:style w:type="character" w:styleId="Emphasis">
    <w:name w:val="Emphasis"/>
    <w:basedOn w:val="DefaultParagraphFont"/>
    <w:uiPriority w:val="20"/>
    <w:qFormat/>
    <w:rsid w:val="00362545"/>
    <w:rPr>
      <w:i/>
      <w:iCs/>
    </w:rPr>
  </w:style>
  <w:style w:type="paragraph" w:styleId="Revision">
    <w:name w:val="Revision"/>
    <w:hidden/>
    <w:uiPriority w:val="99"/>
    <w:semiHidden/>
    <w:rsid w:val="00D71D84"/>
    <w:pPr>
      <w:spacing w:after="0" w:line="240" w:lineRule="auto"/>
    </w:pPr>
  </w:style>
  <w:style w:type="table" w:styleId="LightList-Accent1">
    <w:name w:val="Light List Accent 1"/>
    <w:basedOn w:val="TableNormal"/>
    <w:uiPriority w:val="61"/>
    <w:rsid w:val="003D55D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28730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28730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A0534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NoSpacingChar">
    <w:name w:val="No Spacing Char"/>
    <w:basedOn w:val="DefaultParagraphFont"/>
    <w:link w:val="NoSpacing"/>
    <w:uiPriority w:val="1"/>
    <w:rsid w:val="008B1FF9"/>
    <w:rPr>
      <w:szCs w:val="24"/>
    </w:rPr>
  </w:style>
  <w:style w:type="paragraph" w:styleId="NormalWeb">
    <w:name w:val="Normal (Web)"/>
    <w:basedOn w:val="Normal"/>
    <w:uiPriority w:val="99"/>
    <w:unhideWhenUsed/>
    <w:rsid w:val="004F52A8"/>
    <w:pPr>
      <w:spacing w:before="100" w:beforeAutospacing="1" w:after="100" w:afterAutospacing="1" w:line="240" w:lineRule="auto"/>
    </w:pPr>
    <w:rPr>
      <w:rFonts w:eastAsiaTheme="minorEastAsia" w:cs="Times New Roman"/>
      <w:szCs w:val="24"/>
    </w:rPr>
  </w:style>
  <w:style w:type="paragraph" w:customStyle="1" w:styleId="CPPRHeader">
    <w:name w:val="CPPR Header"/>
    <w:basedOn w:val="Normal"/>
    <w:link w:val="CPPRHeaderChar"/>
    <w:qFormat/>
    <w:rsid w:val="00092BBA"/>
    <w:pPr>
      <w:jc w:val="center"/>
    </w:pPr>
    <w:rPr>
      <w:b/>
      <w:color w:val="FFFFFF" w:themeColor="background1"/>
    </w:rPr>
  </w:style>
  <w:style w:type="character" w:customStyle="1" w:styleId="CPPRHeaderChar">
    <w:name w:val="CPPR Header Char"/>
    <w:basedOn w:val="DefaultParagraphFont"/>
    <w:link w:val="CPPRHeader"/>
    <w:rsid w:val="00092BBA"/>
    <w:rPr>
      <w:b/>
      <w:color w:val="FFFFFF" w:themeColor="background1"/>
    </w:rPr>
  </w:style>
  <w:style w:type="table" w:styleId="LightList-Accent6">
    <w:name w:val="Light List Accent 6"/>
    <w:basedOn w:val="TableNormal"/>
    <w:uiPriority w:val="61"/>
    <w:rsid w:val="00EC2DF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Accent61">
    <w:name w:val="Light Grid - Accent 61"/>
    <w:basedOn w:val="TableNormal"/>
    <w:next w:val="LightGrid-Accent6"/>
    <w:uiPriority w:val="62"/>
    <w:rsid w:val="00EC2DFD"/>
    <w:pPr>
      <w:spacing w:after="0" w:line="240" w:lineRule="auto"/>
    </w:pPr>
    <w:rPr>
      <w:rFonts w:asciiTheme="minorHAnsi" w:hAnsiTheme="minorHAnsi"/>
      <w:sz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6">
    <w:name w:val="Light Grid Accent 6"/>
    <w:basedOn w:val="TableNormal"/>
    <w:uiPriority w:val="62"/>
    <w:rsid w:val="00EC2DF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numbering" w:customStyle="1" w:styleId="NoList2">
    <w:name w:val="No List2"/>
    <w:next w:val="NoList"/>
    <w:uiPriority w:val="99"/>
    <w:semiHidden/>
    <w:unhideWhenUsed/>
    <w:rsid w:val="0090119F"/>
  </w:style>
  <w:style w:type="table" w:customStyle="1" w:styleId="TableGrid3">
    <w:name w:val="Table Grid3"/>
    <w:basedOn w:val="TableNormal"/>
    <w:next w:val="TableGrid"/>
    <w:uiPriority w:val="59"/>
    <w:rsid w:val="0090119F"/>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uiPriority w:val="35"/>
    <w:semiHidden/>
    <w:unhideWhenUsed/>
    <w:qFormat/>
    <w:rsid w:val="0090119F"/>
    <w:pPr>
      <w:spacing w:line="240" w:lineRule="auto"/>
    </w:pPr>
    <w:rPr>
      <w:rFonts w:ascii="Calibri" w:hAnsi="Calibri" w:cs="Times New Roman"/>
      <w:b/>
      <w:bCs/>
      <w:color w:val="4F81BD"/>
      <w:sz w:val="18"/>
      <w:szCs w:val="18"/>
    </w:rPr>
  </w:style>
  <w:style w:type="table" w:customStyle="1" w:styleId="LightList-Accent11">
    <w:name w:val="Light List - Accent 11"/>
    <w:basedOn w:val="TableNormal"/>
    <w:next w:val="LightList-Accent1"/>
    <w:uiPriority w:val="61"/>
    <w:rsid w:val="0090119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4">
    <w:name w:val="Light List Accent 4"/>
    <w:basedOn w:val="TableNormal"/>
    <w:uiPriority w:val="61"/>
    <w:rsid w:val="0090119F"/>
    <w:pPr>
      <w:spacing w:after="0" w:line="240" w:lineRule="auto"/>
    </w:pPr>
    <w:rPr>
      <w:rFonts w:asciiTheme="minorHAnsi" w:hAnsiTheme="minorHAnsi"/>
      <w:sz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Grid-Accent4">
    <w:name w:val="Light Grid Accent 4"/>
    <w:basedOn w:val="TableNormal"/>
    <w:uiPriority w:val="62"/>
    <w:rsid w:val="0090119F"/>
    <w:pPr>
      <w:spacing w:after="0" w:line="240" w:lineRule="auto"/>
    </w:pPr>
    <w:rPr>
      <w:rFonts w:asciiTheme="minorHAnsi" w:hAnsiTheme="minorHAnsi"/>
      <w:sz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acccontentlabel">
    <w:name w:val="acc_content_label"/>
    <w:rsid w:val="0090119F"/>
  </w:style>
  <w:style w:type="table" w:customStyle="1" w:styleId="LightList-Accent41">
    <w:name w:val="Light List - Accent 41"/>
    <w:basedOn w:val="TableNormal"/>
    <w:next w:val="LightList-Accent4"/>
    <w:uiPriority w:val="61"/>
    <w:rsid w:val="0090119F"/>
    <w:pPr>
      <w:spacing w:after="0" w:line="240" w:lineRule="auto"/>
    </w:pPr>
    <w:rPr>
      <w:rFonts w:asciiTheme="minorHAnsi" w:hAnsiTheme="minorHAnsi"/>
      <w:sz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Grid-Accent41">
    <w:name w:val="Light Grid - Accent 41"/>
    <w:basedOn w:val="TableNormal"/>
    <w:next w:val="LightGrid-Accent4"/>
    <w:uiPriority w:val="62"/>
    <w:rsid w:val="0090119F"/>
    <w:pPr>
      <w:spacing w:after="0" w:line="240" w:lineRule="auto"/>
    </w:pPr>
    <w:rPr>
      <w:rFonts w:asciiTheme="minorHAnsi" w:hAnsiTheme="minorHAnsi"/>
      <w:sz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2">
    <w:name w:val="Light List Accent 2"/>
    <w:basedOn w:val="TableNormal"/>
    <w:uiPriority w:val="61"/>
    <w:rsid w:val="00B95F03"/>
    <w:pPr>
      <w:spacing w:after="0" w:line="240" w:lineRule="auto"/>
    </w:pPr>
    <w:rPr>
      <w:rFonts w:asciiTheme="minorHAnsi" w:hAnsiTheme="minorHAnsi"/>
      <w:sz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B95F03"/>
    <w:pPr>
      <w:spacing w:after="0" w:line="240" w:lineRule="auto"/>
    </w:pPr>
    <w:rPr>
      <w:rFonts w:asciiTheme="minorHAnsi" w:hAnsiTheme="minorHAnsi"/>
      <w:sz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List-Accent21">
    <w:name w:val="Light List - Accent 21"/>
    <w:basedOn w:val="TableNormal"/>
    <w:next w:val="LightList-Accent2"/>
    <w:uiPriority w:val="61"/>
    <w:rsid w:val="00B95F03"/>
    <w:pPr>
      <w:spacing w:after="0" w:line="240" w:lineRule="auto"/>
    </w:pPr>
    <w:rPr>
      <w:rFonts w:asciiTheme="minorHAnsi" w:hAnsiTheme="minorHAnsi"/>
      <w:sz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Grid-Accent21">
    <w:name w:val="Light Grid - Accent 21"/>
    <w:basedOn w:val="TableNormal"/>
    <w:next w:val="LightGrid-Accent2"/>
    <w:uiPriority w:val="62"/>
    <w:rsid w:val="00B95F03"/>
    <w:pPr>
      <w:spacing w:after="0" w:line="240" w:lineRule="auto"/>
    </w:pPr>
    <w:rPr>
      <w:rFonts w:asciiTheme="minorHAnsi" w:hAnsiTheme="minorHAnsi"/>
      <w:sz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List-Accent23">
    <w:name w:val="Light List - Accent 23"/>
    <w:basedOn w:val="TableNormal"/>
    <w:next w:val="LightList-Accent2"/>
    <w:uiPriority w:val="61"/>
    <w:rsid w:val="00B95F03"/>
    <w:pPr>
      <w:spacing w:after="0" w:line="240" w:lineRule="auto"/>
    </w:pPr>
    <w:rPr>
      <w:rFonts w:asciiTheme="minorHAnsi" w:hAnsiTheme="minorHAnsi"/>
      <w:sz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2">
    <w:name w:val="Light List - Accent 32"/>
    <w:basedOn w:val="TableNormal"/>
    <w:next w:val="LightList-Accent3"/>
    <w:uiPriority w:val="61"/>
    <w:rsid w:val="00EC7FDF"/>
    <w:pPr>
      <w:spacing w:after="0" w:line="240" w:lineRule="auto"/>
    </w:pPr>
    <w:rPr>
      <w:rFonts w:asciiTheme="minorHAnsi" w:hAnsiTheme="minorHAnsi"/>
      <w:sz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3">
    <w:name w:val="Light Grid - Accent 33"/>
    <w:basedOn w:val="TableNormal"/>
    <w:next w:val="LightGrid-Accent3"/>
    <w:uiPriority w:val="62"/>
    <w:rsid w:val="00EC7FDF"/>
    <w:pPr>
      <w:spacing w:after="0" w:line="240" w:lineRule="auto"/>
    </w:pPr>
    <w:rPr>
      <w:rFonts w:asciiTheme="minorHAnsi" w:hAnsiTheme="minorHAnsi"/>
      <w:sz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EC7FD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3">
    <w:name w:val="Light Grid Accent 3"/>
    <w:basedOn w:val="TableNormal"/>
    <w:uiPriority w:val="62"/>
    <w:rsid w:val="00EC7FD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List-Accent31">
    <w:name w:val="Light List - Accent 31"/>
    <w:basedOn w:val="TableNormal"/>
    <w:next w:val="LightList-Accent3"/>
    <w:uiPriority w:val="61"/>
    <w:rsid w:val="00C3669E"/>
    <w:pPr>
      <w:spacing w:after="0" w:line="240" w:lineRule="auto"/>
    </w:pPr>
    <w:rPr>
      <w:rFonts w:asciiTheme="minorHAnsi" w:hAnsiTheme="minorHAnsi"/>
      <w:sz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1">
    <w:name w:val="Light Grid - Accent 31"/>
    <w:basedOn w:val="TableNormal"/>
    <w:next w:val="LightGrid-Accent3"/>
    <w:uiPriority w:val="62"/>
    <w:rsid w:val="00C3669E"/>
    <w:pPr>
      <w:spacing w:after="0" w:line="240" w:lineRule="auto"/>
    </w:pPr>
    <w:rPr>
      <w:rFonts w:asciiTheme="minorHAnsi" w:hAnsiTheme="minorHAnsi"/>
      <w:sz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List-Accent33">
    <w:name w:val="Light List - Accent 33"/>
    <w:basedOn w:val="TableNormal"/>
    <w:next w:val="LightList-Accent3"/>
    <w:uiPriority w:val="61"/>
    <w:rsid w:val="00C3669E"/>
    <w:pPr>
      <w:spacing w:after="0" w:line="240" w:lineRule="auto"/>
    </w:pPr>
    <w:rPr>
      <w:rFonts w:asciiTheme="minorHAnsi" w:hAnsiTheme="minorHAnsi"/>
      <w:sz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34">
    <w:name w:val="Light List - Accent 34"/>
    <w:basedOn w:val="TableNormal"/>
    <w:next w:val="LightList-Accent3"/>
    <w:uiPriority w:val="61"/>
    <w:rsid w:val="008530B0"/>
    <w:pPr>
      <w:spacing w:after="0" w:line="240" w:lineRule="auto"/>
    </w:pPr>
    <w:rPr>
      <w:rFonts w:asciiTheme="minorHAnsi" w:hAnsiTheme="minorHAnsi"/>
      <w:sz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2">
    <w:name w:val="Light Grid - Accent 32"/>
    <w:basedOn w:val="TableNormal"/>
    <w:next w:val="LightGrid-Accent3"/>
    <w:uiPriority w:val="62"/>
    <w:rsid w:val="008530B0"/>
    <w:pPr>
      <w:spacing w:after="0" w:line="240" w:lineRule="auto"/>
    </w:pPr>
    <w:rPr>
      <w:rFonts w:asciiTheme="minorHAnsi" w:hAnsiTheme="minorHAnsi"/>
      <w:sz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List-Accent311">
    <w:name w:val="Light List - Accent 311"/>
    <w:basedOn w:val="TableNormal"/>
    <w:next w:val="LightList-Accent3"/>
    <w:uiPriority w:val="61"/>
    <w:rsid w:val="008530B0"/>
    <w:pPr>
      <w:spacing w:after="0" w:line="240" w:lineRule="auto"/>
    </w:pPr>
    <w:rPr>
      <w:rFonts w:asciiTheme="minorHAnsi" w:hAnsiTheme="minorHAnsi"/>
      <w:sz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5">
    <w:name w:val="Light Grid Accent 5"/>
    <w:basedOn w:val="TableNormal"/>
    <w:uiPriority w:val="62"/>
    <w:rsid w:val="005472BC"/>
    <w:pPr>
      <w:spacing w:after="0" w:line="240" w:lineRule="auto"/>
    </w:pPr>
    <w:rPr>
      <w:rFonts w:asciiTheme="minorHAnsi" w:hAnsiTheme="minorHAnsi"/>
      <w:sz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5">
    <w:name w:val="Light List Accent 5"/>
    <w:basedOn w:val="TableNormal"/>
    <w:uiPriority w:val="61"/>
    <w:rsid w:val="005472B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eGrid131">
    <w:name w:val="Table Grid131"/>
    <w:basedOn w:val="TableNormal"/>
    <w:next w:val="TableGrid"/>
    <w:uiPriority w:val="59"/>
    <w:rsid w:val="00BC2ED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E0E0E0"/>
      </w:tcPr>
    </w:tblStylePr>
  </w:style>
  <w:style w:type="table" w:customStyle="1" w:styleId="LightList-Accent61">
    <w:name w:val="Light List - Accent 61"/>
    <w:basedOn w:val="TableNormal"/>
    <w:next w:val="LightList-Accent6"/>
    <w:uiPriority w:val="61"/>
    <w:rsid w:val="00BC2EDF"/>
    <w:pPr>
      <w:spacing w:after="0" w:line="240" w:lineRule="auto"/>
    </w:pPr>
    <w:rPr>
      <w:rFonts w:asciiTheme="minorHAnsi" w:hAnsiTheme="minorHAnsi"/>
      <w:sz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Accent62">
    <w:name w:val="Light Grid - Accent 62"/>
    <w:basedOn w:val="TableNormal"/>
    <w:next w:val="LightGrid-Accent6"/>
    <w:uiPriority w:val="62"/>
    <w:rsid w:val="00BC2EDF"/>
    <w:pPr>
      <w:spacing w:after="0" w:line="240" w:lineRule="auto"/>
    </w:pPr>
    <w:rPr>
      <w:rFonts w:asciiTheme="minorHAnsi" w:hAnsiTheme="minorHAnsi"/>
      <w:sz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Grid-Accent63">
    <w:name w:val="Light Grid - Accent 63"/>
    <w:basedOn w:val="TableNormal"/>
    <w:next w:val="LightGrid-Accent6"/>
    <w:uiPriority w:val="62"/>
    <w:rsid w:val="005D12C1"/>
    <w:pPr>
      <w:spacing w:after="0" w:line="240" w:lineRule="auto"/>
    </w:pPr>
    <w:rPr>
      <w:rFonts w:asciiTheme="minorHAnsi" w:hAnsiTheme="minorHAnsi"/>
      <w:sz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List-Accent35">
    <w:name w:val="Light List - Accent 35"/>
    <w:basedOn w:val="TableNormal"/>
    <w:next w:val="LightList-Accent3"/>
    <w:uiPriority w:val="61"/>
    <w:rsid w:val="00754C76"/>
    <w:pPr>
      <w:spacing w:after="0" w:line="240" w:lineRule="auto"/>
    </w:pPr>
    <w:rPr>
      <w:rFonts w:asciiTheme="minorHAnsi" w:hAnsiTheme="minorHAnsi"/>
      <w:sz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4">
    <w:name w:val="Light Grid - Accent 34"/>
    <w:basedOn w:val="TableNormal"/>
    <w:next w:val="LightGrid-Accent3"/>
    <w:uiPriority w:val="62"/>
    <w:rsid w:val="00754C76"/>
    <w:pPr>
      <w:spacing w:after="0" w:line="240" w:lineRule="auto"/>
    </w:pPr>
    <w:rPr>
      <w:rFonts w:asciiTheme="minorHAnsi" w:hAnsiTheme="minorHAnsi"/>
      <w:sz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numbering" w:customStyle="1" w:styleId="NoList3">
    <w:name w:val="No List3"/>
    <w:next w:val="NoList"/>
    <w:uiPriority w:val="99"/>
    <w:semiHidden/>
    <w:unhideWhenUsed/>
    <w:rsid w:val="0010294D"/>
  </w:style>
  <w:style w:type="paragraph" w:styleId="PlainText">
    <w:name w:val="Plain Text"/>
    <w:basedOn w:val="Normal"/>
    <w:link w:val="PlainTextChar"/>
    <w:uiPriority w:val="99"/>
    <w:semiHidden/>
    <w:unhideWhenUsed/>
    <w:rsid w:val="0010294D"/>
    <w:pPr>
      <w:spacing w:after="0" w:line="240" w:lineRule="auto"/>
    </w:pPr>
    <w:rPr>
      <w:rFonts w:ascii="Calibri" w:hAnsi="Calibri" w:cs="Calibri"/>
      <w:sz w:val="22"/>
    </w:rPr>
  </w:style>
  <w:style w:type="character" w:customStyle="1" w:styleId="PlainTextChar">
    <w:name w:val="Plain Text Char"/>
    <w:basedOn w:val="DefaultParagraphFont"/>
    <w:link w:val="PlainText"/>
    <w:uiPriority w:val="99"/>
    <w:semiHidden/>
    <w:rsid w:val="0010294D"/>
    <w:rPr>
      <w:rFonts w:ascii="Calibri" w:hAnsi="Calibri" w:cs="Calibri"/>
      <w:sz w:val="22"/>
    </w:rPr>
  </w:style>
  <w:style w:type="table" w:customStyle="1" w:styleId="TableGrid4">
    <w:name w:val="Table Grid4"/>
    <w:basedOn w:val="TableNormal"/>
    <w:next w:val="TableGrid"/>
    <w:uiPriority w:val="59"/>
    <w:rsid w:val="0010294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CB040F"/>
    <w:pPr>
      <w:spacing w:after="0" w:line="240" w:lineRule="auto"/>
    </w:pPr>
    <w:rPr>
      <w:rFonts w:asciiTheme="minorHAnsi" w:hAnsiTheme="minorHAnsi"/>
      <w:color w:val="365F91" w:themeColor="accent1" w:themeShade="BF"/>
      <w:sz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Normal"/>
    <w:link w:val="TitleChar"/>
    <w:uiPriority w:val="10"/>
    <w:qFormat/>
    <w:rsid w:val="0048676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86767"/>
    <w:rPr>
      <w:rFonts w:asciiTheme="majorHAnsi" w:eastAsiaTheme="majorEastAsia" w:hAnsiTheme="majorHAnsi" w:cstheme="majorBidi"/>
      <w:color w:val="17365D" w:themeColor="text2" w:themeShade="BF"/>
      <w:spacing w:val="5"/>
      <w:kern w:val="28"/>
      <w:sz w:val="52"/>
      <w:szCs w:val="52"/>
    </w:rPr>
  </w:style>
  <w:style w:type="table" w:styleId="MediumShading1-Accent6">
    <w:name w:val="Medium Shading 1 Accent 6"/>
    <w:basedOn w:val="TableNormal"/>
    <w:uiPriority w:val="63"/>
    <w:rsid w:val="003A58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A030B"/>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A1DB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72FE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62B45"/>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LightList-Accent36">
    <w:name w:val="Light List - Accent 36"/>
    <w:basedOn w:val="TableNormal"/>
    <w:next w:val="LightList-Accent3"/>
    <w:uiPriority w:val="61"/>
    <w:rsid w:val="00A13DF6"/>
    <w:pPr>
      <w:spacing w:after="0" w:line="240" w:lineRule="auto"/>
    </w:pPr>
    <w:rPr>
      <w:rFonts w:asciiTheme="minorHAnsi" w:hAnsiTheme="minorHAnsi"/>
      <w:sz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5">
    <w:name w:val="Light Grid - Accent 35"/>
    <w:basedOn w:val="TableNormal"/>
    <w:next w:val="LightGrid-Accent3"/>
    <w:uiPriority w:val="62"/>
    <w:rsid w:val="00A13DF6"/>
    <w:pPr>
      <w:spacing w:after="0" w:line="240" w:lineRule="auto"/>
    </w:pPr>
    <w:rPr>
      <w:rFonts w:asciiTheme="minorHAnsi" w:hAnsiTheme="minorHAnsi"/>
      <w:sz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11">
    <w:name w:val="Medium Shading 1 - Accent 11"/>
    <w:basedOn w:val="TableNormal"/>
    <w:next w:val="MediumShading1-Accent1"/>
    <w:uiPriority w:val="63"/>
    <w:rsid w:val="00FA41A7"/>
    <w:pPr>
      <w:spacing w:after="0" w:line="240" w:lineRule="auto"/>
    </w:pPr>
    <w:rPr>
      <w:rFonts w:eastAsia="Times New Roman" w:cs="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pPr>
      <w:rPr>
        <w:rFonts w:cs="Times New Roman"/>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pPr>
      <w:rPr>
        <w:rFonts w:cs="Times New Roman"/>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hemeFill="accent1" w:themeFillTint="3F"/>
      </w:tcPr>
    </w:tblStylePr>
    <w:tblStylePr w:type="band1Horz">
      <w:rPr>
        <w:rFonts w:cs="Times New Roman"/>
      </w:rPr>
      <w:tblPr/>
      <w:tcPr>
        <w:tcBorders>
          <w:insideH w:val="nil"/>
          <w:insideV w:val="nil"/>
        </w:tcBorders>
        <w:shd w:val="clear" w:color="auto" w:fill="D3DFEE" w:themeFill="accent1" w:themeFillTint="3F"/>
      </w:tcPr>
    </w:tblStylePr>
    <w:tblStylePr w:type="band2Horz">
      <w:rPr>
        <w:rFonts w:cs="Times New Roman"/>
      </w:rPr>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A9F"/>
  </w:style>
  <w:style w:type="paragraph" w:styleId="Heading1">
    <w:name w:val="heading 1"/>
    <w:basedOn w:val="Normal"/>
    <w:next w:val="Normal"/>
    <w:link w:val="Heading1Char"/>
    <w:uiPriority w:val="9"/>
    <w:qFormat/>
    <w:rsid w:val="00362545"/>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2545"/>
    <w:pPr>
      <w:keepNext/>
      <w:keepLines/>
      <w:spacing w:before="200" w:after="0" w:line="240" w:lineRule="auto"/>
      <w:jc w:val="center"/>
      <w:outlineLvl w:val="1"/>
    </w:pPr>
    <w:rPr>
      <w:rFonts w:asciiTheme="majorHAnsi" w:eastAsiaTheme="majorEastAsia" w:hAnsiTheme="majorHAnsi" w:cstheme="majorBidi"/>
      <w:b/>
      <w:bCs/>
      <w:caps/>
      <w:color w:val="4F81BD" w:themeColor="accent1"/>
      <w:sz w:val="28"/>
      <w:szCs w:val="28"/>
    </w:rPr>
  </w:style>
  <w:style w:type="paragraph" w:styleId="Heading3">
    <w:name w:val="heading 3"/>
    <w:basedOn w:val="Normal"/>
    <w:next w:val="Normal"/>
    <w:link w:val="Heading3Char"/>
    <w:uiPriority w:val="9"/>
    <w:unhideWhenUsed/>
    <w:qFormat/>
    <w:rsid w:val="00362545"/>
    <w:pPr>
      <w:keepNext/>
      <w:keepLines/>
      <w:spacing w:before="200" w:after="0" w:line="240" w:lineRule="auto"/>
      <w:jc w:val="center"/>
      <w:outlineLvl w:val="2"/>
    </w:pPr>
    <w:rPr>
      <w:rFonts w:asciiTheme="majorHAnsi" w:eastAsiaTheme="majorEastAsia" w:hAnsiTheme="majorHAnsi" w:cstheme="majorBidi"/>
      <w:b/>
      <w:bCs/>
      <w:color w:val="4F81BD" w:themeColor="accent1"/>
      <w:sz w:val="28"/>
      <w:szCs w:val="24"/>
    </w:rPr>
  </w:style>
  <w:style w:type="paragraph" w:styleId="Heading4">
    <w:name w:val="heading 4"/>
    <w:basedOn w:val="Normal"/>
    <w:next w:val="Normal"/>
    <w:link w:val="Heading4Char"/>
    <w:autoRedefine/>
    <w:uiPriority w:val="9"/>
    <w:unhideWhenUsed/>
    <w:qFormat/>
    <w:rsid w:val="00CE4D0E"/>
    <w:pPr>
      <w:keepNext/>
      <w:keepLines/>
      <w:shd w:val="clear" w:color="auto" w:fill="FFFFFF" w:themeFill="background1"/>
      <w:spacing w:before="240" w:after="120" w:line="240" w:lineRule="auto"/>
      <w:outlineLvl w:val="3"/>
    </w:pPr>
    <w:rPr>
      <w:rFonts w:asciiTheme="majorHAnsi" w:eastAsiaTheme="majorEastAsia" w:hAnsiTheme="majorHAnsi" w:cstheme="majorBidi"/>
      <w:b/>
      <w:bCs/>
      <w:i/>
      <w:iCs/>
      <w:color w:val="4F81BD" w:themeColor="accent1"/>
      <w:szCs w:val="24"/>
    </w:rPr>
  </w:style>
  <w:style w:type="paragraph" w:styleId="Heading5">
    <w:name w:val="heading 5"/>
    <w:basedOn w:val="Normal"/>
    <w:next w:val="Normal"/>
    <w:link w:val="Heading5Char"/>
    <w:uiPriority w:val="9"/>
    <w:unhideWhenUsed/>
    <w:qFormat/>
    <w:rsid w:val="00362545"/>
    <w:pPr>
      <w:keepNext/>
      <w:keepLines/>
      <w:spacing w:after="0" w:line="240" w:lineRule="auto"/>
      <w:outlineLvl w:val="4"/>
    </w:pPr>
    <w:rPr>
      <w:rFonts w:asciiTheme="majorHAnsi" w:eastAsiaTheme="majorEastAsia" w:hAnsiTheme="majorHAnsi" w:cstheme="majorBidi"/>
      <w:color w:val="243F60" w:themeColor="accent1" w:themeShade="7F"/>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254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62545"/>
    <w:rPr>
      <w:rFonts w:asciiTheme="majorHAnsi" w:eastAsiaTheme="majorEastAsia" w:hAnsiTheme="majorHAnsi" w:cstheme="majorBidi"/>
      <w:b/>
      <w:bCs/>
      <w:caps/>
      <w:color w:val="4F81BD" w:themeColor="accent1"/>
      <w:sz w:val="28"/>
      <w:szCs w:val="28"/>
    </w:rPr>
  </w:style>
  <w:style w:type="character" w:customStyle="1" w:styleId="Heading3Char">
    <w:name w:val="Heading 3 Char"/>
    <w:basedOn w:val="DefaultParagraphFont"/>
    <w:link w:val="Heading3"/>
    <w:uiPriority w:val="9"/>
    <w:rsid w:val="00362545"/>
    <w:rPr>
      <w:rFonts w:asciiTheme="majorHAnsi" w:eastAsiaTheme="majorEastAsia" w:hAnsiTheme="majorHAnsi" w:cstheme="majorBidi"/>
      <w:b/>
      <w:bCs/>
      <w:color w:val="4F81BD" w:themeColor="accent1"/>
      <w:sz w:val="28"/>
      <w:szCs w:val="24"/>
    </w:rPr>
  </w:style>
  <w:style w:type="character" w:customStyle="1" w:styleId="Heading4Char">
    <w:name w:val="Heading 4 Char"/>
    <w:basedOn w:val="DefaultParagraphFont"/>
    <w:link w:val="Heading4"/>
    <w:uiPriority w:val="9"/>
    <w:rsid w:val="00CE4D0E"/>
    <w:rPr>
      <w:rFonts w:asciiTheme="majorHAnsi" w:eastAsiaTheme="majorEastAsia" w:hAnsiTheme="majorHAnsi" w:cstheme="majorBidi"/>
      <w:b/>
      <w:bCs/>
      <w:i/>
      <w:iCs/>
      <w:color w:val="4F81BD" w:themeColor="accent1"/>
      <w:szCs w:val="24"/>
      <w:shd w:val="clear" w:color="auto" w:fill="FFFFFF" w:themeFill="background1"/>
    </w:rPr>
  </w:style>
  <w:style w:type="character" w:customStyle="1" w:styleId="Heading5Char">
    <w:name w:val="Heading 5 Char"/>
    <w:basedOn w:val="DefaultParagraphFont"/>
    <w:link w:val="Heading5"/>
    <w:uiPriority w:val="9"/>
    <w:rsid w:val="00362545"/>
    <w:rPr>
      <w:rFonts w:asciiTheme="majorHAnsi" w:eastAsiaTheme="majorEastAsia" w:hAnsiTheme="majorHAnsi" w:cstheme="majorBidi"/>
      <w:color w:val="243F60" w:themeColor="accent1" w:themeShade="7F"/>
      <w:szCs w:val="24"/>
      <w:lang w:eastAsia="zh-CN"/>
    </w:rPr>
  </w:style>
  <w:style w:type="numbering" w:customStyle="1" w:styleId="NoList1">
    <w:name w:val="No List1"/>
    <w:next w:val="NoList"/>
    <w:uiPriority w:val="99"/>
    <w:semiHidden/>
    <w:unhideWhenUsed/>
    <w:rsid w:val="00362545"/>
  </w:style>
  <w:style w:type="table" w:styleId="TableGrid">
    <w:name w:val="Table Grid"/>
    <w:basedOn w:val="TableNormal"/>
    <w:uiPriority w:val="59"/>
    <w:rsid w:val="0036254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6254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E0E0E0"/>
      </w:tcPr>
    </w:tblStylePr>
  </w:style>
  <w:style w:type="table" w:customStyle="1" w:styleId="TableGrid31">
    <w:name w:val="Table Grid31"/>
    <w:basedOn w:val="TableNormal"/>
    <w:next w:val="TableGrid"/>
    <w:uiPriority w:val="99"/>
    <w:rsid w:val="0036254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625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2545"/>
    <w:rPr>
      <w:rFonts w:ascii="Tahoma" w:hAnsi="Tahoma" w:cs="Tahoma"/>
      <w:sz w:val="16"/>
      <w:szCs w:val="16"/>
    </w:rPr>
  </w:style>
  <w:style w:type="paragraph" w:styleId="ListParagraph">
    <w:name w:val="List Paragraph"/>
    <w:basedOn w:val="Normal"/>
    <w:link w:val="ListParagraphChar"/>
    <w:uiPriority w:val="34"/>
    <w:qFormat/>
    <w:rsid w:val="00362545"/>
    <w:pPr>
      <w:spacing w:after="0" w:line="240" w:lineRule="auto"/>
      <w:ind w:left="720"/>
      <w:contextualSpacing/>
    </w:pPr>
    <w:rPr>
      <w:szCs w:val="24"/>
    </w:rPr>
  </w:style>
  <w:style w:type="paragraph" w:customStyle="1" w:styleId="Default">
    <w:name w:val="Default"/>
    <w:rsid w:val="00362545"/>
    <w:pPr>
      <w:autoSpaceDE w:val="0"/>
      <w:autoSpaceDN w:val="0"/>
      <w:adjustRightInd w:val="0"/>
      <w:spacing w:after="0" w:line="240" w:lineRule="auto"/>
    </w:pPr>
    <w:rPr>
      <w:rFonts w:ascii="DIN" w:hAnsi="DIN" w:cs="DIN"/>
      <w:color w:val="000000"/>
      <w:szCs w:val="24"/>
    </w:rPr>
  </w:style>
  <w:style w:type="paragraph" w:customStyle="1" w:styleId="CM7">
    <w:name w:val="CM7"/>
    <w:basedOn w:val="Default"/>
    <w:next w:val="Default"/>
    <w:uiPriority w:val="99"/>
    <w:rsid w:val="00362545"/>
    <w:pPr>
      <w:spacing w:line="240" w:lineRule="atLeast"/>
    </w:pPr>
    <w:rPr>
      <w:rFonts w:cstheme="minorBidi"/>
      <w:color w:val="auto"/>
    </w:rPr>
  </w:style>
  <w:style w:type="character" w:customStyle="1" w:styleId="ListParagraphChar">
    <w:name w:val="List Paragraph Char"/>
    <w:basedOn w:val="DefaultParagraphFont"/>
    <w:link w:val="ListParagraph"/>
    <w:uiPriority w:val="34"/>
    <w:locked/>
    <w:rsid w:val="00362545"/>
    <w:rPr>
      <w:szCs w:val="24"/>
    </w:rPr>
  </w:style>
  <w:style w:type="character" w:styleId="Hyperlink">
    <w:name w:val="Hyperlink"/>
    <w:basedOn w:val="DefaultParagraphFont"/>
    <w:uiPriority w:val="99"/>
    <w:unhideWhenUsed/>
    <w:rsid w:val="00362545"/>
    <w:rPr>
      <w:color w:val="0000FF" w:themeColor="hyperlink"/>
      <w:u w:val="single"/>
    </w:rPr>
  </w:style>
  <w:style w:type="character" w:styleId="CommentReference">
    <w:name w:val="annotation reference"/>
    <w:basedOn w:val="DefaultParagraphFont"/>
    <w:uiPriority w:val="99"/>
    <w:semiHidden/>
    <w:unhideWhenUsed/>
    <w:rsid w:val="00362545"/>
    <w:rPr>
      <w:sz w:val="16"/>
      <w:szCs w:val="16"/>
    </w:rPr>
  </w:style>
  <w:style w:type="paragraph" w:styleId="CommentText">
    <w:name w:val="annotation text"/>
    <w:basedOn w:val="Normal"/>
    <w:link w:val="CommentTextChar"/>
    <w:uiPriority w:val="99"/>
    <w:semiHidden/>
    <w:unhideWhenUsed/>
    <w:rsid w:val="00362545"/>
    <w:pPr>
      <w:spacing w:after="0" w:line="240" w:lineRule="auto"/>
    </w:pPr>
    <w:rPr>
      <w:sz w:val="20"/>
      <w:szCs w:val="20"/>
    </w:rPr>
  </w:style>
  <w:style w:type="character" w:customStyle="1" w:styleId="CommentTextChar">
    <w:name w:val="Comment Text Char"/>
    <w:basedOn w:val="DefaultParagraphFont"/>
    <w:link w:val="CommentText"/>
    <w:uiPriority w:val="99"/>
    <w:semiHidden/>
    <w:rsid w:val="00362545"/>
    <w:rPr>
      <w:sz w:val="20"/>
      <w:szCs w:val="20"/>
    </w:rPr>
  </w:style>
  <w:style w:type="table" w:customStyle="1" w:styleId="TableGrid11">
    <w:name w:val="Table Grid11"/>
    <w:basedOn w:val="TableNormal"/>
    <w:next w:val="TableGrid"/>
    <w:uiPriority w:val="59"/>
    <w:rsid w:val="00362545"/>
    <w:pPr>
      <w:spacing w:after="0" w:line="240" w:lineRule="auto"/>
    </w:pPr>
    <w:rPr>
      <w:rFonts w:eastAsia="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62545"/>
    <w:pPr>
      <w:spacing w:after="0" w:line="240" w:lineRule="auto"/>
    </w:pPr>
    <w:rPr>
      <w:sz w:val="20"/>
      <w:szCs w:val="20"/>
    </w:rPr>
  </w:style>
  <w:style w:type="character" w:customStyle="1" w:styleId="FootnoteTextChar">
    <w:name w:val="Footnote Text Char"/>
    <w:basedOn w:val="DefaultParagraphFont"/>
    <w:link w:val="FootnoteText"/>
    <w:uiPriority w:val="99"/>
    <w:rsid w:val="00362545"/>
    <w:rPr>
      <w:sz w:val="20"/>
      <w:szCs w:val="20"/>
    </w:rPr>
  </w:style>
  <w:style w:type="character" w:styleId="FootnoteReference">
    <w:name w:val="footnote reference"/>
    <w:basedOn w:val="DefaultParagraphFont"/>
    <w:unhideWhenUsed/>
    <w:rsid w:val="00362545"/>
    <w:rPr>
      <w:vertAlign w:val="superscript"/>
    </w:rPr>
  </w:style>
  <w:style w:type="paragraph" w:customStyle="1" w:styleId="Pa5">
    <w:name w:val="Pa5"/>
    <w:basedOn w:val="Normal"/>
    <w:next w:val="Normal"/>
    <w:rsid w:val="00362545"/>
    <w:pPr>
      <w:autoSpaceDE w:val="0"/>
      <w:autoSpaceDN w:val="0"/>
      <w:adjustRightInd w:val="0"/>
      <w:spacing w:after="0" w:line="241" w:lineRule="atLeast"/>
    </w:pPr>
    <w:rPr>
      <w:rFonts w:ascii="Adobe Jenson Pro" w:eastAsia="Calibri" w:hAnsi="Adobe Jenson Pro" w:cs="Calibri"/>
      <w:szCs w:val="24"/>
    </w:rPr>
  </w:style>
  <w:style w:type="character" w:customStyle="1" w:styleId="shorttext">
    <w:name w:val="short_text"/>
    <w:basedOn w:val="DefaultParagraphFont"/>
    <w:rsid w:val="00362545"/>
  </w:style>
  <w:style w:type="character" w:customStyle="1" w:styleId="hps">
    <w:name w:val="hps"/>
    <w:basedOn w:val="DefaultParagraphFont"/>
    <w:rsid w:val="00362545"/>
  </w:style>
  <w:style w:type="character" w:customStyle="1" w:styleId="Hyperlink1">
    <w:name w:val="Hyperlink1"/>
    <w:basedOn w:val="DefaultParagraphFont"/>
    <w:uiPriority w:val="99"/>
    <w:unhideWhenUsed/>
    <w:rsid w:val="00362545"/>
    <w:rPr>
      <w:color w:val="0000FF"/>
      <w:u w:val="single"/>
    </w:rPr>
  </w:style>
  <w:style w:type="table" w:customStyle="1" w:styleId="TableGrid12">
    <w:name w:val="Table Grid12"/>
    <w:basedOn w:val="TableNormal"/>
    <w:next w:val="TableGrid"/>
    <w:uiPriority w:val="59"/>
    <w:rsid w:val="0036254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E0E0E0"/>
      </w:tcPr>
    </w:tblStylePr>
  </w:style>
  <w:style w:type="table" w:customStyle="1" w:styleId="TableGrid13">
    <w:name w:val="Table Grid13"/>
    <w:basedOn w:val="TableNormal"/>
    <w:next w:val="TableGrid"/>
    <w:uiPriority w:val="59"/>
    <w:rsid w:val="0036254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E0E0E0"/>
      </w:tcPr>
    </w:tblStylePr>
  </w:style>
  <w:style w:type="paragraph" w:styleId="TOCHeading">
    <w:name w:val="TOC Heading"/>
    <w:basedOn w:val="Heading1"/>
    <w:next w:val="Normal"/>
    <w:uiPriority w:val="39"/>
    <w:unhideWhenUsed/>
    <w:qFormat/>
    <w:rsid w:val="00362545"/>
    <w:pPr>
      <w:outlineLvl w:val="9"/>
    </w:pPr>
    <w:rPr>
      <w:lang w:eastAsia="ja-JP"/>
    </w:rPr>
  </w:style>
  <w:style w:type="paragraph" w:styleId="TOC1">
    <w:name w:val="toc 1"/>
    <w:basedOn w:val="Normal"/>
    <w:next w:val="Normal"/>
    <w:autoRedefine/>
    <w:uiPriority w:val="39"/>
    <w:unhideWhenUsed/>
    <w:rsid w:val="00362545"/>
    <w:pPr>
      <w:spacing w:after="100" w:line="240" w:lineRule="auto"/>
    </w:pPr>
    <w:rPr>
      <w:szCs w:val="24"/>
    </w:rPr>
  </w:style>
  <w:style w:type="paragraph" w:styleId="TOC2">
    <w:name w:val="toc 2"/>
    <w:basedOn w:val="Normal"/>
    <w:next w:val="Normal"/>
    <w:autoRedefine/>
    <w:uiPriority w:val="39"/>
    <w:unhideWhenUsed/>
    <w:rsid w:val="00362545"/>
    <w:pPr>
      <w:spacing w:after="100" w:line="240" w:lineRule="auto"/>
      <w:ind w:left="220"/>
    </w:pPr>
    <w:rPr>
      <w:szCs w:val="24"/>
    </w:rPr>
  </w:style>
  <w:style w:type="paragraph" w:styleId="TOC3">
    <w:name w:val="toc 3"/>
    <w:basedOn w:val="Normal"/>
    <w:next w:val="Normal"/>
    <w:autoRedefine/>
    <w:uiPriority w:val="39"/>
    <w:unhideWhenUsed/>
    <w:rsid w:val="00362545"/>
    <w:pPr>
      <w:spacing w:after="100" w:line="240" w:lineRule="auto"/>
      <w:ind w:left="440"/>
    </w:pPr>
    <w:rPr>
      <w:szCs w:val="24"/>
    </w:rPr>
  </w:style>
  <w:style w:type="paragraph" w:styleId="TOC4">
    <w:name w:val="toc 4"/>
    <w:basedOn w:val="Normal"/>
    <w:next w:val="Normal"/>
    <w:autoRedefine/>
    <w:uiPriority w:val="39"/>
    <w:unhideWhenUsed/>
    <w:rsid w:val="00362545"/>
    <w:pPr>
      <w:spacing w:after="100" w:line="240" w:lineRule="auto"/>
      <w:ind w:left="660"/>
    </w:pPr>
    <w:rPr>
      <w:rFonts w:eastAsiaTheme="minorEastAsia"/>
      <w:szCs w:val="24"/>
    </w:rPr>
  </w:style>
  <w:style w:type="paragraph" w:styleId="TOC5">
    <w:name w:val="toc 5"/>
    <w:basedOn w:val="Normal"/>
    <w:next w:val="Normal"/>
    <w:autoRedefine/>
    <w:uiPriority w:val="39"/>
    <w:unhideWhenUsed/>
    <w:rsid w:val="00362545"/>
    <w:pPr>
      <w:spacing w:after="100" w:line="240" w:lineRule="auto"/>
      <w:ind w:left="880"/>
    </w:pPr>
    <w:rPr>
      <w:rFonts w:eastAsiaTheme="minorEastAsia"/>
      <w:szCs w:val="24"/>
    </w:rPr>
  </w:style>
  <w:style w:type="paragraph" w:styleId="TOC6">
    <w:name w:val="toc 6"/>
    <w:basedOn w:val="Normal"/>
    <w:next w:val="Normal"/>
    <w:autoRedefine/>
    <w:uiPriority w:val="39"/>
    <w:unhideWhenUsed/>
    <w:rsid w:val="00362545"/>
    <w:pPr>
      <w:spacing w:after="100" w:line="240" w:lineRule="auto"/>
      <w:ind w:left="1100"/>
    </w:pPr>
    <w:rPr>
      <w:rFonts w:eastAsiaTheme="minorEastAsia"/>
      <w:szCs w:val="24"/>
    </w:rPr>
  </w:style>
  <w:style w:type="paragraph" w:styleId="TOC7">
    <w:name w:val="toc 7"/>
    <w:basedOn w:val="Normal"/>
    <w:next w:val="Normal"/>
    <w:autoRedefine/>
    <w:uiPriority w:val="39"/>
    <w:unhideWhenUsed/>
    <w:rsid w:val="00362545"/>
    <w:pPr>
      <w:spacing w:after="100" w:line="240" w:lineRule="auto"/>
      <w:ind w:left="1320"/>
    </w:pPr>
    <w:rPr>
      <w:rFonts w:eastAsiaTheme="minorEastAsia"/>
      <w:szCs w:val="24"/>
    </w:rPr>
  </w:style>
  <w:style w:type="paragraph" w:styleId="TOC8">
    <w:name w:val="toc 8"/>
    <w:basedOn w:val="Normal"/>
    <w:next w:val="Normal"/>
    <w:autoRedefine/>
    <w:uiPriority w:val="39"/>
    <w:unhideWhenUsed/>
    <w:rsid w:val="00362545"/>
    <w:pPr>
      <w:spacing w:after="100" w:line="240" w:lineRule="auto"/>
      <w:ind w:left="1540"/>
    </w:pPr>
    <w:rPr>
      <w:rFonts w:eastAsiaTheme="minorEastAsia"/>
      <w:szCs w:val="24"/>
    </w:rPr>
  </w:style>
  <w:style w:type="paragraph" w:styleId="TOC9">
    <w:name w:val="toc 9"/>
    <w:basedOn w:val="Normal"/>
    <w:next w:val="Normal"/>
    <w:autoRedefine/>
    <w:uiPriority w:val="39"/>
    <w:unhideWhenUsed/>
    <w:rsid w:val="00362545"/>
    <w:pPr>
      <w:spacing w:after="100" w:line="240" w:lineRule="auto"/>
      <w:ind w:left="1760"/>
    </w:pPr>
    <w:rPr>
      <w:rFonts w:eastAsiaTheme="minorEastAsia"/>
      <w:szCs w:val="24"/>
    </w:rPr>
  </w:style>
  <w:style w:type="paragraph" w:styleId="Header">
    <w:name w:val="header"/>
    <w:basedOn w:val="Normal"/>
    <w:link w:val="HeaderChar"/>
    <w:uiPriority w:val="99"/>
    <w:unhideWhenUsed/>
    <w:rsid w:val="00362545"/>
    <w:pPr>
      <w:tabs>
        <w:tab w:val="center" w:pos="4680"/>
        <w:tab w:val="right" w:pos="9360"/>
      </w:tabs>
      <w:spacing w:after="0" w:line="240" w:lineRule="auto"/>
    </w:pPr>
    <w:rPr>
      <w:szCs w:val="24"/>
    </w:rPr>
  </w:style>
  <w:style w:type="character" w:customStyle="1" w:styleId="HeaderChar">
    <w:name w:val="Header Char"/>
    <w:basedOn w:val="DefaultParagraphFont"/>
    <w:link w:val="Header"/>
    <w:uiPriority w:val="99"/>
    <w:rsid w:val="00362545"/>
    <w:rPr>
      <w:szCs w:val="24"/>
    </w:rPr>
  </w:style>
  <w:style w:type="paragraph" w:styleId="Footer">
    <w:name w:val="footer"/>
    <w:basedOn w:val="Normal"/>
    <w:link w:val="FooterChar"/>
    <w:uiPriority w:val="99"/>
    <w:unhideWhenUsed/>
    <w:rsid w:val="00362545"/>
    <w:pPr>
      <w:tabs>
        <w:tab w:val="center" w:pos="4680"/>
        <w:tab w:val="right" w:pos="9360"/>
      </w:tabs>
      <w:spacing w:after="0" w:line="240" w:lineRule="auto"/>
    </w:pPr>
    <w:rPr>
      <w:szCs w:val="24"/>
    </w:rPr>
  </w:style>
  <w:style w:type="character" w:customStyle="1" w:styleId="FooterChar">
    <w:name w:val="Footer Char"/>
    <w:basedOn w:val="DefaultParagraphFont"/>
    <w:link w:val="Footer"/>
    <w:uiPriority w:val="99"/>
    <w:rsid w:val="00362545"/>
    <w:rPr>
      <w:szCs w:val="24"/>
    </w:rPr>
  </w:style>
  <w:style w:type="character" w:styleId="FollowedHyperlink">
    <w:name w:val="FollowedHyperlink"/>
    <w:basedOn w:val="DefaultParagraphFont"/>
    <w:uiPriority w:val="99"/>
    <w:semiHidden/>
    <w:unhideWhenUsed/>
    <w:rsid w:val="00362545"/>
    <w:rPr>
      <w:color w:val="800080" w:themeColor="followedHyperlink"/>
      <w:u w:val="single"/>
    </w:rPr>
  </w:style>
  <w:style w:type="table" w:customStyle="1" w:styleId="TableGrid14">
    <w:name w:val="Table Grid14"/>
    <w:basedOn w:val="TableNormal"/>
    <w:next w:val="TableGrid"/>
    <w:uiPriority w:val="59"/>
    <w:rsid w:val="0036254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E0E0E0"/>
      </w:tcPr>
    </w:tblStylePr>
  </w:style>
  <w:style w:type="table" w:customStyle="1" w:styleId="TableGrid2">
    <w:name w:val="Table Grid2"/>
    <w:basedOn w:val="TableNormal"/>
    <w:next w:val="TableGrid"/>
    <w:uiPriority w:val="59"/>
    <w:rsid w:val="00362545"/>
    <w:pPr>
      <w:spacing w:after="0" w:line="240" w:lineRule="auto"/>
    </w:pPr>
    <w:rPr>
      <w:rFonts w:eastAsia="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62545"/>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62545"/>
    <w:rPr>
      <w:b/>
      <w:bCs/>
    </w:rPr>
  </w:style>
  <w:style w:type="character" w:customStyle="1" w:styleId="CommentSubjectChar">
    <w:name w:val="Comment Subject Char"/>
    <w:basedOn w:val="CommentTextChar"/>
    <w:link w:val="CommentSubject"/>
    <w:uiPriority w:val="99"/>
    <w:semiHidden/>
    <w:rsid w:val="00362545"/>
    <w:rPr>
      <w:b/>
      <w:bCs/>
      <w:sz w:val="20"/>
      <w:szCs w:val="20"/>
    </w:rPr>
  </w:style>
  <w:style w:type="character" w:styleId="IntenseEmphasis">
    <w:name w:val="Intense Emphasis"/>
    <w:basedOn w:val="DefaultParagraphFont"/>
    <w:uiPriority w:val="21"/>
    <w:qFormat/>
    <w:rsid w:val="00362545"/>
    <w:rPr>
      <w:rFonts w:ascii="Times New Roman" w:hAnsi="Times New Roman"/>
      <w:b/>
      <w:bCs/>
      <w:i/>
      <w:iCs/>
      <w:color w:val="4F81BD" w:themeColor="accent1"/>
      <w:sz w:val="28"/>
    </w:rPr>
  </w:style>
  <w:style w:type="character" w:styleId="Strong">
    <w:name w:val="Strong"/>
    <w:basedOn w:val="DefaultParagraphFont"/>
    <w:uiPriority w:val="22"/>
    <w:qFormat/>
    <w:rsid w:val="00362545"/>
    <w:rPr>
      <w:b/>
      <w:bCs/>
    </w:rPr>
  </w:style>
  <w:style w:type="paragraph" w:styleId="DocumentMap">
    <w:name w:val="Document Map"/>
    <w:basedOn w:val="Normal"/>
    <w:link w:val="DocumentMapChar"/>
    <w:uiPriority w:val="99"/>
    <w:semiHidden/>
    <w:unhideWhenUsed/>
    <w:rsid w:val="00362545"/>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362545"/>
    <w:rPr>
      <w:rFonts w:ascii="Lucida Grande" w:hAnsi="Lucida Grande" w:cs="Lucida Grande"/>
      <w:szCs w:val="24"/>
    </w:rPr>
  </w:style>
  <w:style w:type="paragraph" w:styleId="NoSpacing">
    <w:name w:val="No Spacing"/>
    <w:link w:val="NoSpacingChar"/>
    <w:uiPriority w:val="1"/>
    <w:qFormat/>
    <w:rsid w:val="00362545"/>
    <w:pPr>
      <w:spacing w:after="0" w:line="240" w:lineRule="auto"/>
    </w:pPr>
    <w:rPr>
      <w:szCs w:val="24"/>
    </w:rPr>
  </w:style>
  <w:style w:type="character" w:styleId="PageNumber">
    <w:name w:val="page number"/>
    <w:basedOn w:val="DefaultParagraphFont"/>
    <w:uiPriority w:val="99"/>
    <w:semiHidden/>
    <w:unhideWhenUsed/>
    <w:rsid w:val="00362545"/>
  </w:style>
  <w:style w:type="character" w:styleId="Emphasis">
    <w:name w:val="Emphasis"/>
    <w:basedOn w:val="DefaultParagraphFont"/>
    <w:uiPriority w:val="20"/>
    <w:qFormat/>
    <w:rsid w:val="00362545"/>
    <w:rPr>
      <w:i/>
      <w:iCs/>
    </w:rPr>
  </w:style>
  <w:style w:type="paragraph" w:styleId="Revision">
    <w:name w:val="Revision"/>
    <w:hidden/>
    <w:uiPriority w:val="99"/>
    <w:semiHidden/>
    <w:rsid w:val="00D71D84"/>
    <w:pPr>
      <w:spacing w:after="0" w:line="240" w:lineRule="auto"/>
    </w:pPr>
  </w:style>
  <w:style w:type="table" w:styleId="LightList-Accent1">
    <w:name w:val="Light List Accent 1"/>
    <w:basedOn w:val="TableNormal"/>
    <w:uiPriority w:val="61"/>
    <w:rsid w:val="003D55D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28730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28730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A0534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NoSpacingChar">
    <w:name w:val="No Spacing Char"/>
    <w:basedOn w:val="DefaultParagraphFont"/>
    <w:link w:val="NoSpacing"/>
    <w:uiPriority w:val="1"/>
    <w:rsid w:val="008B1FF9"/>
    <w:rPr>
      <w:szCs w:val="24"/>
    </w:rPr>
  </w:style>
  <w:style w:type="paragraph" w:styleId="NormalWeb">
    <w:name w:val="Normal (Web)"/>
    <w:basedOn w:val="Normal"/>
    <w:uiPriority w:val="99"/>
    <w:unhideWhenUsed/>
    <w:rsid w:val="004F52A8"/>
    <w:pPr>
      <w:spacing w:before="100" w:beforeAutospacing="1" w:after="100" w:afterAutospacing="1" w:line="240" w:lineRule="auto"/>
    </w:pPr>
    <w:rPr>
      <w:rFonts w:eastAsiaTheme="minorEastAsia" w:cs="Times New Roman"/>
      <w:szCs w:val="24"/>
    </w:rPr>
  </w:style>
  <w:style w:type="paragraph" w:customStyle="1" w:styleId="CPPRHeader">
    <w:name w:val="CPPR Header"/>
    <w:basedOn w:val="Normal"/>
    <w:link w:val="CPPRHeaderChar"/>
    <w:qFormat/>
    <w:rsid w:val="00092BBA"/>
    <w:pPr>
      <w:jc w:val="center"/>
    </w:pPr>
    <w:rPr>
      <w:b/>
      <w:color w:val="FFFFFF" w:themeColor="background1"/>
    </w:rPr>
  </w:style>
  <w:style w:type="character" w:customStyle="1" w:styleId="CPPRHeaderChar">
    <w:name w:val="CPPR Header Char"/>
    <w:basedOn w:val="DefaultParagraphFont"/>
    <w:link w:val="CPPRHeader"/>
    <w:rsid w:val="00092BBA"/>
    <w:rPr>
      <w:b/>
      <w:color w:val="FFFFFF" w:themeColor="background1"/>
    </w:rPr>
  </w:style>
  <w:style w:type="table" w:styleId="LightList-Accent6">
    <w:name w:val="Light List Accent 6"/>
    <w:basedOn w:val="TableNormal"/>
    <w:uiPriority w:val="61"/>
    <w:rsid w:val="00EC2DF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Accent61">
    <w:name w:val="Light Grid - Accent 61"/>
    <w:basedOn w:val="TableNormal"/>
    <w:next w:val="LightGrid-Accent6"/>
    <w:uiPriority w:val="62"/>
    <w:rsid w:val="00EC2DFD"/>
    <w:pPr>
      <w:spacing w:after="0" w:line="240" w:lineRule="auto"/>
    </w:pPr>
    <w:rPr>
      <w:rFonts w:asciiTheme="minorHAnsi" w:hAnsiTheme="minorHAnsi"/>
      <w:sz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6">
    <w:name w:val="Light Grid Accent 6"/>
    <w:basedOn w:val="TableNormal"/>
    <w:uiPriority w:val="62"/>
    <w:rsid w:val="00EC2DF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numbering" w:customStyle="1" w:styleId="NoList2">
    <w:name w:val="No List2"/>
    <w:next w:val="NoList"/>
    <w:uiPriority w:val="99"/>
    <w:semiHidden/>
    <w:unhideWhenUsed/>
    <w:rsid w:val="0090119F"/>
  </w:style>
  <w:style w:type="table" w:customStyle="1" w:styleId="TableGrid3">
    <w:name w:val="Table Grid3"/>
    <w:basedOn w:val="TableNormal"/>
    <w:next w:val="TableGrid"/>
    <w:uiPriority w:val="59"/>
    <w:rsid w:val="0090119F"/>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uiPriority w:val="35"/>
    <w:semiHidden/>
    <w:unhideWhenUsed/>
    <w:qFormat/>
    <w:rsid w:val="0090119F"/>
    <w:pPr>
      <w:spacing w:line="240" w:lineRule="auto"/>
    </w:pPr>
    <w:rPr>
      <w:rFonts w:ascii="Calibri" w:hAnsi="Calibri" w:cs="Times New Roman"/>
      <w:b/>
      <w:bCs/>
      <w:color w:val="4F81BD"/>
      <w:sz w:val="18"/>
      <w:szCs w:val="18"/>
    </w:rPr>
  </w:style>
  <w:style w:type="table" w:customStyle="1" w:styleId="LightList-Accent11">
    <w:name w:val="Light List - Accent 11"/>
    <w:basedOn w:val="TableNormal"/>
    <w:next w:val="LightList-Accent1"/>
    <w:uiPriority w:val="61"/>
    <w:rsid w:val="0090119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4">
    <w:name w:val="Light List Accent 4"/>
    <w:basedOn w:val="TableNormal"/>
    <w:uiPriority w:val="61"/>
    <w:rsid w:val="0090119F"/>
    <w:pPr>
      <w:spacing w:after="0" w:line="240" w:lineRule="auto"/>
    </w:pPr>
    <w:rPr>
      <w:rFonts w:asciiTheme="minorHAnsi" w:hAnsiTheme="minorHAnsi"/>
      <w:sz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Grid-Accent4">
    <w:name w:val="Light Grid Accent 4"/>
    <w:basedOn w:val="TableNormal"/>
    <w:uiPriority w:val="62"/>
    <w:rsid w:val="0090119F"/>
    <w:pPr>
      <w:spacing w:after="0" w:line="240" w:lineRule="auto"/>
    </w:pPr>
    <w:rPr>
      <w:rFonts w:asciiTheme="minorHAnsi" w:hAnsiTheme="minorHAnsi"/>
      <w:sz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acccontentlabel">
    <w:name w:val="acc_content_label"/>
    <w:rsid w:val="0090119F"/>
  </w:style>
  <w:style w:type="table" w:customStyle="1" w:styleId="LightList-Accent41">
    <w:name w:val="Light List - Accent 41"/>
    <w:basedOn w:val="TableNormal"/>
    <w:next w:val="LightList-Accent4"/>
    <w:uiPriority w:val="61"/>
    <w:rsid w:val="0090119F"/>
    <w:pPr>
      <w:spacing w:after="0" w:line="240" w:lineRule="auto"/>
    </w:pPr>
    <w:rPr>
      <w:rFonts w:asciiTheme="minorHAnsi" w:hAnsiTheme="minorHAnsi"/>
      <w:sz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Grid-Accent41">
    <w:name w:val="Light Grid - Accent 41"/>
    <w:basedOn w:val="TableNormal"/>
    <w:next w:val="LightGrid-Accent4"/>
    <w:uiPriority w:val="62"/>
    <w:rsid w:val="0090119F"/>
    <w:pPr>
      <w:spacing w:after="0" w:line="240" w:lineRule="auto"/>
    </w:pPr>
    <w:rPr>
      <w:rFonts w:asciiTheme="minorHAnsi" w:hAnsiTheme="minorHAnsi"/>
      <w:sz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2">
    <w:name w:val="Light List Accent 2"/>
    <w:basedOn w:val="TableNormal"/>
    <w:uiPriority w:val="61"/>
    <w:rsid w:val="00B95F03"/>
    <w:pPr>
      <w:spacing w:after="0" w:line="240" w:lineRule="auto"/>
    </w:pPr>
    <w:rPr>
      <w:rFonts w:asciiTheme="minorHAnsi" w:hAnsiTheme="minorHAnsi"/>
      <w:sz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B95F03"/>
    <w:pPr>
      <w:spacing w:after="0" w:line="240" w:lineRule="auto"/>
    </w:pPr>
    <w:rPr>
      <w:rFonts w:asciiTheme="minorHAnsi" w:hAnsiTheme="minorHAnsi"/>
      <w:sz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List-Accent21">
    <w:name w:val="Light List - Accent 21"/>
    <w:basedOn w:val="TableNormal"/>
    <w:next w:val="LightList-Accent2"/>
    <w:uiPriority w:val="61"/>
    <w:rsid w:val="00B95F03"/>
    <w:pPr>
      <w:spacing w:after="0" w:line="240" w:lineRule="auto"/>
    </w:pPr>
    <w:rPr>
      <w:rFonts w:asciiTheme="minorHAnsi" w:hAnsiTheme="minorHAnsi"/>
      <w:sz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Grid-Accent21">
    <w:name w:val="Light Grid - Accent 21"/>
    <w:basedOn w:val="TableNormal"/>
    <w:next w:val="LightGrid-Accent2"/>
    <w:uiPriority w:val="62"/>
    <w:rsid w:val="00B95F03"/>
    <w:pPr>
      <w:spacing w:after="0" w:line="240" w:lineRule="auto"/>
    </w:pPr>
    <w:rPr>
      <w:rFonts w:asciiTheme="minorHAnsi" w:hAnsiTheme="minorHAnsi"/>
      <w:sz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List-Accent23">
    <w:name w:val="Light List - Accent 23"/>
    <w:basedOn w:val="TableNormal"/>
    <w:next w:val="LightList-Accent2"/>
    <w:uiPriority w:val="61"/>
    <w:rsid w:val="00B95F03"/>
    <w:pPr>
      <w:spacing w:after="0" w:line="240" w:lineRule="auto"/>
    </w:pPr>
    <w:rPr>
      <w:rFonts w:asciiTheme="minorHAnsi" w:hAnsiTheme="minorHAnsi"/>
      <w:sz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2">
    <w:name w:val="Light List - Accent 32"/>
    <w:basedOn w:val="TableNormal"/>
    <w:next w:val="LightList-Accent3"/>
    <w:uiPriority w:val="61"/>
    <w:rsid w:val="00EC7FDF"/>
    <w:pPr>
      <w:spacing w:after="0" w:line="240" w:lineRule="auto"/>
    </w:pPr>
    <w:rPr>
      <w:rFonts w:asciiTheme="minorHAnsi" w:hAnsiTheme="minorHAnsi"/>
      <w:sz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3">
    <w:name w:val="Light Grid - Accent 33"/>
    <w:basedOn w:val="TableNormal"/>
    <w:next w:val="LightGrid-Accent3"/>
    <w:uiPriority w:val="62"/>
    <w:rsid w:val="00EC7FDF"/>
    <w:pPr>
      <w:spacing w:after="0" w:line="240" w:lineRule="auto"/>
    </w:pPr>
    <w:rPr>
      <w:rFonts w:asciiTheme="minorHAnsi" w:hAnsiTheme="minorHAnsi"/>
      <w:sz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EC7FD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3">
    <w:name w:val="Light Grid Accent 3"/>
    <w:basedOn w:val="TableNormal"/>
    <w:uiPriority w:val="62"/>
    <w:rsid w:val="00EC7FD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List-Accent31">
    <w:name w:val="Light List - Accent 31"/>
    <w:basedOn w:val="TableNormal"/>
    <w:next w:val="LightList-Accent3"/>
    <w:uiPriority w:val="61"/>
    <w:rsid w:val="00C3669E"/>
    <w:pPr>
      <w:spacing w:after="0" w:line="240" w:lineRule="auto"/>
    </w:pPr>
    <w:rPr>
      <w:rFonts w:asciiTheme="minorHAnsi" w:hAnsiTheme="minorHAnsi"/>
      <w:sz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1">
    <w:name w:val="Light Grid - Accent 31"/>
    <w:basedOn w:val="TableNormal"/>
    <w:next w:val="LightGrid-Accent3"/>
    <w:uiPriority w:val="62"/>
    <w:rsid w:val="00C3669E"/>
    <w:pPr>
      <w:spacing w:after="0" w:line="240" w:lineRule="auto"/>
    </w:pPr>
    <w:rPr>
      <w:rFonts w:asciiTheme="minorHAnsi" w:hAnsiTheme="minorHAnsi"/>
      <w:sz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List-Accent33">
    <w:name w:val="Light List - Accent 33"/>
    <w:basedOn w:val="TableNormal"/>
    <w:next w:val="LightList-Accent3"/>
    <w:uiPriority w:val="61"/>
    <w:rsid w:val="00C3669E"/>
    <w:pPr>
      <w:spacing w:after="0" w:line="240" w:lineRule="auto"/>
    </w:pPr>
    <w:rPr>
      <w:rFonts w:asciiTheme="minorHAnsi" w:hAnsiTheme="minorHAnsi"/>
      <w:sz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34">
    <w:name w:val="Light List - Accent 34"/>
    <w:basedOn w:val="TableNormal"/>
    <w:next w:val="LightList-Accent3"/>
    <w:uiPriority w:val="61"/>
    <w:rsid w:val="008530B0"/>
    <w:pPr>
      <w:spacing w:after="0" w:line="240" w:lineRule="auto"/>
    </w:pPr>
    <w:rPr>
      <w:rFonts w:asciiTheme="minorHAnsi" w:hAnsiTheme="minorHAnsi"/>
      <w:sz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2">
    <w:name w:val="Light Grid - Accent 32"/>
    <w:basedOn w:val="TableNormal"/>
    <w:next w:val="LightGrid-Accent3"/>
    <w:uiPriority w:val="62"/>
    <w:rsid w:val="008530B0"/>
    <w:pPr>
      <w:spacing w:after="0" w:line="240" w:lineRule="auto"/>
    </w:pPr>
    <w:rPr>
      <w:rFonts w:asciiTheme="minorHAnsi" w:hAnsiTheme="minorHAnsi"/>
      <w:sz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List-Accent311">
    <w:name w:val="Light List - Accent 311"/>
    <w:basedOn w:val="TableNormal"/>
    <w:next w:val="LightList-Accent3"/>
    <w:uiPriority w:val="61"/>
    <w:rsid w:val="008530B0"/>
    <w:pPr>
      <w:spacing w:after="0" w:line="240" w:lineRule="auto"/>
    </w:pPr>
    <w:rPr>
      <w:rFonts w:asciiTheme="minorHAnsi" w:hAnsiTheme="minorHAnsi"/>
      <w:sz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5">
    <w:name w:val="Light Grid Accent 5"/>
    <w:basedOn w:val="TableNormal"/>
    <w:uiPriority w:val="62"/>
    <w:rsid w:val="005472BC"/>
    <w:pPr>
      <w:spacing w:after="0" w:line="240" w:lineRule="auto"/>
    </w:pPr>
    <w:rPr>
      <w:rFonts w:asciiTheme="minorHAnsi" w:hAnsiTheme="minorHAnsi"/>
      <w:sz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5">
    <w:name w:val="Light List Accent 5"/>
    <w:basedOn w:val="TableNormal"/>
    <w:uiPriority w:val="61"/>
    <w:rsid w:val="005472B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eGrid131">
    <w:name w:val="Table Grid131"/>
    <w:basedOn w:val="TableNormal"/>
    <w:next w:val="TableGrid"/>
    <w:uiPriority w:val="59"/>
    <w:rsid w:val="00BC2ED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E0E0E0"/>
      </w:tcPr>
    </w:tblStylePr>
  </w:style>
  <w:style w:type="table" w:customStyle="1" w:styleId="LightList-Accent61">
    <w:name w:val="Light List - Accent 61"/>
    <w:basedOn w:val="TableNormal"/>
    <w:next w:val="LightList-Accent6"/>
    <w:uiPriority w:val="61"/>
    <w:rsid w:val="00BC2EDF"/>
    <w:pPr>
      <w:spacing w:after="0" w:line="240" w:lineRule="auto"/>
    </w:pPr>
    <w:rPr>
      <w:rFonts w:asciiTheme="minorHAnsi" w:hAnsiTheme="minorHAnsi"/>
      <w:sz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Accent62">
    <w:name w:val="Light Grid - Accent 62"/>
    <w:basedOn w:val="TableNormal"/>
    <w:next w:val="LightGrid-Accent6"/>
    <w:uiPriority w:val="62"/>
    <w:rsid w:val="00BC2EDF"/>
    <w:pPr>
      <w:spacing w:after="0" w:line="240" w:lineRule="auto"/>
    </w:pPr>
    <w:rPr>
      <w:rFonts w:asciiTheme="minorHAnsi" w:hAnsiTheme="minorHAnsi"/>
      <w:sz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Grid-Accent63">
    <w:name w:val="Light Grid - Accent 63"/>
    <w:basedOn w:val="TableNormal"/>
    <w:next w:val="LightGrid-Accent6"/>
    <w:uiPriority w:val="62"/>
    <w:rsid w:val="005D12C1"/>
    <w:pPr>
      <w:spacing w:after="0" w:line="240" w:lineRule="auto"/>
    </w:pPr>
    <w:rPr>
      <w:rFonts w:asciiTheme="minorHAnsi" w:hAnsiTheme="minorHAnsi"/>
      <w:sz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List-Accent35">
    <w:name w:val="Light List - Accent 35"/>
    <w:basedOn w:val="TableNormal"/>
    <w:next w:val="LightList-Accent3"/>
    <w:uiPriority w:val="61"/>
    <w:rsid w:val="00754C76"/>
    <w:pPr>
      <w:spacing w:after="0" w:line="240" w:lineRule="auto"/>
    </w:pPr>
    <w:rPr>
      <w:rFonts w:asciiTheme="minorHAnsi" w:hAnsiTheme="minorHAnsi"/>
      <w:sz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4">
    <w:name w:val="Light Grid - Accent 34"/>
    <w:basedOn w:val="TableNormal"/>
    <w:next w:val="LightGrid-Accent3"/>
    <w:uiPriority w:val="62"/>
    <w:rsid w:val="00754C76"/>
    <w:pPr>
      <w:spacing w:after="0" w:line="240" w:lineRule="auto"/>
    </w:pPr>
    <w:rPr>
      <w:rFonts w:asciiTheme="minorHAnsi" w:hAnsiTheme="minorHAnsi"/>
      <w:sz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numbering" w:customStyle="1" w:styleId="NoList3">
    <w:name w:val="No List3"/>
    <w:next w:val="NoList"/>
    <w:uiPriority w:val="99"/>
    <w:semiHidden/>
    <w:unhideWhenUsed/>
    <w:rsid w:val="0010294D"/>
  </w:style>
  <w:style w:type="paragraph" w:styleId="PlainText">
    <w:name w:val="Plain Text"/>
    <w:basedOn w:val="Normal"/>
    <w:link w:val="PlainTextChar"/>
    <w:uiPriority w:val="99"/>
    <w:semiHidden/>
    <w:unhideWhenUsed/>
    <w:rsid w:val="0010294D"/>
    <w:pPr>
      <w:spacing w:after="0" w:line="240" w:lineRule="auto"/>
    </w:pPr>
    <w:rPr>
      <w:rFonts w:ascii="Calibri" w:hAnsi="Calibri" w:cs="Calibri"/>
      <w:sz w:val="22"/>
    </w:rPr>
  </w:style>
  <w:style w:type="character" w:customStyle="1" w:styleId="PlainTextChar">
    <w:name w:val="Plain Text Char"/>
    <w:basedOn w:val="DefaultParagraphFont"/>
    <w:link w:val="PlainText"/>
    <w:uiPriority w:val="99"/>
    <w:semiHidden/>
    <w:rsid w:val="0010294D"/>
    <w:rPr>
      <w:rFonts w:ascii="Calibri" w:hAnsi="Calibri" w:cs="Calibri"/>
      <w:sz w:val="22"/>
    </w:rPr>
  </w:style>
  <w:style w:type="table" w:customStyle="1" w:styleId="TableGrid4">
    <w:name w:val="Table Grid4"/>
    <w:basedOn w:val="TableNormal"/>
    <w:next w:val="TableGrid"/>
    <w:uiPriority w:val="59"/>
    <w:rsid w:val="0010294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CB040F"/>
    <w:pPr>
      <w:spacing w:after="0" w:line="240" w:lineRule="auto"/>
    </w:pPr>
    <w:rPr>
      <w:rFonts w:asciiTheme="minorHAnsi" w:hAnsiTheme="minorHAnsi"/>
      <w:color w:val="365F91" w:themeColor="accent1" w:themeShade="BF"/>
      <w:sz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Normal"/>
    <w:link w:val="TitleChar"/>
    <w:uiPriority w:val="10"/>
    <w:qFormat/>
    <w:rsid w:val="0048676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86767"/>
    <w:rPr>
      <w:rFonts w:asciiTheme="majorHAnsi" w:eastAsiaTheme="majorEastAsia" w:hAnsiTheme="majorHAnsi" w:cstheme="majorBidi"/>
      <w:color w:val="17365D" w:themeColor="text2" w:themeShade="BF"/>
      <w:spacing w:val="5"/>
      <w:kern w:val="28"/>
      <w:sz w:val="52"/>
      <w:szCs w:val="52"/>
    </w:rPr>
  </w:style>
  <w:style w:type="table" w:styleId="MediumShading1-Accent6">
    <w:name w:val="Medium Shading 1 Accent 6"/>
    <w:basedOn w:val="TableNormal"/>
    <w:uiPriority w:val="63"/>
    <w:rsid w:val="003A58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A030B"/>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A1DB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72FE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62B45"/>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LightList-Accent36">
    <w:name w:val="Light List - Accent 36"/>
    <w:basedOn w:val="TableNormal"/>
    <w:next w:val="LightList-Accent3"/>
    <w:uiPriority w:val="61"/>
    <w:rsid w:val="00A13DF6"/>
    <w:pPr>
      <w:spacing w:after="0" w:line="240" w:lineRule="auto"/>
    </w:pPr>
    <w:rPr>
      <w:rFonts w:asciiTheme="minorHAnsi" w:hAnsiTheme="minorHAnsi"/>
      <w:sz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5">
    <w:name w:val="Light Grid - Accent 35"/>
    <w:basedOn w:val="TableNormal"/>
    <w:next w:val="LightGrid-Accent3"/>
    <w:uiPriority w:val="62"/>
    <w:rsid w:val="00A13DF6"/>
    <w:pPr>
      <w:spacing w:after="0" w:line="240" w:lineRule="auto"/>
    </w:pPr>
    <w:rPr>
      <w:rFonts w:asciiTheme="minorHAnsi" w:hAnsiTheme="minorHAnsi"/>
      <w:sz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11">
    <w:name w:val="Medium Shading 1 - Accent 11"/>
    <w:basedOn w:val="TableNormal"/>
    <w:next w:val="MediumShading1-Accent1"/>
    <w:uiPriority w:val="63"/>
    <w:rsid w:val="00FA41A7"/>
    <w:pPr>
      <w:spacing w:after="0" w:line="240" w:lineRule="auto"/>
    </w:pPr>
    <w:rPr>
      <w:rFonts w:eastAsia="Times New Roman" w:cs="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pPr>
      <w:rPr>
        <w:rFonts w:cs="Times New Roman"/>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pPr>
      <w:rPr>
        <w:rFonts w:cs="Times New Roman"/>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hemeFill="accent1" w:themeFillTint="3F"/>
      </w:tcPr>
    </w:tblStylePr>
    <w:tblStylePr w:type="band1Horz">
      <w:rPr>
        <w:rFonts w:cs="Times New Roman"/>
      </w:rPr>
      <w:tblPr/>
      <w:tcPr>
        <w:tcBorders>
          <w:insideH w:val="nil"/>
          <w:insideV w:val="nil"/>
        </w:tcBorders>
        <w:shd w:val="clear" w:color="auto" w:fill="D3DFEE" w:themeFill="accent1" w:themeFillTint="3F"/>
      </w:tcPr>
    </w:tblStylePr>
    <w:tblStylePr w:type="band2Horz">
      <w:rPr>
        <w:rFonts w:cs="Times New Roman"/>
      </w:rPr>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502940">
      <w:bodyDiv w:val="1"/>
      <w:marLeft w:val="0"/>
      <w:marRight w:val="0"/>
      <w:marTop w:val="0"/>
      <w:marBottom w:val="0"/>
      <w:divBdr>
        <w:top w:val="none" w:sz="0" w:space="0" w:color="auto"/>
        <w:left w:val="none" w:sz="0" w:space="0" w:color="auto"/>
        <w:bottom w:val="none" w:sz="0" w:space="0" w:color="auto"/>
        <w:right w:val="none" w:sz="0" w:space="0" w:color="auto"/>
      </w:divBdr>
      <w:divsChild>
        <w:div w:id="143544947">
          <w:marLeft w:val="0"/>
          <w:marRight w:val="0"/>
          <w:marTop w:val="0"/>
          <w:marBottom w:val="0"/>
          <w:divBdr>
            <w:top w:val="none" w:sz="0" w:space="0" w:color="auto"/>
            <w:left w:val="none" w:sz="0" w:space="0" w:color="auto"/>
            <w:bottom w:val="none" w:sz="0" w:space="0" w:color="auto"/>
            <w:right w:val="none" w:sz="0" w:space="0" w:color="auto"/>
          </w:divBdr>
        </w:div>
      </w:divsChild>
    </w:div>
    <w:div w:id="1236478980">
      <w:bodyDiv w:val="1"/>
      <w:marLeft w:val="0"/>
      <w:marRight w:val="0"/>
      <w:marTop w:val="0"/>
      <w:marBottom w:val="0"/>
      <w:divBdr>
        <w:top w:val="none" w:sz="0" w:space="0" w:color="auto"/>
        <w:left w:val="none" w:sz="0" w:space="0" w:color="auto"/>
        <w:bottom w:val="none" w:sz="0" w:space="0" w:color="auto"/>
        <w:right w:val="none" w:sz="0" w:space="0" w:color="auto"/>
      </w:divBdr>
    </w:div>
    <w:div w:id="1403259326">
      <w:bodyDiv w:val="1"/>
      <w:marLeft w:val="0"/>
      <w:marRight w:val="0"/>
      <w:marTop w:val="0"/>
      <w:marBottom w:val="0"/>
      <w:divBdr>
        <w:top w:val="none" w:sz="0" w:space="0" w:color="auto"/>
        <w:left w:val="none" w:sz="0" w:space="0" w:color="auto"/>
        <w:bottom w:val="none" w:sz="0" w:space="0" w:color="auto"/>
        <w:right w:val="none" w:sz="0" w:space="0" w:color="auto"/>
      </w:divBdr>
    </w:div>
    <w:div w:id="167753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nrd.nhtsa.dot.gov/pubs/812013.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chart" Target="charts/chart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chart" Target="charts/chart3.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papermag.com/can-you-survive-the-highlights-from-this-john-mayer-profile-2326539948.html" TargetMode="External"/><Relationship Id="rId22" Type="http://schemas.openxmlformats.org/officeDocument/2006/relationships/chart" Target="charts/chart2.xm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factfinder.census.gov/faces/tableservices/jsf/pages/productview.xhtml?pid=CFS_2012_00H01&amp;prodType=table"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chartUserShapes" Target="../drawings/drawing2.xml"/><Relationship Id="rId1" Type="http://schemas.openxmlformats.org/officeDocument/2006/relationships/package" Target="../embeddings/Microsoft_Excel_Worksheet3.xlsx"/><Relationship Id="rId4"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lgn="ctr">
              <a:lnSpc>
                <a:spcPct val="100000"/>
              </a:lnSpc>
              <a:defRPr sz="1100" b="1" spc="50" baseline="0"/>
            </a:pPr>
            <a:r>
              <a:rPr lang="en-US" sz="1100" b="1" spc="100" baseline="0"/>
              <a:t>86 percent reduction</a:t>
            </a:r>
          </a:p>
          <a:p>
            <a:pPr algn="ctr">
              <a:lnSpc>
                <a:spcPct val="100000"/>
              </a:lnSpc>
              <a:defRPr sz="1100" b="1" spc="50" baseline="0"/>
            </a:pPr>
            <a:r>
              <a:rPr lang="en-US" sz="1100" b="1" spc="100" baseline="0"/>
              <a:t>from 1980 to 2015</a:t>
            </a:r>
          </a:p>
          <a:p>
            <a:pPr algn="ctr">
              <a:lnSpc>
                <a:spcPct val="100000"/>
              </a:lnSpc>
              <a:defRPr sz="1100" b="1" spc="50" baseline="0"/>
            </a:pPr>
            <a:endParaRPr lang="en-US" sz="1100" b="1" spc="100" baseline="0"/>
          </a:p>
          <a:p>
            <a:pPr algn="ctr">
              <a:lnSpc>
                <a:spcPct val="100000"/>
              </a:lnSpc>
              <a:defRPr sz="1100" b="1" spc="50" baseline="0"/>
            </a:pPr>
            <a:r>
              <a:rPr lang="en-US" sz="1100" b="1" spc="100" baseline="0"/>
              <a:t>2 percent reduction</a:t>
            </a:r>
          </a:p>
          <a:p>
            <a:pPr algn="ctr">
              <a:lnSpc>
                <a:spcPct val="100000"/>
              </a:lnSpc>
              <a:defRPr sz="1100" b="1" spc="50" baseline="0"/>
            </a:pPr>
            <a:r>
              <a:rPr lang="en-US" sz="1100" b="1" spc="100" baseline="0"/>
              <a:t>from 2011 to 2015 </a:t>
            </a:r>
          </a:p>
        </c:rich>
      </c:tx>
      <c:layout>
        <c:manualLayout>
          <c:xMode val="edge"/>
          <c:yMode val="edge"/>
          <c:x val="0.52164935960505854"/>
          <c:y val="0.20581209128519948"/>
        </c:manualLayout>
      </c:layout>
      <c:overlay val="0"/>
      <c:spPr>
        <a:solidFill>
          <a:sysClr val="window" lastClr="FFFFFF">
            <a:lumMod val="85000"/>
          </a:sysClr>
        </a:solidFill>
        <a:ln>
          <a:solidFill>
            <a:sysClr val="windowText" lastClr="000000">
              <a:lumMod val="50000"/>
              <a:lumOff val="50000"/>
            </a:sysClr>
          </a:solidFill>
        </a:ln>
      </c:spPr>
    </c:title>
    <c:autoTitleDeleted val="0"/>
    <c:plotArea>
      <c:layout>
        <c:manualLayout>
          <c:layoutTarget val="inner"/>
          <c:xMode val="edge"/>
          <c:yMode val="edge"/>
          <c:x val="0.10350247992544356"/>
          <c:y val="0.17299627800762193"/>
          <c:w val="0.85063856757736744"/>
          <c:h val="0.64504945356406718"/>
        </c:manualLayout>
      </c:layout>
      <c:lineChart>
        <c:grouping val="standard"/>
        <c:varyColors val="0"/>
        <c:ser>
          <c:idx val="0"/>
          <c:order val="0"/>
          <c:tx>
            <c:strRef>
              <c:f>'Chart Data'!$A$3</c:f>
              <c:strCache>
                <c:ptCount val="1"/>
                <c:pt idx="0">
                  <c:v>Number of Accidents and Incidents 
per million train-miles</c:v>
                </c:pt>
              </c:strCache>
            </c:strRef>
          </c:tx>
          <c:spPr>
            <a:ln w="31750"/>
          </c:spPr>
          <c:marker>
            <c:symbol val="none"/>
          </c:marker>
          <c:dPt>
            <c:idx val="0"/>
            <c:bubble3D val="0"/>
            <c:extLst xmlns:c16r2="http://schemas.microsoft.com/office/drawing/2015/06/chart">
              <c:ext xmlns:c16="http://schemas.microsoft.com/office/drawing/2014/chart" uri="{C3380CC4-5D6E-409C-BE32-E72D297353CC}">
                <c16:uniqueId val="{00000000-1734-4355-941E-34C5F28C8CAD}"/>
              </c:ext>
            </c:extLst>
          </c:dPt>
          <c:dPt>
            <c:idx val="1"/>
            <c:bubble3D val="0"/>
            <c:extLst xmlns:c16r2="http://schemas.microsoft.com/office/drawing/2015/06/chart">
              <c:ext xmlns:c16="http://schemas.microsoft.com/office/drawing/2014/chart" uri="{C3380CC4-5D6E-409C-BE32-E72D297353CC}">
                <c16:uniqueId val="{00000001-1734-4355-941E-34C5F28C8CAD}"/>
              </c:ext>
            </c:extLst>
          </c:dPt>
          <c:dPt>
            <c:idx val="34"/>
            <c:bubble3D val="0"/>
            <c:extLst xmlns:c16r2="http://schemas.microsoft.com/office/drawing/2015/06/chart">
              <c:ext xmlns:c16="http://schemas.microsoft.com/office/drawing/2014/chart" uri="{C3380CC4-5D6E-409C-BE32-E72D297353CC}">
                <c16:uniqueId val="{00000002-1734-4355-941E-34C5F28C8CAD}"/>
              </c:ext>
            </c:extLst>
          </c:dPt>
          <c:dLbls>
            <c:dLbl>
              <c:idx val="0"/>
              <c:layout>
                <c:manualLayout>
                  <c:x val="-1.4006842035914459E-2"/>
                  <c:y val="-5.0529753696042234E-2"/>
                </c:manualLayout>
              </c:layout>
              <c:tx>
                <c:rich>
                  <a:bodyPr/>
                  <a:lstStyle/>
                  <a:p>
                    <a:r>
                      <a:rPr lang="en-US" b="0"/>
                      <a:t>110.6</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734-4355-941E-34C5F28C8CAD}"/>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734-4355-941E-34C5F28C8CAD}"/>
                </c:ext>
              </c:extLst>
            </c:dLbl>
            <c:dLbl>
              <c:idx val="34"/>
              <c:layout>
                <c:manualLayout>
                  <c:x val="-3.0969012713645314E-2"/>
                  <c:y val="-6.3041431261770239E-2"/>
                </c:manualLayout>
              </c:layout>
              <c:tx>
                <c:rich>
                  <a:bodyPr/>
                  <a:lstStyle/>
                  <a:p>
                    <a:r>
                      <a:rPr lang="en-US" b="0"/>
                      <a:t>15.7</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734-4355-941E-34C5F28C8CAD}"/>
                </c:ext>
              </c:extLst>
            </c:dLbl>
            <c:spPr>
              <a:solidFill>
                <a:srgbClr val="4F81BD"/>
              </a:solidFill>
              <a:ln>
                <a:solidFill>
                  <a:sysClr val="windowText" lastClr="000000">
                    <a:lumMod val="50000"/>
                    <a:lumOff val="50000"/>
                  </a:sysClr>
                </a:solidFill>
              </a:ln>
              <a:effectLst/>
            </c:spPr>
            <c:txPr>
              <a:bodyPr/>
              <a:lstStyle/>
              <a:p>
                <a:pPr>
                  <a:defRPr b="0">
                    <a:solidFill>
                      <a:schemeClr val="bg1"/>
                    </a:solidFill>
                  </a:defRPr>
                </a:pPr>
                <a:endParaRPr lang="en-U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'Chart Data'!$B$2:$AK$2</c:f>
              <c:numCache>
                <c:formatCode>General</c:formatCode>
                <c:ptCount val="36"/>
                <c:pt idx="0">
                  <c:v>1980</c:v>
                </c:pt>
                <c:pt idx="10">
                  <c:v>1990</c:v>
                </c:pt>
                <c:pt idx="20">
                  <c:v>2000</c:v>
                </c:pt>
                <c:pt idx="30">
                  <c:v>2010</c:v>
                </c:pt>
                <c:pt idx="35">
                  <c:v>2015</c:v>
                </c:pt>
              </c:numCache>
            </c:numRef>
          </c:cat>
          <c:val>
            <c:numRef>
              <c:f>'Chart Data'!$B$3:$AK$3</c:f>
              <c:numCache>
                <c:formatCode>#,##0.0</c:formatCode>
                <c:ptCount val="36"/>
                <c:pt idx="0">
                  <c:v>110.577</c:v>
                </c:pt>
                <c:pt idx="1">
                  <c:v>97.04</c:v>
                </c:pt>
                <c:pt idx="2">
                  <c:v>89.397999999999996</c:v>
                </c:pt>
                <c:pt idx="3">
                  <c:v>78.301000000000002</c:v>
                </c:pt>
                <c:pt idx="4">
                  <c:v>77.585999999999999</c:v>
                </c:pt>
                <c:pt idx="5">
                  <c:v>75.238</c:v>
                </c:pt>
                <c:pt idx="6">
                  <c:v>61.716999999999999</c:v>
                </c:pt>
                <c:pt idx="7">
                  <c:v>55.893000000000001</c:v>
                </c:pt>
                <c:pt idx="8">
                  <c:v>55.021999999999998</c:v>
                </c:pt>
                <c:pt idx="9">
                  <c:v>53.750999999999998</c:v>
                </c:pt>
                <c:pt idx="10">
                  <c:v>51.972999999999999</c:v>
                </c:pt>
                <c:pt idx="11">
                  <c:v>50.835000000000001</c:v>
                </c:pt>
                <c:pt idx="12">
                  <c:v>46.719000000000001</c:v>
                </c:pt>
                <c:pt idx="13">
                  <c:v>42.206000000000003</c:v>
                </c:pt>
                <c:pt idx="14">
                  <c:v>35.847999999999999</c:v>
                </c:pt>
                <c:pt idx="15">
                  <c:v>29.773</c:v>
                </c:pt>
                <c:pt idx="16">
                  <c:v>26.969000000000001</c:v>
                </c:pt>
                <c:pt idx="17">
                  <c:v>24.957999999999998</c:v>
                </c:pt>
                <c:pt idx="18">
                  <c:v>24.446999999999999</c:v>
                </c:pt>
                <c:pt idx="19">
                  <c:v>23.917000000000002</c:v>
                </c:pt>
                <c:pt idx="20">
                  <c:v>22.838999999999999</c:v>
                </c:pt>
                <c:pt idx="21">
                  <c:v>23.443000000000001</c:v>
                </c:pt>
                <c:pt idx="22">
                  <c:v>20.038</c:v>
                </c:pt>
                <c:pt idx="23">
                  <c:v>19.445</c:v>
                </c:pt>
                <c:pt idx="24">
                  <c:v>19.039000000000001</c:v>
                </c:pt>
                <c:pt idx="25">
                  <c:v>18.093</c:v>
                </c:pt>
                <c:pt idx="26">
                  <c:v>17.524999999999999</c:v>
                </c:pt>
                <c:pt idx="27">
                  <c:v>17.297999999999998</c:v>
                </c:pt>
                <c:pt idx="28">
                  <c:v>16.908000000000001</c:v>
                </c:pt>
                <c:pt idx="29">
                  <c:v>16.873000000000001</c:v>
                </c:pt>
                <c:pt idx="30">
                  <c:v>16.7</c:v>
                </c:pt>
                <c:pt idx="31">
                  <c:v>16.094999999999999</c:v>
                </c:pt>
                <c:pt idx="32">
                  <c:v>15.250999999999999</c:v>
                </c:pt>
                <c:pt idx="33">
                  <c:v>15.3</c:v>
                </c:pt>
                <c:pt idx="34">
                  <c:v>16.100000000000001</c:v>
                </c:pt>
                <c:pt idx="35" formatCode="General">
                  <c:v>15.7</c:v>
                </c:pt>
              </c:numCache>
            </c:numRef>
          </c:val>
          <c:smooth val="0"/>
          <c:extLst xmlns:c16r2="http://schemas.microsoft.com/office/drawing/2015/06/chart">
            <c:ext xmlns:c16="http://schemas.microsoft.com/office/drawing/2014/chart" uri="{C3380CC4-5D6E-409C-BE32-E72D297353CC}">
              <c16:uniqueId val="{00000003-1734-4355-941E-34C5F28C8CAD}"/>
            </c:ext>
          </c:extLst>
        </c:ser>
        <c:dLbls>
          <c:showLegendKey val="0"/>
          <c:showVal val="0"/>
          <c:showCatName val="0"/>
          <c:showSerName val="0"/>
          <c:showPercent val="0"/>
          <c:showBubbleSize val="0"/>
        </c:dLbls>
        <c:marker val="1"/>
        <c:smooth val="0"/>
        <c:axId val="89066496"/>
        <c:axId val="89072768"/>
      </c:lineChart>
      <c:catAx>
        <c:axId val="89066496"/>
        <c:scaling>
          <c:orientation val="minMax"/>
        </c:scaling>
        <c:delete val="0"/>
        <c:axPos val="b"/>
        <c:title>
          <c:tx>
            <c:rich>
              <a:bodyPr/>
              <a:lstStyle/>
              <a:p>
                <a:pPr>
                  <a:defRPr sz="800" b="1"/>
                </a:pPr>
                <a:r>
                  <a:rPr lang="en-US" sz="800" b="1"/>
                  <a:t>Fiscal Year</a:t>
                </a:r>
              </a:p>
            </c:rich>
          </c:tx>
          <c:layout>
            <c:manualLayout>
              <c:xMode val="edge"/>
              <c:yMode val="edge"/>
              <c:x val="5.200314629212402E-2"/>
              <c:y val="0.89816138252179567"/>
            </c:manualLayout>
          </c:layout>
          <c:overlay val="0"/>
        </c:title>
        <c:numFmt formatCode="General" sourceLinked="1"/>
        <c:majorTickMark val="out"/>
        <c:minorTickMark val="none"/>
        <c:tickLblPos val="nextTo"/>
        <c:spPr>
          <a:ln w="19050"/>
        </c:spPr>
        <c:txPr>
          <a:bodyPr/>
          <a:lstStyle/>
          <a:p>
            <a:pPr>
              <a:defRPr sz="900"/>
            </a:pPr>
            <a:endParaRPr lang="en-US"/>
          </a:p>
        </c:txPr>
        <c:crossAx val="89072768"/>
        <c:crosses val="autoZero"/>
        <c:auto val="1"/>
        <c:lblAlgn val="ctr"/>
        <c:lblOffset val="100"/>
        <c:tickLblSkip val="1"/>
        <c:tickMarkSkip val="5"/>
        <c:noMultiLvlLbl val="0"/>
      </c:catAx>
      <c:valAx>
        <c:axId val="89072768"/>
        <c:scaling>
          <c:orientation val="minMax"/>
          <c:max val="125"/>
        </c:scaling>
        <c:delete val="0"/>
        <c:axPos val="l"/>
        <c:majorGridlines>
          <c:spPr>
            <a:ln w="9525" cap="flat" cmpd="sng" algn="ctr">
              <a:solidFill>
                <a:schemeClr val="accent5">
                  <a:shade val="95000"/>
                  <a:satMod val="105000"/>
                </a:schemeClr>
              </a:solidFill>
              <a:prstDash val="solid"/>
            </a:ln>
            <a:effectLst/>
          </c:spPr>
        </c:majorGridlines>
        <c:title>
          <c:tx>
            <c:rich>
              <a:bodyPr rot="0" vert="horz"/>
              <a:lstStyle/>
              <a:p>
                <a:pPr algn="l">
                  <a:defRPr sz="800" b="1"/>
                </a:pPr>
                <a:r>
                  <a:rPr lang="en-US" sz="800" b="1"/>
                  <a:t>Rate</a:t>
                </a:r>
                <a:r>
                  <a:rPr lang="en-US" sz="800" b="1" baseline="0"/>
                  <a:t> </a:t>
                </a:r>
                <a:r>
                  <a:rPr lang="en-US" sz="800" b="1"/>
                  <a:t>per million train-miles</a:t>
                </a:r>
              </a:p>
            </c:rich>
          </c:tx>
          <c:layout>
            <c:manualLayout>
              <c:xMode val="edge"/>
              <c:yMode val="edge"/>
              <c:x val="3.5215999245971866E-2"/>
              <c:y val="3.0543692631641382E-2"/>
            </c:manualLayout>
          </c:layout>
          <c:overlay val="0"/>
        </c:title>
        <c:numFmt formatCode="#,##0" sourceLinked="0"/>
        <c:majorTickMark val="out"/>
        <c:minorTickMark val="none"/>
        <c:tickLblPos val="nextTo"/>
        <c:spPr>
          <a:ln w="19050"/>
        </c:spPr>
        <c:txPr>
          <a:bodyPr/>
          <a:lstStyle/>
          <a:p>
            <a:pPr>
              <a:defRPr sz="900"/>
            </a:pPr>
            <a:endParaRPr lang="en-US"/>
          </a:p>
        </c:txPr>
        <c:crossAx val="89066496"/>
        <c:crosses val="autoZero"/>
        <c:crossBetween val="between"/>
        <c:majorUnit val="25"/>
        <c:minorUnit val="5"/>
      </c:valAx>
      <c:spPr>
        <a:noFill/>
        <a:ln w="25400">
          <a:noFill/>
        </a:ln>
      </c:spPr>
    </c:plotArea>
    <c:plotVisOnly val="1"/>
    <c:dispBlanksAs val="gap"/>
    <c:showDLblsOverMax val="0"/>
  </c:chart>
  <c:spPr>
    <a:solidFill>
      <a:schemeClr val="lt1"/>
    </a:solidFill>
    <a:ln w="19050" cap="flat" cmpd="sng" algn="ctr">
      <a:solidFill>
        <a:schemeClr val="bg1">
          <a:lumMod val="50000"/>
        </a:schemeClr>
      </a:solidFill>
      <a:prstDash val="solid"/>
    </a:ln>
    <a:effectLst>
      <a:glow rad="101600">
        <a:schemeClr val="bg1">
          <a:lumMod val="50000"/>
          <a:alpha val="40000"/>
        </a:schemeClr>
      </a:glow>
    </a:effectLst>
  </c:spPr>
  <c:txPr>
    <a:bodyPr/>
    <a:lstStyle/>
    <a:p>
      <a:pPr>
        <a:defRPr>
          <a:solidFill>
            <a:schemeClr val="dk1"/>
          </a:solidFill>
          <a:latin typeface="Arial" panose="020B0604020202020204" pitchFamily="34" charset="0"/>
          <a:ea typeface="+mn-ea"/>
          <a:cs typeface="Arial" panose="020B060402020202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40"/>
      <c:rAngAx val="1"/>
    </c:view3D>
    <c:floor>
      <c:thickness val="0"/>
      <c:spPr>
        <a:noFill/>
        <a:ln>
          <a:noFill/>
        </a:ln>
        <a:effectLst/>
        <a:sp3d/>
      </c:spPr>
    </c:floor>
    <c:sideWall>
      <c:thickness val="0"/>
      <c:spPr>
        <a:noFill/>
        <a:ln>
          <a:solidFill>
            <a:schemeClr val="tx1">
              <a:lumMod val="50000"/>
              <a:lumOff val="50000"/>
            </a:schemeClr>
          </a:solidFill>
        </a:ln>
        <a:effectLst/>
        <a:sp3d>
          <a:contourClr>
            <a:schemeClr val="tx1">
              <a:lumMod val="50000"/>
              <a:lumOff val="50000"/>
            </a:schemeClr>
          </a:contourClr>
        </a:sp3d>
      </c:spPr>
    </c:sideWall>
    <c:backWall>
      <c:thickness val="0"/>
      <c:spPr>
        <a:noFill/>
        <a:ln>
          <a:solidFill>
            <a:schemeClr val="tx1">
              <a:lumMod val="50000"/>
              <a:lumOff val="50000"/>
            </a:schemeClr>
          </a:solidFill>
        </a:ln>
        <a:effectLst/>
        <a:sp3d>
          <a:contourClr>
            <a:schemeClr val="tx1">
              <a:lumMod val="50000"/>
              <a:lumOff val="50000"/>
            </a:schemeClr>
          </a:contourClr>
        </a:sp3d>
      </c:spPr>
    </c:backWall>
    <c:plotArea>
      <c:layout>
        <c:manualLayout>
          <c:layoutTarget val="inner"/>
          <c:xMode val="edge"/>
          <c:yMode val="edge"/>
          <c:x val="7.2579286964129477E-2"/>
          <c:y val="0.14514213139977061"/>
          <c:w val="0.9170002187226598"/>
          <c:h val="0.69867275939538032"/>
        </c:manualLayout>
      </c:layout>
      <c:bar3DChart>
        <c:barDir val="col"/>
        <c:grouping val="standard"/>
        <c:varyColors val="0"/>
        <c:ser>
          <c:idx val="10"/>
          <c:order val="0"/>
          <c:tx>
            <c:strRef>
              <c:f>'[Chart in Microsoft Word]Sheet1'!$B$5</c:f>
              <c:strCache>
                <c:ptCount val="1"/>
                <c:pt idx="0">
                  <c:v>Crude oil</c:v>
                </c:pt>
              </c:strCache>
            </c:strRef>
          </c:tx>
          <c:spPr>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a:effectLst/>
            <a:scene3d>
              <a:camera prst="orthographicFront">
                <a:rot lat="0" lon="0" rev="0"/>
              </a:camera>
              <a:lightRig rig="threePt" dir="t">
                <a:rot lat="0" lon="0" rev="1200000"/>
              </a:lightRig>
            </a:scene3d>
            <a:sp3d>
              <a:bevelT w="63500" h="25400"/>
            </a:sp3d>
          </c:spPr>
          <c:invertIfNegative val="0"/>
          <c:cat>
            <c:numRef>
              <c:f>'[Chart in Microsoft Word]Sheet1'!$A$6:$A$18</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'[Chart in Microsoft Word]Sheet1'!$B$6:$B$18</c:f>
              <c:numCache>
                <c:formatCode>General</c:formatCode>
                <c:ptCount val="11"/>
                <c:pt idx="0">
                  <c:v>7098</c:v>
                </c:pt>
                <c:pt idx="1">
                  <c:v>6083</c:v>
                </c:pt>
                <c:pt idx="2">
                  <c:v>7007</c:v>
                </c:pt>
                <c:pt idx="3">
                  <c:v>11892</c:v>
                </c:pt>
                <c:pt idx="4">
                  <c:v>12901</c:v>
                </c:pt>
                <c:pt idx="5">
                  <c:v>27979</c:v>
                </c:pt>
                <c:pt idx="6">
                  <c:v>81452</c:v>
                </c:pt>
                <c:pt idx="7">
                  <c:v>266495</c:v>
                </c:pt>
                <c:pt idx="8">
                  <c:v>485384</c:v>
                </c:pt>
                <c:pt idx="9">
                  <c:v>582000</c:v>
                </c:pt>
              </c:numCache>
            </c:numRef>
          </c:val>
          <c:extLst xmlns:c16r2="http://schemas.microsoft.com/office/drawing/2015/06/chart">
            <c:ext xmlns:c16="http://schemas.microsoft.com/office/drawing/2014/chart" uri="{C3380CC4-5D6E-409C-BE32-E72D297353CC}">
              <c16:uniqueId val="{00000000-2831-4A02-A9EB-8F7B77E07730}"/>
            </c:ext>
          </c:extLst>
        </c:ser>
        <c:ser>
          <c:idx val="1"/>
          <c:order val="1"/>
          <c:tx>
            <c:strRef>
              <c:f>'[Chart in Microsoft Word]Sheet1'!$D$5</c:f>
              <c:strCache>
                <c:ptCount val="1"/>
                <c:pt idx="0">
                  <c:v>Poison Inhalation Hazard</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'[Chart in Microsoft Word]Sheet1'!$A$6:$A$18</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'[Chart in Microsoft Word]Sheet1'!$D$6:$D$18</c:f>
              <c:numCache>
                <c:formatCode>General</c:formatCode>
                <c:ptCount val="11"/>
                <c:pt idx="0">
                  <c:v>104956</c:v>
                </c:pt>
                <c:pt idx="1">
                  <c:v>101512</c:v>
                </c:pt>
                <c:pt idx="2">
                  <c:v>103032</c:v>
                </c:pt>
                <c:pt idx="3">
                  <c:v>97657</c:v>
                </c:pt>
                <c:pt idx="4">
                  <c:v>80705</c:v>
                </c:pt>
                <c:pt idx="5">
                  <c:v>86102</c:v>
                </c:pt>
                <c:pt idx="6">
                  <c:v>86392</c:v>
                </c:pt>
                <c:pt idx="7">
                  <c:v>80057</c:v>
                </c:pt>
                <c:pt idx="8">
                  <c:v>81559</c:v>
                </c:pt>
                <c:pt idx="9">
                  <c:v>83000</c:v>
                </c:pt>
              </c:numCache>
            </c:numRef>
          </c:val>
          <c:extLst xmlns:c16r2="http://schemas.microsoft.com/office/drawing/2015/06/chart">
            <c:ext xmlns:c16="http://schemas.microsoft.com/office/drawing/2014/chart" uri="{C3380CC4-5D6E-409C-BE32-E72D297353CC}">
              <c16:uniqueId val="{00000001-2831-4A02-A9EB-8F7B77E07730}"/>
            </c:ext>
          </c:extLst>
        </c:ser>
        <c:ser>
          <c:idx val="0"/>
          <c:order val="2"/>
          <c:tx>
            <c:strRef>
              <c:f>'[Chart in Microsoft Word]Sheet1'!$C$5</c:f>
              <c:strCache>
                <c:ptCount val="1"/>
                <c:pt idx="0">
                  <c:v>Ethanol</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'[Chart in Microsoft Word]Sheet1'!$A$6:$A$18</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'[Chart in Microsoft Word]Sheet1'!$C$6:$C$18</c:f>
              <c:numCache>
                <c:formatCode>General</c:formatCode>
                <c:ptCount val="11"/>
                <c:pt idx="0">
                  <c:v>77369</c:v>
                </c:pt>
                <c:pt idx="1">
                  <c:v>121031</c:v>
                </c:pt>
                <c:pt idx="2">
                  <c:v>158460</c:v>
                </c:pt>
                <c:pt idx="3">
                  <c:v>223221</c:v>
                </c:pt>
                <c:pt idx="4">
                  <c:v>262636</c:v>
                </c:pt>
                <c:pt idx="5">
                  <c:v>326643</c:v>
                </c:pt>
                <c:pt idx="6">
                  <c:v>320026</c:v>
                </c:pt>
                <c:pt idx="7">
                  <c:v>303744</c:v>
                </c:pt>
                <c:pt idx="8">
                  <c:v>296827</c:v>
                </c:pt>
                <c:pt idx="9">
                  <c:v>302000</c:v>
                </c:pt>
              </c:numCache>
            </c:numRef>
          </c:val>
          <c:extLst xmlns:c16r2="http://schemas.microsoft.com/office/drawing/2015/06/chart">
            <c:ext xmlns:c16="http://schemas.microsoft.com/office/drawing/2014/chart" uri="{C3380CC4-5D6E-409C-BE32-E72D297353CC}">
              <c16:uniqueId val="{00000002-2831-4A02-A9EB-8F7B77E07730}"/>
            </c:ext>
          </c:extLst>
        </c:ser>
        <c:dLbls>
          <c:showLegendKey val="0"/>
          <c:showVal val="0"/>
          <c:showCatName val="0"/>
          <c:showSerName val="0"/>
          <c:showPercent val="0"/>
          <c:showBubbleSize val="0"/>
        </c:dLbls>
        <c:gapWidth val="60"/>
        <c:gapDepth val="233"/>
        <c:shape val="box"/>
        <c:axId val="95158272"/>
        <c:axId val="95160192"/>
        <c:axId val="88892736"/>
      </c:bar3DChart>
      <c:catAx>
        <c:axId val="9515827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a:t>Calendar Year</a:t>
                </a:r>
              </a:p>
            </c:rich>
          </c:tx>
          <c:layout>
            <c:manualLayout>
              <c:xMode val="edge"/>
              <c:yMode val="edge"/>
              <c:x val="0.31267368722562239"/>
              <c:y val="0.9145891043397969"/>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50000"/>
                <a:lumOff val="5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5160192"/>
        <c:crosses val="autoZero"/>
        <c:auto val="1"/>
        <c:lblAlgn val="ctr"/>
        <c:lblOffset val="100"/>
        <c:tickLblSkip val="2"/>
        <c:noMultiLvlLbl val="0"/>
      </c:catAx>
      <c:valAx>
        <c:axId val="95160192"/>
        <c:scaling>
          <c:orientation val="minMax"/>
        </c:scaling>
        <c:delete val="0"/>
        <c:axPos val="l"/>
        <c:majorGridlines>
          <c:spPr>
            <a:ln w="9525" cap="flat" cmpd="sng" algn="ctr">
              <a:solidFill>
                <a:schemeClr val="tx1">
                  <a:lumMod val="50000"/>
                  <a:lumOff val="50000"/>
                </a:schemeClr>
              </a:solidFill>
              <a:round/>
            </a:ln>
            <a:effectLst/>
          </c:spPr>
        </c:majorGridlines>
        <c:title>
          <c:tx>
            <c:rich>
              <a:bodyPr rot="0" spcFirstLastPara="1" vertOverflow="ellipsis" wrap="square" anchor="ctr" anchorCtr="1"/>
              <a:lstStyle/>
              <a:p>
                <a:pPr algn="l">
                  <a:defRPr sz="1000" b="1" i="0" u="none" strike="noStrike" kern="1200" baseline="0">
                    <a:solidFill>
                      <a:schemeClr val="tx1">
                        <a:lumMod val="65000"/>
                        <a:lumOff val="35000"/>
                      </a:schemeClr>
                    </a:solidFill>
                    <a:latin typeface="+mn-lt"/>
                    <a:ea typeface="+mn-ea"/>
                    <a:cs typeface="+mn-cs"/>
                  </a:defRPr>
                </a:pPr>
                <a:r>
                  <a:rPr lang="en-US" sz="1000" b="1"/>
                  <a:t>North American</a:t>
                </a:r>
              </a:p>
              <a:p>
                <a:pPr algn="l">
                  <a:defRPr sz="1000" b="1" i="0" u="none" strike="noStrike" kern="1200" baseline="0">
                    <a:solidFill>
                      <a:schemeClr val="tx1">
                        <a:lumMod val="65000"/>
                        <a:lumOff val="35000"/>
                      </a:schemeClr>
                    </a:solidFill>
                    <a:latin typeface="+mn-lt"/>
                    <a:ea typeface="+mn-ea"/>
                    <a:cs typeface="+mn-cs"/>
                  </a:defRPr>
                </a:pPr>
                <a:r>
                  <a:rPr lang="en-US" sz="1000" b="1"/>
                  <a:t>Carload Originations</a:t>
                </a:r>
              </a:p>
            </c:rich>
          </c:tx>
          <c:layout>
            <c:manualLayout>
              <c:xMode val="edge"/>
              <c:yMode val="edge"/>
              <c:x val="2.976159230096239E-2"/>
              <c:y val="2.8908647184652157E-2"/>
            </c:manualLayout>
          </c:layout>
          <c:overlay val="0"/>
          <c:spPr>
            <a:noFill/>
            <a:ln>
              <a:noFill/>
            </a:ln>
            <a:effectLst/>
          </c:spPr>
        </c:title>
        <c:numFmt formatCode="#,##0;\-#,##0" sourceLinked="0"/>
        <c:majorTickMark val="in"/>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5158272"/>
        <c:crosses val="autoZero"/>
        <c:crossBetween val="between"/>
      </c:valAx>
      <c:serAx>
        <c:axId val="88892736"/>
        <c:scaling>
          <c:orientation val="minMax"/>
        </c:scaling>
        <c:delete val="1"/>
        <c:axPos val="b"/>
        <c:majorTickMark val="none"/>
        <c:minorTickMark val="none"/>
        <c:tickLblPos val="nextTo"/>
        <c:crossAx val="95160192"/>
        <c:crosses val="autoZero"/>
      </c:serAx>
      <c:spPr>
        <a:noFill/>
        <a:ln>
          <a:noFill/>
        </a:ln>
        <a:effectLst/>
      </c:spPr>
    </c:plotArea>
    <c:legend>
      <c:legendPos val="b"/>
      <c:layout>
        <c:manualLayout>
          <c:xMode val="edge"/>
          <c:yMode val="edge"/>
          <c:x val="0.76153593781546536"/>
          <c:y val="7.2988065487029435E-2"/>
          <c:w val="0.23358893195143479"/>
          <c:h val="0.5241247954053590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lumMod val="50000"/>
          <a:lumOff val="50000"/>
        </a:sys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Hazmat Incidents with Death or Major Injury (1988-2016)</a:t>
            </a:r>
          </a:p>
        </c:rich>
      </c:tx>
      <c:layout>
        <c:manualLayout>
          <c:xMode val="edge"/>
          <c:yMode val="edge"/>
          <c:x val="0.15140218455281668"/>
          <c:y val="1.0365536569763963E-2"/>
        </c:manualLayout>
      </c:layout>
      <c:overlay val="1"/>
      <c:spPr>
        <a:noFill/>
        <a:ln>
          <a:noFill/>
        </a:ln>
        <a:effectLst/>
      </c:spPr>
    </c:title>
    <c:autoTitleDeleted val="0"/>
    <c:plotArea>
      <c:layout>
        <c:manualLayout>
          <c:layoutTarget val="inner"/>
          <c:xMode val="edge"/>
          <c:yMode val="edge"/>
          <c:x val="6.927046545217351E-2"/>
          <c:y val="0.18929897617351302"/>
          <c:w val="0.89013761271416569"/>
          <c:h val="0.64915145920613504"/>
        </c:manualLayout>
      </c:layout>
      <c:lineChart>
        <c:grouping val="standard"/>
        <c:varyColors val="0"/>
        <c:ser>
          <c:idx val="0"/>
          <c:order val="0"/>
          <c:tx>
            <c:strRef>
              <c:f>'Fiscal Year'!$W$1</c:f>
              <c:strCache>
                <c:ptCount val="1"/>
                <c:pt idx="0">
                  <c:v>HM Incid's w/death or injury</c:v>
                </c:pt>
              </c:strCache>
            </c:strRef>
          </c:tx>
          <c:spPr>
            <a:ln w="28575" cap="rnd">
              <a:solidFill>
                <a:schemeClr val="accent1">
                  <a:shade val="65000"/>
                </a:schemeClr>
              </a:solidFill>
              <a:round/>
            </a:ln>
            <a:effectLst/>
          </c:spPr>
          <c:marker>
            <c:symbol val="none"/>
          </c:marker>
          <c:trendline>
            <c:spPr>
              <a:ln w="19050" cap="rnd">
                <a:solidFill>
                  <a:schemeClr val="accent1">
                    <a:shade val="65000"/>
                  </a:schemeClr>
                </a:solidFill>
                <a:prstDash val="sysDot"/>
              </a:ln>
              <a:effectLst/>
            </c:spPr>
            <c:trendlineType val="exp"/>
            <c:dispRSqr val="0"/>
            <c:dispEq val="0"/>
          </c:trendline>
          <c:cat>
            <c:numRef>
              <c:f>'Fiscal Year'!$T$4:$T$32</c:f>
              <c:numCache>
                <c:formatCode>General</c:formatCode>
                <c:ptCount val="29"/>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numCache>
            </c:numRef>
          </c:cat>
          <c:val>
            <c:numRef>
              <c:f>'Fiscal Year'!$W$4:$W$32</c:f>
              <c:numCache>
                <c:formatCode>0</c:formatCode>
                <c:ptCount val="29"/>
                <c:pt idx="0">
                  <c:v>25</c:v>
                </c:pt>
                <c:pt idx="1">
                  <c:v>33</c:v>
                </c:pt>
                <c:pt idx="2">
                  <c:v>43</c:v>
                </c:pt>
                <c:pt idx="3">
                  <c:v>31</c:v>
                </c:pt>
                <c:pt idx="4">
                  <c:v>48</c:v>
                </c:pt>
                <c:pt idx="5">
                  <c:v>31</c:v>
                </c:pt>
                <c:pt idx="6">
                  <c:v>43</c:v>
                </c:pt>
                <c:pt idx="7">
                  <c:v>32</c:v>
                </c:pt>
                <c:pt idx="8">
                  <c:v>46</c:v>
                </c:pt>
                <c:pt idx="9">
                  <c:v>28</c:v>
                </c:pt>
                <c:pt idx="10">
                  <c:v>28</c:v>
                </c:pt>
                <c:pt idx="11">
                  <c:v>33</c:v>
                </c:pt>
                <c:pt idx="12">
                  <c:v>30</c:v>
                </c:pt>
                <c:pt idx="13">
                  <c:v>26</c:v>
                </c:pt>
                <c:pt idx="14">
                  <c:v>24</c:v>
                </c:pt>
                <c:pt idx="15">
                  <c:v>25</c:v>
                </c:pt>
                <c:pt idx="16">
                  <c:v>32</c:v>
                </c:pt>
                <c:pt idx="17">
                  <c:v>47</c:v>
                </c:pt>
                <c:pt idx="18">
                  <c:v>32</c:v>
                </c:pt>
                <c:pt idx="19">
                  <c:v>35</c:v>
                </c:pt>
                <c:pt idx="20">
                  <c:v>24</c:v>
                </c:pt>
                <c:pt idx="21">
                  <c:v>29</c:v>
                </c:pt>
                <c:pt idx="22">
                  <c:v>23</c:v>
                </c:pt>
                <c:pt idx="23">
                  <c:v>32</c:v>
                </c:pt>
                <c:pt idx="24">
                  <c:v>33</c:v>
                </c:pt>
                <c:pt idx="25">
                  <c:v>27</c:v>
                </c:pt>
                <c:pt idx="26">
                  <c:v>23</c:v>
                </c:pt>
                <c:pt idx="27">
                  <c:v>29</c:v>
                </c:pt>
                <c:pt idx="28">
                  <c:v>25</c:v>
                </c:pt>
              </c:numCache>
            </c:numRef>
          </c:val>
          <c:smooth val="0"/>
          <c:extLst xmlns:c16r2="http://schemas.microsoft.com/office/drawing/2015/06/chart">
            <c:ext xmlns:c16="http://schemas.microsoft.com/office/drawing/2014/chart" uri="{C3380CC4-5D6E-409C-BE32-E72D297353CC}">
              <c16:uniqueId val="{00000000-4923-47AA-A9B4-E4667FF0111D}"/>
            </c:ext>
          </c:extLst>
        </c:ser>
        <c:ser>
          <c:idx val="1"/>
          <c:order val="1"/>
          <c:tx>
            <c:strRef>
              <c:f>'Fiscal Year'!$AA$1</c:f>
              <c:strCache>
                <c:ptCount val="1"/>
                <c:pt idx="0">
                  <c:v>-1 StDev</c:v>
                </c:pt>
              </c:strCache>
            </c:strRef>
          </c:tx>
          <c:spPr>
            <a:ln w="28575" cap="rnd">
              <a:solidFill>
                <a:schemeClr val="accent1"/>
              </a:solidFill>
              <a:round/>
            </a:ln>
            <a:effectLst/>
          </c:spPr>
          <c:marker>
            <c:symbol val="none"/>
          </c:marker>
          <c:cat>
            <c:numRef>
              <c:f>'Fiscal Year'!$T$4:$T$32</c:f>
              <c:numCache>
                <c:formatCode>General</c:formatCode>
                <c:ptCount val="29"/>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numCache>
            </c:numRef>
          </c:cat>
          <c:val>
            <c:numRef>
              <c:f>'Fiscal Year'!$AA$4:$AA$32</c:f>
              <c:numCache>
                <c:formatCode>0</c:formatCode>
                <c:ptCount val="29"/>
                <c:pt idx="0">
                  <c:v>28.249745708597136</c:v>
                </c:pt>
                <c:pt idx="1">
                  <c:v>27.968656042252867</c:v>
                </c:pt>
                <c:pt idx="2">
                  <c:v>27.690363264820114</c:v>
                </c:pt>
                <c:pt idx="3">
                  <c:v>27.414839546789221</c:v>
                </c:pt>
                <c:pt idx="4">
                  <c:v>27.142057335558789</c:v>
                </c:pt>
                <c:pt idx="5">
                  <c:v>26.871989352680369</c:v>
                </c:pt>
                <c:pt idx="6">
                  <c:v>26.604608591130614</c:v>
                </c:pt>
                <c:pt idx="7">
                  <c:v>26.339888312610547</c:v>
                </c:pt>
                <c:pt idx="8">
                  <c:v>26.077802044871724</c:v>
                </c:pt>
                <c:pt idx="9">
                  <c:v>25.81832357906897</c:v>
                </c:pt>
                <c:pt idx="10">
                  <c:v>25.561426967139457</c:v>
                </c:pt>
                <c:pt idx="11">
                  <c:v>25.307086519207921</c:v>
                </c:pt>
                <c:pt idx="12">
                  <c:v>25.055276801017612</c:v>
                </c:pt>
                <c:pt idx="13">
                  <c:v>24.805972631386879</c:v>
                </c:pt>
                <c:pt idx="14">
                  <c:v>24.559149079690989</c:v>
                </c:pt>
                <c:pt idx="15">
                  <c:v>24.314781463369101</c:v>
                </c:pt>
                <c:pt idx="16">
                  <c:v>24.072845345455931</c:v>
                </c:pt>
                <c:pt idx="17">
                  <c:v>23.833316532138078</c:v>
                </c:pt>
                <c:pt idx="18">
                  <c:v>23.596171070334602</c:v>
                </c:pt>
                <c:pt idx="19">
                  <c:v>23.361385245301701</c:v>
                </c:pt>
                <c:pt idx="20">
                  <c:v>23.128935578261217</c:v>
                </c:pt>
                <c:pt idx="21">
                  <c:v>22.898798824052736</c:v>
                </c:pt>
                <c:pt idx="22">
                  <c:v>22.670951968809057</c:v>
                </c:pt>
                <c:pt idx="23">
                  <c:v>22.445372227654783</c:v>
                </c:pt>
                <c:pt idx="24">
                  <c:v>22.222037042427811</c:v>
                </c:pt>
                <c:pt idx="25">
                  <c:v>22.000924079423505</c:v>
                </c:pt>
                <c:pt idx="26">
                  <c:v>21.782011227161309</c:v>
                </c:pt>
                <c:pt idx="27">
                  <c:v>21.565276594173568</c:v>
                </c:pt>
                <c:pt idx="28">
                  <c:v>21.350698506816368</c:v>
                </c:pt>
              </c:numCache>
            </c:numRef>
          </c:val>
          <c:smooth val="0"/>
          <c:extLst xmlns:c16r2="http://schemas.microsoft.com/office/drawing/2015/06/chart">
            <c:ext xmlns:c16="http://schemas.microsoft.com/office/drawing/2014/chart" uri="{C3380CC4-5D6E-409C-BE32-E72D297353CC}">
              <c16:uniqueId val="{00000001-4923-47AA-A9B4-E4667FF0111D}"/>
            </c:ext>
          </c:extLst>
        </c:ser>
        <c:ser>
          <c:idx val="2"/>
          <c:order val="2"/>
          <c:tx>
            <c:strRef>
              <c:f>'Fiscal Year'!$AB$1</c:f>
              <c:strCache>
                <c:ptCount val="1"/>
                <c:pt idx="0">
                  <c:v>+1 StDev</c:v>
                </c:pt>
              </c:strCache>
            </c:strRef>
          </c:tx>
          <c:spPr>
            <a:ln w="28575" cap="rnd">
              <a:solidFill>
                <a:schemeClr val="accent1">
                  <a:tint val="65000"/>
                </a:schemeClr>
              </a:solidFill>
              <a:round/>
            </a:ln>
            <a:effectLst/>
          </c:spPr>
          <c:marker>
            <c:symbol val="none"/>
          </c:marker>
          <c:cat>
            <c:numRef>
              <c:f>'Fiscal Year'!$T$4:$T$32</c:f>
              <c:numCache>
                <c:formatCode>General</c:formatCode>
                <c:ptCount val="29"/>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numCache>
            </c:numRef>
          </c:cat>
          <c:val>
            <c:numRef>
              <c:f>'Fiscal Year'!$AB$4:$AB$32</c:f>
              <c:numCache>
                <c:formatCode>0</c:formatCode>
                <c:ptCount val="29"/>
                <c:pt idx="0">
                  <c:v>43.174429397735352</c:v>
                </c:pt>
                <c:pt idx="1">
                  <c:v>42.744836647443073</c:v>
                </c:pt>
                <c:pt idx="2">
                  <c:v>42.31951841643636</c:v>
                </c:pt>
                <c:pt idx="3">
                  <c:v>41.898432172537667</c:v>
                </c:pt>
                <c:pt idx="4">
                  <c:v>41.481535806771717</c:v>
                </c:pt>
                <c:pt idx="5">
                  <c:v>41.068787629154507</c:v>
                </c:pt>
                <c:pt idx="6">
                  <c:v>40.660146364524309</c:v>
                </c:pt>
                <c:pt idx="7">
                  <c:v>40.255571148414127</c:v>
                </c:pt>
                <c:pt idx="8">
                  <c:v>39.85502152296521</c:v>
                </c:pt>
                <c:pt idx="9">
                  <c:v>39.458457432881218</c:v>
                </c:pt>
                <c:pt idx="10">
                  <c:v>39.065839221422678</c:v>
                </c:pt>
                <c:pt idx="11">
                  <c:v>38.677127626441248</c:v>
                </c:pt>
                <c:pt idx="12">
                  <c:v>38.292283776453516</c:v>
                </c:pt>
                <c:pt idx="13">
                  <c:v>37.911269186753771</c:v>
                </c:pt>
                <c:pt idx="14">
                  <c:v>37.534045755565529</c:v>
                </c:pt>
                <c:pt idx="15">
                  <c:v>37.160575760231318</c:v>
                </c:pt>
                <c:pt idx="16">
                  <c:v>36.790821853440377</c:v>
                </c:pt>
                <c:pt idx="17">
                  <c:v>36.424747059493903</c:v>
                </c:pt>
                <c:pt idx="18">
                  <c:v>36.062314770607443</c:v>
                </c:pt>
                <c:pt idx="19">
                  <c:v>35.703488743250062</c:v>
                </c:pt>
                <c:pt idx="20">
                  <c:v>35.348233094520019</c:v>
                </c:pt>
                <c:pt idx="21">
                  <c:v>34.996512298556382</c:v>
                </c:pt>
                <c:pt idx="22">
                  <c:v>34.648291182986462</c:v>
                </c:pt>
                <c:pt idx="23">
                  <c:v>34.303534925408513</c:v>
                </c:pt>
                <c:pt idx="24">
                  <c:v>33.962209049909482</c:v>
                </c:pt>
                <c:pt idx="25">
                  <c:v>33.624279423617367</c:v>
                </c:pt>
                <c:pt idx="26">
                  <c:v>33.289712253287945</c:v>
                </c:pt>
                <c:pt idx="27">
                  <c:v>32.958474081925374</c:v>
                </c:pt>
                <c:pt idx="28">
                  <c:v>32.630531785436489</c:v>
                </c:pt>
              </c:numCache>
            </c:numRef>
          </c:val>
          <c:smooth val="0"/>
          <c:extLst xmlns:c16r2="http://schemas.microsoft.com/office/drawing/2015/06/chart">
            <c:ext xmlns:c16="http://schemas.microsoft.com/office/drawing/2014/chart" uri="{C3380CC4-5D6E-409C-BE32-E72D297353CC}">
              <c16:uniqueId val="{00000002-4923-47AA-A9B4-E4667FF0111D}"/>
            </c:ext>
          </c:extLst>
        </c:ser>
        <c:dLbls>
          <c:showLegendKey val="0"/>
          <c:showVal val="0"/>
          <c:showCatName val="0"/>
          <c:showSerName val="0"/>
          <c:showPercent val="0"/>
          <c:showBubbleSize val="0"/>
        </c:dLbls>
        <c:marker val="1"/>
        <c:smooth val="0"/>
        <c:axId val="99682944"/>
        <c:axId val="99697408"/>
      </c:lineChart>
      <c:catAx>
        <c:axId val="99682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Calendar Year</a:t>
                </a:r>
              </a:p>
            </c:rich>
          </c:tx>
          <c:layout>
            <c:manualLayout>
              <c:xMode val="edge"/>
              <c:yMode val="edge"/>
              <c:x val="3.8362710066866312E-2"/>
              <c:y val="0.9171016227532682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697408"/>
        <c:crosses val="autoZero"/>
        <c:auto val="1"/>
        <c:lblAlgn val="ctr"/>
        <c:lblOffset val="100"/>
        <c:tickLblSkip val="4"/>
        <c:tickMarkSkip val="4"/>
        <c:noMultiLvlLbl val="0"/>
      </c:catAx>
      <c:valAx>
        <c:axId val="99697408"/>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Incidents</a:t>
                </a:r>
              </a:p>
            </c:rich>
          </c:tx>
          <c:layout>
            <c:manualLayout>
              <c:xMode val="edge"/>
              <c:yMode val="edge"/>
              <c:x val="1.2194363862411935E-2"/>
              <c:y val="0.10475093839076567"/>
            </c:manualLayout>
          </c:layout>
          <c:overlay val="0"/>
          <c:spPr>
            <a:noFill/>
            <a:ln>
              <a:noFill/>
            </a:ln>
            <a:effectLst/>
          </c:sp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682944"/>
        <c:crosses val="autoZero"/>
        <c:crossBetween val="midCat"/>
        <c:majorUnit val="20"/>
        <c:min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Pipeline Incidents with Death </a:t>
            </a:r>
          </a:p>
          <a:p>
            <a:pPr>
              <a:defRPr sz="1400" b="0" i="0" u="none" strike="noStrike" kern="1200" spc="0" baseline="0">
                <a:solidFill>
                  <a:schemeClr val="tx1">
                    <a:lumMod val="65000"/>
                    <a:lumOff val="35000"/>
                  </a:schemeClr>
                </a:solidFill>
                <a:latin typeface="+mn-lt"/>
                <a:ea typeface="+mn-ea"/>
                <a:cs typeface="+mn-cs"/>
              </a:defRPr>
            </a:pPr>
            <a:r>
              <a:rPr lang="en-US"/>
              <a:t>or Major Injury (1988-2016)</a:t>
            </a:r>
          </a:p>
        </c:rich>
      </c:tx>
      <c:layout>
        <c:manualLayout>
          <c:xMode val="edge"/>
          <c:yMode val="edge"/>
          <c:x val="0.30345625927193881"/>
          <c:y val="9.3140857392825897E-3"/>
        </c:manualLayout>
      </c:layout>
      <c:overlay val="0"/>
      <c:spPr>
        <a:noFill/>
        <a:ln>
          <a:noFill/>
        </a:ln>
        <a:effectLst/>
      </c:spPr>
    </c:title>
    <c:autoTitleDeleted val="0"/>
    <c:plotArea>
      <c:layout>
        <c:manualLayout>
          <c:layoutTarget val="inner"/>
          <c:xMode val="edge"/>
          <c:yMode val="edge"/>
          <c:x val="9.3940592695441139E-2"/>
          <c:y val="0.19742263759667675"/>
          <c:w val="0.85233112308329884"/>
          <c:h val="0.63838173454124691"/>
        </c:manualLayout>
      </c:layout>
      <c:lineChart>
        <c:grouping val="standard"/>
        <c:varyColors val="0"/>
        <c:ser>
          <c:idx val="1"/>
          <c:order val="0"/>
          <c:tx>
            <c:strRef>
              <c:f>'Fiscal Year'!$G$1</c:f>
              <c:strCache>
                <c:ptCount val="1"/>
                <c:pt idx="0">
                  <c:v>-1 StDev</c:v>
                </c:pt>
              </c:strCache>
            </c:strRef>
          </c:tx>
          <c:spPr>
            <a:ln w="28575" cap="rnd">
              <a:solidFill>
                <a:schemeClr val="accent1"/>
              </a:solidFill>
              <a:round/>
            </a:ln>
            <a:effectLst/>
          </c:spPr>
          <c:marker>
            <c:symbol val="none"/>
          </c:marker>
          <c:dLbls>
            <c:delete val="1"/>
          </c:dLbls>
          <c:cat>
            <c:numRef>
              <c:f>'Fiscal Year'!$A$4:$A$32</c:f>
              <c:numCache>
                <c:formatCode>General</c:formatCode>
                <c:ptCount val="29"/>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numCache>
            </c:numRef>
          </c:cat>
          <c:val>
            <c:numRef>
              <c:f>'Fiscal Year'!$G$4:$G$32</c:f>
              <c:numCache>
                <c:formatCode>0</c:formatCode>
                <c:ptCount val="29"/>
                <c:pt idx="0">
                  <c:v>69.347102781617366</c:v>
                </c:pt>
                <c:pt idx="1">
                  <c:v>66.761353261175131</c:v>
                </c:pt>
                <c:pt idx="2">
                  <c:v>64.272018735942197</c:v>
                </c:pt>
                <c:pt idx="3">
                  <c:v>61.875504174293184</c:v>
                </c:pt>
                <c:pt idx="4">
                  <c:v>59.568348592759477</c:v>
                </c:pt>
                <c:pt idx="5">
                  <c:v>57.347220057767629</c:v>
                </c:pt>
                <c:pt idx="6">
                  <c:v>55.208910873748266</c:v>
                </c:pt>
                <c:pt idx="7">
                  <c:v>53.150332950666311</c:v>
                </c:pt>
                <c:pt idx="8">
                  <c:v>51.168513344282388</c:v>
                </c:pt>
                <c:pt idx="9">
                  <c:v>49.260589962704685</c:v>
                </c:pt>
                <c:pt idx="10">
                  <c:v>47.423807433030937</c:v>
                </c:pt>
                <c:pt idx="11">
                  <c:v>45.655513122111145</c:v>
                </c:pt>
                <c:pt idx="12">
                  <c:v>43.953153305684367</c:v>
                </c:pt>
                <c:pt idx="13">
                  <c:v>42.31426948035714</c:v>
                </c:pt>
                <c:pt idx="14">
                  <c:v>40.736494813097352</c:v>
                </c:pt>
                <c:pt idx="15">
                  <c:v>39.217550723116048</c:v>
                </c:pt>
                <c:pt idx="16">
                  <c:v>37.755243591200838</c:v>
                </c:pt>
                <c:pt idx="17">
                  <c:v>36.347461591748569</c:v>
                </c:pt>
                <c:pt idx="18">
                  <c:v>34.992171642922195</c:v>
                </c:pt>
                <c:pt idx="19">
                  <c:v>33.687416470527261</c:v>
                </c:pt>
                <c:pt idx="20">
                  <c:v>32.431311781367931</c:v>
                </c:pt>
                <c:pt idx="21">
                  <c:v>31.222043542000129</c:v>
                </c:pt>
                <c:pt idx="22">
                  <c:v>30.057865358952032</c:v>
                </c:pt>
                <c:pt idx="23">
                  <c:v>28.937095956628422</c:v>
                </c:pt>
                <c:pt idx="24">
                  <c:v>27.858116749256585</c:v>
                </c:pt>
                <c:pt idx="25">
                  <c:v>26.819369503367188</c:v>
                </c:pt>
                <c:pt idx="26">
                  <c:v>25.819354087434377</c:v>
                </c:pt>
                <c:pt idx="27">
                  <c:v>24.856626305425159</c:v>
                </c:pt>
                <c:pt idx="28">
                  <c:v>23.929795811129409</c:v>
                </c:pt>
              </c:numCache>
            </c:numRef>
          </c:val>
          <c:smooth val="0"/>
          <c:extLst xmlns:c16r2="http://schemas.microsoft.com/office/drawing/2015/06/chart">
            <c:ext xmlns:c16="http://schemas.microsoft.com/office/drawing/2014/chart" uri="{C3380CC4-5D6E-409C-BE32-E72D297353CC}">
              <c16:uniqueId val="{00000000-7B05-4FA1-8CEE-CDA8F25A1A77}"/>
            </c:ext>
          </c:extLst>
        </c:ser>
        <c:ser>
          <c:idx val="2"/>
          <c:order val="1"/>
          <c:tx>
            <c:strRef>
              <c:f>'Fiscal Year'!$H$1</c:f>
              <c:strCache>
                <c:ptCount val="1"/>
                <c:pt idx="0">
                  <c:v>+1 StDev</c:v>
                </c:pt>
              </c:strCache>
            </c:strRef>
          </c:tx>
          <c:spPr>
            <a:ln w="28575" cap="rnd">
              <a:solidFill>
                <a:schemeClr val="accent1">
                  <a:tint val="65000"/>
                </a:schemeClr>
              </a:solidFill>
              <a:round/>
            </a:ln>
            <a:effectLst/>
          </c:spPr>
          <c:marker>
            <c:symbol val="none"/>
          </c:marker>
          <c:dLbls>
            <c:delete val="1"/>
          </c:dLbls>
          <c:cat>
            <c:numRef>
              <c:f>'Fiscal Year'!$A$4:$A$32</c:f>
              <c:numCache>
                <c:formatCode>General</c:formatCode>
                <c:ptCount val="29"/>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numCache>
            </c:numRef>
          </c:cat>
          <c:val>
            <c:numRef>
              <c:f>'Fiscal Year'!$H$4:$H$32</c:f>
              <c:numCache>
                <c:formatCode>0</c:formatCode>
                <c:ptCount val="29"/>
                <c:pt idx="0">
                  <c:v>97.067456180835393</c:v>
                </c:pt>
                <c:pt idx="1">
                  <c:v>93.448096204679686</c:v>
                </c:pt>
                <c:pt idx="2">
                  <c:v>89.963691517890908</c:v>
                </c:pt>
                <c:pt idx="3">
                  <c:v>86.609210034617433</c:v>
                </c:pt>
                <c:pt idx="4">
                  <c:v>83.379807300690132</c:v>
                </c:pt>
                <c:pt idx="5">
                  <c:v>80.270819497388914</c:v>
                </c:pt>
                <c:pt idx="6">
                  <c:v>77.277756706077923</c:v>
                </c:pt>
                <c:pt idx="7">
                  <c:v>74.396296423982875</c:v>
                </c:pt>
                <c:pt idx="8">
                  <c:v>71.622277321745997</c:v>
                </c:pt>
                <c:pt idx="9">
                  <c:v>68.951693233743157</c:v>
                </c:pt>
                <c:pt idx="10">
                  <c:v>66.380687372484701</c:v>
                </c:pt>
                <c:pt idx="11">
                  <c:v>63.905546758744066</c:v>
                </c:pt>
                <c:pt idx="12">
                  <c:v>61.522696859370555</c:v>
                </c:pt>
                <c:pt idx="13">
                  <c:v>59.228696425042386</c:v>
                </c:pt>
                <c:pt idx="14">
                  <c:v>57.020232520504635</c:v>
                </c:pt>
                <c:pt idx="15">
                  <c:v>54.894115740115026</c:v>
                </c:pt>
                <c:pt idx="16">
                  <c:v>52.847275601788027</c:v>
                </c:pt>
                <c:pt idx="17">
                  <c:v>50.876756112685086</c:v>
                </c:pt>
                <c:pt idx="18">
                  <c:v>48.979711500247369</c:v>
                </c:pt>
                <c:pt idx="19">
                  <c:v>47.153402102405657</c:v>
                </c:pt>
                <c:pt idx="20">
                  <c:v>45.395190411032225</c:v>
                </c:pt>
                <c:pt idx="21">
                  <c:v>43.702537262920806</c:v>
                </c:pt>
                <c:pt idx="22">
                  <c:v>42.072998172793731</c:v>
                </c:pt>
                <c:pt idx="23">
                  <c:v>40.504219803040314</c:v>
                </c:pt>
                <c:pt idx="24">
                  <c:v>38.993936565088504</c:v>
                </c:pt>
                <c:pt idx="25">
                  <c:v>37.539967347501232</c:v>
                </c:pt>
                <c:pt idx="26">
                  <c:v>36.140212366072511</c:v>
                </c:pt>
                <c:pt idx="27">
                  <c:v>34.79265013137416</c:v>
                </c:pt>
                <c:pt idx="28">
                  <c:v>33.495334529373807</c:v>
                </c:pt>
              </c:numCache>
            </c:numRef>
          </c:val>
          <c:smooth val="0"/>
          <c:extLst xmlns:c16r2="http://schemas.microsoft.com/office/drawing/2015/06/chart">
            <c:ext xmlns:c16="http://schemas.microsoft.com/office/drawing/2014/chart" uri="{C3380CC4-5D6E-409C-BE32-E72D297353CC}">
              <c16:uniqueId val="{00000001-7B05-4FA1-8CEE-CDA8F25A1A77}"/>
            </c:ext>
          </c:extLst>
        </c:ser>
        <c:ser>
          <c:idx val="0"/>
          <c:order val="2"/>
          <c:tx>
            <c:strRef>
              <c:f>'Fiscal Year'!$C$1</c:f>
              <c:strCache>
                <c:ptCount val="1"/>
                <c:pt idx="0">
                  <c:v>Pipeline Incidents with Death or Injury</c:v>
                </c:pt>
              </c:strCache>
            </c:strRef>
          </c:tx>
          <c:spPr>
            <a:ln w="28575" cap="rnd">
              <a:solidFill>
                <a:schemeClr val="accent1">
                  <a:shade val="65000"/>
                </a:schemeClr>
              </a:solidFill>
              <a:round/>
            </a:ln>
            <a:effectLst/>
          </c:spPr>
          <c:marker>
            <c:symbol val="none"/>
          </c:marker>
          <c:dLbls>
            <c:delete val="1"/>
          </c:dLbls>
          <c:trendline>
            <c:spPr>
              <a:ln w="19050" cap="rnd">
                <a:solidFill>
                  <a:schemeClr val="accent1">
                    <a:shade val="65000"/>
                  </a:schemeClr>
                </a:solidFill>
                <a:prstDash val="sysDot"/>
              </a:ln>
              <a:effectLst/>
            </c:spPr>
            <c:trendlineType val="exp"/>
            <c:dispRSqr val="0"/>
            <c:dispEq val="0"/>
          </c:trendline>
          <c:cat>
            <c:numRef>
              <c:f>'Fiscal Year'!$A$4:$A$32</c:f>
              <c:numCache>
                <c:formatCode>General</c:formatCode>
                <c:ptCount val="29"/>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numCache>
            </c:numRef>
          </c:cat>
          <c:val>
            <c:numRef>
              <c:f>'Fiscal Year'!$C$4:$C$32</c:f>
              <c:numCache>
                <c:formatCode>General</c:formatCode>
                <c:ptCount val="29"/>
                <c:pt idx="0">
                  <c:v>95</c:v>
                </c:pt>
                <c:pt idx="1">
                  <c:v>83</c:v>
                </c:pt>
                <c:pt idx="2">
                  <c:v>64</c:v>
                </c:pt>
                <c:pt idx="3">
                  <c:v>70</c:v>
                </c:pt>
                <c:pt idx="4">
                  <c:v>68</c:v>
                </c:pt>
                <c:pt idx="5">
                  <c:v>68</c:v>
                </c:pt>
                <c:pt idx="6">
                  <c:v>75</c:v>
                </c:pt>
                <c:pt idx="7">
                  <c:v>57</c:v>
                </c:pt>
                <c:pt idx="8">
                  <c:v>65</c:v>
                </c:pt>
                <c:pt idx="9">
                  <c:v>55</c:v>
                </c:pt>
                <c:pt idx="10">
                  <c:v>62</c:v>
                </c:pt>
                <c:pt idx="11">
                  <c:v>62</c:v>
                </c:pt>
                <c:pt idx="12">
                  <c:v>74</c:v>
                </c:pt>
                <c:pt idx="13">
                  <c:v>39</c:v>
                </c:pt>
                <c:pt idx="14">
                  <c:v>38</c:v>
                </c:pt>
                <c:pt idx="15">
                  <c:v>53</c:v>
                </c:pt>
                <c:pt idx="16">
                  <c:v>54</c:v>
                </c:pt>
                <c:pt idx="17">
                  <c:v>43</c:v>
                </c:pt>
                <c:pt idx="18">
                  <c:v>33</c:v>
                </c:pt>
                <c:pt idx="19">
                  <c:v>44</c:v>
                </c:pt>
                <c:pt idx="20">
                  <c:v>37</c:v>
                </c:pt>
                <c:pt idx="21">
                  <c:v>53</c:v>
                </c:pt>
                <c:pt idx="22">
                  <c:v>37</c:v>
                </c:pt>
                <c:pt idx="23">
                  <c:v>36</c:v>
                </c:pt>
                <c:pt idx="24">
                  <c:v>31</c:v>
                </c:pt>
                <c:pt idx="25">
                  <c:v>27</c:v>
                </c:pt>
                <c:pt idx="26">
                  <c:v>26</c:v>
                </c:pt>
                <c:pt idx="27">
                  <c:v>33</c:v>
                </c:pt>
                <c:pt idx="28">
                  <c:v>33</c:v>
                </c:pt>
              </c:numCache>
            </c:numRef>
          </c:val>
          <c:smooth val="0"/>
          <c:extLst xmlns:c16r2="http://schemas.microsoft.com/office/drawing/2015/06/chart">
            <c:ext xmlns:c16="http://schemas.microsoft.com/office/drawing/2014/chart" uri="{C3380CC4-5D6E-409C-BE32-E72D297353CC}">
              <c16:uniqueId val="{00000002-7B05-4FA1-8CEE-CDA8F25A1A77}"/>
            </c:ext>
          </c:extLst>
        </c:ser>
        <c:dLbls>
          <c:dLblPos val="ctr"/>
          <c:showLegendKey val="0"/>
          <c:showVal val="1"/>
          <c:showCatName val="0"/>
          <c:showSerName val="0"/>
          <c:showPercent val="0"/>
          <c:showBubbleSize val="0"/>
        </c:dLbls>
        <c:marker val="1"/>
        <c:smooth val="0"/>
        <c:axId val="103244928"/>
        <c:axId val="103246848"/>
      </c:lineChart>
      <c:catAx>
        <c:axId val="103244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Fiscal Year</a:t>
                </a:r>
              </a:p>
            </c:rich>
          </c:tx>
          <c:layout>
            <c:manualLayout>
              <c:xMode val="edge"/>
              <c:yMode val="edge"/>
              <c:x val="2.9856508578138964E-2"/>
              <c:y val="0.8906628776666074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246848"/>
        <c:crosses val="autoZero"/>
        <c:auto val="1"/>
        <c:lblAlgn val="ctr"/>
        <c:lblOffset val="100"/>
        <c:tickLblSkip val="4"/>
        <c:tickMarkSkip val="4"/>
        <c:noMultiLvlLbl val="0"/>
      </c:catAx>
      <c:valAx>
        <c:axId val="10324684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Incidents</a:t>
                </a:r>
              </a:p>
            </c:rich>
          </c:tx>
          <c:layout>
            <c:manualLayout>
              <c:xMode val="edge"/>
              <c:yMode val="edge"/>
              <c:x val="1.2194363862411935E-2"/>
              <c:y val="0.10511839245900714"/>
            </c:manualLayout>
          </c:layout>
          <c:overlay val="0"/>
          <c:spPr>
            <a:noFill/>
            <a:ln>
              <a:noFill/>
            </a:ln>
            <a:effectLst/>
          </c:sp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244928"/>
        <c:crosses val="autoZero"/>
        <c:crossBetween val="midCat"/>
        <c:majorUnit val="20"/>
        <c:min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0.22269</cdr:x>
      <cdr:y>0.91828</cdr:y>
    </cdr:from>
    <cdr:to>
      <cdr:x>0.97152</cdr:x>
      <cdr:y>0.97568</cdr:y>
    </cdr:to>
    <cdr:sp macro="" textlink="">
      <cdr:nvSpPr>
        <cdr:cNvPr id="2" name="TextBox 1"/>
        <cdr:cNvSpPr txBox="1"/>
      </cdr:nvSpPr>
      <cdr:spPr>
        <a:xfrm xmlns:a="http://schemas.openxmlformats.org/drawingml/2006/main">
          <a:off x="916305" y="3164526"/>
          <a:ext cx="3081305" cy="1977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en-US" sz="900" b="1"/>
            <a:t>Source: DOT-PHMSA Incident Data -- as of March 3, 2017.</a:t>
          </a:r>
        </a:p>
      </cdr:txBody>
    </cdr:sp>
  </cdr:relSizeAnchor>
  <cdr:relSizeAnchor xmlns:cdr="http://schemas.openxmlformats.org/drawingml/2006/chartDrawing">
    <cdr:from>
      <cdr:x>0.42247</cdr:x>
      <cdr:y>0.2043</cdr:y>
    </cdr:from>
    <cdr:to>
      <cdr:x>0.77215</cdr:x>
      <cdr:y>0.29032</cdr:y>
    </cdr:to>
    <cdr:sp macro="" textlink="">
      <cdr:nvSpPr>
        <cdr:cNvPr id="3" name="TextBox 2"/>
        <cdr:cNvSpPr txBox="1"/>
      </cdr:nvSpPr>
      <cdr:spPr>
        <a:xfrm xmlns:a="http://schemas.openxmlformats.org/drawingml/2006/main">
          <a:off x="2034540" y="723900"/>
          <a:ext cx="168402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0.13291</cdr:x>
      <cdr:y>0.22294</cdr:y>
    </cdr:from>
    <cdr:to>
      <cdr:x>0.68985</cdr:x>
      <cdr:y>0.35054</cdr:y>
    </cdr:to>
    <cdr:sp macro="" textlink="">
      <cdr:nvSpPr>
        <cdr:cNvPr id="5" name="TextBox 1"/>
        <cdr:cNvSpPr txBox="1"/>
      </cdr:nvSpPr>
      <cdr:spPr>
        <a:xfrm xmlns:a="http://schemas.openxmlformats.org/drawingml/2006/main">
          <a:off x="538796" y="789943"/>
          <a:ext cx="2257744" cy="452125"/>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1">
              <a:solidFill>
                <a:srgbClr val="003399"/>
              </a:solidFill>
            </a:rPr>
            <a:t>Actual</a:t>
          </a:r>
          <a:r>
            <a:rPr lang="en-US" sz="1100"/>
            <a:t> with Trendline (1988-2016)</a:t>
          </a:r>
          <a:r>
            <a:rPr lang="en-US" sz="1100" baseline="0"/>
            <a:t> </a:t>
          </a:r>
        </a:p>
        <a:p xmlns:a="http://schemas.openxmlformats.org/drawingml/2006/main">
          <a:pPr algn="ctr"/>
          <a:r>
            <a:rPr lang="en-US" sz="1100" baseline="0"/>
            <a:t>... declining about 5% every 5 years</a:t>
          </a:r>
          <a:endParaRPr lang="en-US" sz="1100"/>
        </a:p>
      </cdr:txBody>
    </cdr:sp>
  </cdr:relSizeAnchor>
  <cdr:relSizeAnchor xmlns:cdr="http://schemas.openxmlformats.org/drawingml/2006/chartDrawing">
    <cdr:from>
      <cdr:x>0.13449</cdr:x>
      <cdr:y>0.70542</cdr:y>
    </cdr:from>
    <cdr:to>
      <cdr:x>0.6923</cdr:x>
      <cdr:y>0.83158</cdr:y>
    </cdr:to>
    <cdr:sp macro="" textlink="">
      <cdr:nvSpPr>
        <cdr:cNvPr id="7" name="TextBox 1"/>
        <cdr:cNvSpPr txBox="1"/>
      </cdr:nvSpPr>
      <cdr:spPr>
        <a:xfrm xmlns:a="http://schemas.openxmlformats.org/drawingml/2006/main">
          <a:off x="574164" y="2285406"/>
          <a:ext cx="2381394" cy="408729"/>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a:solidFill>
                <a:srgbClr val="0099CC"/>
              </a:solidFill>
            </a:rPr>
            <a:t>± 1 Standard Deviation</a:t>
          </a:r>
          <a:r>
            <a:rPr lang="en-US" sz="1100">
              <a:solidFill>
                <a:srgbClr val="00B0F0"/>
              </a:solidFill>
            </a:rPr>
            <a:t> </a:t>
          </a:r>
          <a:r>
            <a:rPr lang="en-US" sz="1100"/>
            <a:t>from Trendline shows</a:t>
          </a:r>
          <a:r>
            <a:rPr lang="en-US" sz="1100" baseline="0"/>
            <a:t> normal range</a:t>
          </a:r>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0.18934</cdr:x>
      <cdr:y>0.93485</cdr:y>
    </cdr:from>
    <cdr:to>
      <cdr:x>0.9972</cdr:x>
      <cdr:y>0.99234</cdr:y>
    </cdr:to>
    <cdr:sp macro="" textlink="">
      <cdr:nvSpPr>
        <cdr:cNvPr id="2" name="TextBox 1"/>
        <cdr:cNvSpPr txBox="1"/>
      </cdr:nvSpPr>
      <cdr:spPr>
        <a:xfrm xmlns:a="http://schemas.openxmlformats.org/drawingml/2006/main">
          <a:off x="795630" y="3027000"/>
          <a:ext cx="3394735" cy="1861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en-US" sz="900" b="1"/>
            <a:t>Source: DOT-PHMSA Incident Data </a:t>
          </a:r>
          <a:r>
            <a:rPr lang="en-US" sz="900" b="1" baseline="0"/>
            <a:t>-- as of March 2, 2017</a:t>
          </a:r>
          <a:r>
            <a:rPr lang="en-US" sz="900" b="1"/>
            <a:t>.</a:t>
          </a:r>
        </a:p>
      </cdr:txBody>
    </cdr:sp>
  </cdr:relSizeAnchor>
  <cdr:relSizeAnchor xmlns:cdr="http://schemas.openxmlformats.org/drawingml/2006/chartDrawing">
    <cdr:from>
      <cdr:x>0.42247</cdr:x>
      <cdr:y>0.2043</cdr:y>
    </cdr:from>
    <cdr:to>
      <cdr:x>0.77215</cdr:x>
      <cdr:y>0.29032</cdr:y>
    </cdr:to>
    <cdr:sp macro="" textlink="">
      <cdr:nvSpPr>
        <cdr:cNvPr id="3" name="TextBox 2"/>
        <cdr:cNvSpPr txBox="1"/>
      </cdr:nvSpPr>
      <cdr:spPr>
        <a:xfrm xmlns:a="http://schemas.openxmlformats.org/drawingml/2006/main">
          <a:off x="2034540" y="723900"/>
          <a:ext cx="168402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0.38941</cdr:x>
      <cdr:y>0.21746</cdr:y>
    </cdr:from>
    <cdr:to>
      <cdr:x>0.92786</cdr:x>
      <cdr:y>0.36885</cdr:y>
    </cdr:to>
    <cdr:sp macro="" textlink="">
      <cdr:nvSpPr>
        <cdr:cNvPr id="4" name="TextBox 3"/>
        <cdr:cNvSpPr txBox="1"/>
      </cdr:nvSpPr>
      <cdr:spPr>
        <a:xfrm xmlns:a="http://schemas.openxmlformats.org/drawingml/2006/main">
          <a:off x="1656743" y="681887"/>
          <a:ext cx="2290839" cy="47472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r>
            <a:rPr lang="en-US" sz="1100" b="1">
              <a:solidFill>
                <a:srgbClr val="003399"/>
              </a:solidFill>
            </a:rPr>
            <a:t>Actual</a:t>
          </a:r>
          <a:r>
            <a:rPr lang="en-US" sz="1100"/>
            <a:t> with Trendline (1988-2016) ...</a:t>
          </a:r>
          <a:r>
            <a:rPr lang="en-US" sz="1100" baseline="0"/>
            <a:t> declining about 10% every 3 years</a:t>
          </a:r>
          <a:endParaRPr lang="en-US" sz="1100"/>
        </a:p>
      </cdr:txBody>
    </cdr:sp>
  </cdr:relSizeAnchor>
  <cdr:relSizeAnchor xmlns:cdr="http://schemas.openxmlformats.org/drawingml/2006/chartDrawing">
    <cdr:from>
      <cdr:x>0.11521</cdr:x>
      <cdr:y>0.65458</cdr:y>
    </cdr:from>
    <cdr:to>
      <cdr:x>0.61292</cdr:x>
      <cdr:y>0.78074</cdr:y>
    </cdr:to>
    <cdr:sp macro="" textlink="">
      <cdr:nvSpPr>
        <cdr:cNvPr id="5" name="TextBox 1"/>
        <cdr:cNvSpPr txBox="1"/>
      </cdr:nvSpPr>
      <cdr:spPr>
        <a:xfrm xmlns:a="http://schemas.openxmlformats.org/drawingml/2006/main">
          <a:off x="487814" y="2098487"/>
          <a:ext cx="2107414" cy="404451"/>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a:solidFill>
                <a:srgbClr val="0099CC"/>
              </a:solidFill>
            </a:rPr>
            <a:t>± 1 Standard Deviation</a:t>
          </a:r>
          <a:r>
            <a:rPr lang="en-US" sz="1100">
              <a:solidFill>
                <a:srgbClr val="00B0F0"/>
              </a:solidFill>
            </a:rPr>
            <a:t> </a:t>
          </a:r>
          <a:r>
            <a:rPr lang="en-US" sz="1100"/>
            <a:t>from Trendline shows</a:t>
          </a:r>
          <a:r>
            <a:rPr lang="en-US" sz="1100" baseline="0"/>
            <a:t> normal range</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Strategic Objective 1.1: Improve Safety of System</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47A93948596314C84C95B7B7F788BB1" ma:contentTypeVersion="0" ma:contentTypeDescription="Create a new document." ma:contentTypeScope="" ma:versionID="4fc4e43d20b981386a521f1077d7147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D8FFE6-1DEA-4C0B-ADBD-1DE71F47CE27}">
  <ds:schemaRefs>
    <ds:schemaRef ds:uri="http://schemas.microsoft.com/office/2006/documentManagement/types"/>
    <ds:schemaRef ds:uri="http://purl.org/dc/dcmitype/"/>
    <ds:schemaRef ds:uri="http://purl.org/dc/term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4C24A736-BA90-4725-8D7B-6818C65397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4FD7FE4-F79A-4C9A-ACB2-F156D8642ED9}">
  <ds:schemaRefs>
    <ds:schemaRef ds:uri="http://schemas.microsoft.com/sharepoint/v3/contenttype/forms"/>
  </ds:schemaRefs>
</ds:datastoreItem>
</file>

<file path=customXml/itemProps5.xml><?xml version="1.0" encoding="utf-8"?>
<ds:datastoreItem xmlns:ds="http://schemas.openxmlformats.org/officeDocument/2006/customXml" ds:itemID="{8E24E1F8-1310-4634-9E58-78AB85DD6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8633</Words>
  <Characters>49209</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STRATEGIC GOAL 1: SAFETY</vt:lpstr>
    </vt:vector>
  </TitlesOfParts>
  <Company>DOT</Company>
  <LinksUpToDate>false</LinksUpToDate>
  <CharactersWithSpaces>57727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GOAL 1: SAFETY</dc:title>
  <dc:creator>USDOT</dc:creator>
  <cp:lastModifiedBy>Solomon, Todd (OST)</cp:lastModifiedBy>
  <cp:revision>3</cp:revision>
  <cp:lastPrinted>2016-01-19T21:12:00Z</cp:lastPrinted>
  <dcterms:created xsi:type="dcterms:W3CDTF">2017-05-24T22:52:00Z</dcterms:created>
  <dcterms:modified xsi:type="dcterms:W3CDTF">2017-05-25T10:36:00Z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0x010100C47A93948596314C84C95B7B7F788BB1</vt:lpwstr>
  </property>
</Properties>
</file>