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AF" w:rsidRDefault="00DE5BAF">
      <w:pPr>
        <w:spacing w:before="8" w:after="0" w:line="170" w:lineRule="exact"/>
        <w:rPr>
          <w:sz w:val="17"/>
          <w:szCs w:val="17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Pr="003831ED" w:rsidRDefault="00986B09">
      <w:pPr>
        <w:spacing w:before="29" w:after="0" w:line="240" w:lineRule="auto"/>
        <w:ind w:left="4722" w:right="48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DOT Spon</w:t>
      </w:r>
      <w:r w:rsidRPr="003831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s</w:t>
      </w: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ored Conferences O</w:t>
      </w:r>
      <w:r w:rsidRPr="00383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v</w:t>
      </w: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 $100K</w:t>
      </w:r>
    </w:p>
    <w:p w:rsidR="00DE5BAF" w:rsidRDefault="00DE5BAF">
      <w:pPr>
        <w:spacing w:after="0" w:line="260" w:lineRule="exact"/>
        <w:rPr>
          <w:sz w:val="26"/>
          <w:szCs w:val="26"/>
        </w:rPr>
      </w:pPr>
    </w:p>
    <w:p w:rsidR="00DE5BAF" w:rsidRDefault="004E5973">
      <w:pPr>
        <w:spacing w:after="0" w:line="271" w:lineRule="exact"/>
        <w:ind w:left="6014" w:right="6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Fiscal Year 2013</w:t>
      </w:r>
    </w:p>
    <w:p w:rsidR="00DE5BAF" w:rsidRDefault="00DE5BAF">
      <w:pPr>
        <w:spacing w:after="0" w:line="160" w:lineRule="exact"/>
        <w:rPr>
          <w:sz w:val="16"/>
          <w:szCs w:val="16"/>
        </w:rPr>
      </w:pPr>
    </w:p>
    <w:p w:rsidR="00DE5BAF" w:rsidRDefault="00DE5BAF">
      <w:pPr>
        <w:spacing w:after="0"/>
        <w:sectPr w:rsidR="00DE5BAF">
          <w:type w:val="continuous"/>
          <w:pgSz w:w="15840" w:h="12240" w:orient="landscape"/>
          <w:pgMar w:top="1120" w:right="860" w:bottom="280" w:left="1060" w:header="720" w:footer="720" w:gutter="0"/>
          <w:cols w:space="720"/>
        </w:sectPr>
      </w:pPr>
    </w:p>
    <w:p w:rsidR="00DE5BAF" w:rsidRDefault="00DE5BAF">
      <w:pPr>
        <w:spacing w:after="0" w:line="180" w:lineRule="exact"/>
        <w:rPr>
          <w:sz w:val="18"/>
          <w:szCs w:val="18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986B09">
      <w:pPr>
        <w:tabs>
          <w:tab w:val="left" w:pos="3020"/>
          <w:tab w:val="left" w:pos="4580"/>
          <w:tab w:val="left" w:pos="5680"/>
        </w:tabs>
        <w:spacing w:after="0" w:line="303" w:lineRule="exact"/>
        <w:ind w:left="902" w:right="-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-2"/>
          <w:position w:val="-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ab/>
        <w:t>Location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ab/>
        <w:t>Dates</w:t>
      </w:r>
      <w:r>
        <w:rPr>
          <w:rFonts w:ascii="Times New Roman" w:eastAsia="Times New Roman" w:hAnsi="Times New Roman" w:cs="Times New Roman"/>
          <w:b/>
          <w:bCs/>
          <w:position w:val="-6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Brief Exp</w:t>
      </w:r>
      <w:r>
        <w:rPr>
          <w:rFonts w:ascii="Times New Roman" w:eastAsia="Times New Roman" w:hAnsi="Times New Roman" w:cs="Times New Roman"/>
          <w:b/>
          <w:bCs/>
          <w:spacing w:val="-2"/>
          <w:position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anation of How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the Conference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Enhan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the</w:t>
      </w:r>
    </w:p>
    <w:p w:rsidR="00DE5BAF" w:rsidRDefault="00986B09">
      <w:pPr>
        <w:spacing w:after="0" w:line="157" w:lineRule="exact"/>
        <w:ind w:right="161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's Missi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20"/>
          <w:szCs w:val="20"/>
        </w:rPr>
        <w:t>n</w:t>
      </w:r>
    </w:p>
    <w:p w:rsidR="00DE5BAF" w:rsidRDefault="00986B09">
      <w:pPr>
        <w:spacing w:before="34" w:after="0" w:line="240" w:lineRule="auto"/>
        <w:ind w:left="-17" w:right="-37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Total Number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Individ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hose Travel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ses Were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 by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 Ag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ncy</w:t>
      </w:r>
    </w:p>
    <w:p w:rsidR="00DE5BAF" w:rsidRDefault="00986B09">
      <w:pPr>
        <w:spacing w:before="5" w:after="0" w:line="260" w:lineRule="exact"/>
        <w:rPr>
          <w:sz w:val="26"/>
          <w:szCs w:val="26"/>
        </w:rPr>
      </w:pPr>
      <w:r>
        <w:br w:type="column"/>
      </w:r>
    </w:p>
    <w:p w:rsidR="00DE5BAF" w:rsidRDefault="00986B09">
      <w:pPr>
        <w:spacing w:after="0" w:line="239" w:lineRule="auto"/>
        <w:ind w:left="-17" w:right="2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 Confer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nce Expenses</w:t>
      </w:r>
    </w:p>
    <w:p w:rsidR="00DE5BAF" w:rsidRDefault="00DE5BAF">
      <w:pPr>
        <w:spacing w:after="0"/>
        <w:jc w:val="center"/>
        <w:sectPr w:rsidR="00DE5BAF">
          <w:type w:val="continuous"/>
          <w:pgSz w:w="15840" w:h="12240" w:orient="landscape"/>
          <w:pgMar w:top="1120" w:right="860" w:bottom="280" w:left="1060" w:header="720" w:footer="720" w:gutter="0"/>
          <w:cols w:num="3" w:space="720" w:equalWidth="0">
            <w:col w:w="10455" w:space="332"/>
            <w:col w:w="1596" w:space="297"/>
            <w:col w:w="1240"/>
          </w:cols>
        </w:sectPr>
      </w:pPr>
    </w:p>
    <w:p w:rsidR="00DE5BAF" w:rsidRDefault="00DE5BAF">
      <w:pPr>
        <w:spacing w:before="2" w:after="0" w:line="120" w:lineRule="exact"/>
        <w:rPr>
          <w:sz w:val="12"/>
          <w:szCs w:val="12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CC5F30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6ADACCD" wp14:editId="4FCAE4A7">
                <wp:simplePos x="0" y="0"/>
                <wp:positionH relativeFrom="page">
                  <wp:posOffset>758521</wp:posOffset>
                </wp:positionH>
                <wp:positionV relativeFrom="paragraph">
                  <wp:posOffset>74295</wp:posOffset>
                </wp:positionV>
                <wp:extent cx="8517890" cy="3598545"/>
                <wp:effectExtent l="0" t="0" r="1651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7890" cy="359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1"/>
                              <w:gridCol w:w="1514"/>
                              <w:gridCol w:w="1480"/>
                              <w:gridCol w:w="4994"/>
                              <w:gridCol w:w="1890"/>
                              <w:gridCol w:w="1278"/>
                            </w:tblGrid>
                            <w:tr w:rsidR="00DE5BAF" w:rsidTr="002E2044">
                              <w:trPr>
                                <w:trHeight w:hRule="exact" w:val="2442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9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290368">
                                  <w:pPr>
                                    <w:spacing w:after="0" w:line="240" w:lineRule="auto"/>
                                    <w:ind w:left="102" w:right="6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FTA 15</w:t>
                                  </w:r>
                                  <w:r w:rsidRPr="0029036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Biennial State Programs Meeting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5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E55CDA">
                                  <w:pPr>
                                    <w:spacing w:after="0" w:line="230" w:lineRule="exact"/>
                                    <w:ind w:left="101" w:right="32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29036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ashington, DC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5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290368">
                                  <w:pPr>
                                    <w:spacing w:after="0" w:line="230" w:lineRule="exact"/>
                                    <w:ind w:left="102" w:right="1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August 7-9, 2013</w:t>
                                  </w:r>
                                </w:p>
                              </w:tc>
                              <w:tc>
                                <w:tcPr>
                                  <w:tcW w:w="4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013F" w:rsidRDefault="00986B09" w:rsidP="0052489B">
                                  <w:pPr>
                                    <w:spacing w:before="66" w:after="0" w:line="240" w:lineRule="auto"/>
                                    <w:ind w:left="102" w:right="93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This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renc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n 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F3013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F3013F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gather</w:t>
                                  </w:r>
                                  <w:r w:rsidR="003831E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F3013F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together individuals who manage FTA’s state</w:t>
                                  </w:r>
                                  <w:r w:rsidR="003831E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F3013F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administered programs to discuss issues related to these programs. It has historically attracted attendance by nearly every state. The state </w:t>
                                  </w:r>
                                  <w:proofErr w:type="gramStart"/>
                                  <w:r w:rsidR="003422C6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programs</w:t>
                                  </w:r>
                                  <w:r w:rsidR="0052489B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meeting provides</w:t>
                                  </w:r>
                                  <w:proofErr w:type="gramEnd"/>
                                  <w:r w:rsidR="00F3013F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an opportunity for FTA to provide technical assistance, training and program guidance to State DOT managers of FTA’s formula programs.</w:t>
                                  </w:r>
                                </w:p>
                                <w:p w:rsidR="00DE5BAF" w:rsidRDefault="00DE5BA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E5BAF" w:rsidRDefault="007C775A" w:rsidP="00BB363C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E5BAF" w:rsidRDefault="007C775A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$112,077</w:t>
                                  </w:r>
                                </w:p>
                              </w:tc>
                            </w:tr>
                            <w:tr w:rsidR="00DE5BAF" w:rsidTr="002E2044">
                              <w:trPr>
                                <w:trHeight w:hRule="exact" w:val="2523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Pr="00B074E6" w:rsidRDefault="00EB6D60">
                                  <w:pPr>
                                    <w:spacing w:after="0" w:line="240" w:lineRule="auto"/>
                                    <w:ind w:left="102" w:right="47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074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NHTSA 23</w:t>
                                  </w:r>
                                  <w:r w:rsidRPr="00B074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Pr="00B074E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International Technical Conference on the Enhanced Safety of Vehicles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9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EB6D60">
                                  <w:pPr>
                                    <w:spacing w:after="0" w:line="230" w:lineRule="exact"/>
                                    <w:ind w:left="101" w:right="28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Seoul, Korea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7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986B09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ay 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27-30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DE5BAF" w:rsidRDefault="00986B09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49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986B09" w:rsidP="00EB6D60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annual conference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 spo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="0052489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NHTSA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 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EB6D60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focused on key automotive safety topics to educate participants on the latest vehicle safety advancement through</w:t>
                                  </w:r>
                                </w:p>
                                <w:p w:rsidR="00EB6D60" w:rsidRDefault="00EB6D60" w:rsidP="00EB6D60">
                                  <w:pPr>
                                    <w:spacing w:after="0" w:line="226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formal technical </w:t>
                                  </w:r>
                                  <w:r w:rsidR="00986B09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presentations and vendor exhibitions. A </w:t>
                                  </w:r>
                                </w:p>
                                <w:p w:rsidR="00986B09" w:rsidRDefault="00986B09" w:rsidP="00EB6D60">
                                  <w:pPr>
                                    <w:spacing w:after="0" w:line="226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bilateral planning committee was convened to develop the</w:t>
                                  </w:r>
                                </w:p>
                                <w:p w:rsidR="00986B09" w:rsidRDefault="00986B09" w:rsidP="00986B09">
                                  <w:pPr>
                                    <w:spacing w:after="0" w:line="226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technical agenda, select and invite speakers and    </w:t>
                                  </w:r>
                                </w:p>
                                <w:p w:rsidR="00986B09" w:rsidRDefault="00370158" w:rsidP="00986B09">
                                  <w:pPr>
                                    <w:spacing w:after="0" w:line="226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986B09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di</w:t>
                                  </w:r>
                                  <w:r w:rsidR="00FD7D1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scussants</w:t>
                                  </w:r>
                                  <w:proofErr w:type="gramEnd"/>
                                  <w:r w:rsidR="00FD7D1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, and provide</w:t>
                                  </w:r>
                                  <w:r w:rsidR="00986B09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safety </w:t>
                                  </w:r>
                                  <w:r w:rsidR="0052489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demonstrations</w:t>
                                  </w:r>
                                  <w:r w:rsidR="002E204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FD7D1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2E204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86B09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video was recorded for future technical reference and the </w:t>
                                  </w:r>
                                  <w:r w:rsidR="002E2044" w:rsidRPr="002E204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proceedings have been made available to the public</w:t>
                                  </w:r>
                                  <w:r w:rsidR="00FD7D1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86B09" w:rsidRDefault="00986B09" w:rsidP="002E2044">
                                  <w:pPr>
                                    <w:spacing w:after="0" w:line="226" w:lineRule="exact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EB6D60" w:rsidP="00BB363C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EB6D60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$198,063</w:t>
                                  </w:r>
                                </w:p>
                              </w:tc>
                            </w:tr>
                          </w:tbl>
                          <w:p w:rsidR="00DE5BAF" w:rsidRDefault="00DE5BA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.75pt;margin-top:5.85pt;width:670.7pt;height:283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1PrA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1"/>
                        <w:gridCol w:w="1514"/>
                        <w:gridCol w:w="1480"/>
                        <w:gridCol w:w="4994"/>
                        <w:gridCol w:w="1890"/>
                        <w:gridCol w:w="1278"/>
                      </w:tblGrid>
                      <w:tr w:rsidR="00DE5BAF" w:rsidTr="002E2044">
                        <w:trPr>
                          <w:trHeight w:hRule="exact" w:val="2442"/>
                        </w:trPr>
                        <w:tc>
                          <w:tcPr>
                            <w:tcW w:w="2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9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290368">
                            <w:pPr>
                              <w:spacing w:after="0" w:line="240" w:lineRule="auto"/>
                              <w:ind w:left="102" w:right="6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FTA 15</w:t>
                            </w:r>
                            <w:r w:rsidRPr="0029036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Biennial State Programs Meeting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E55CDA">
                            <w:pPr>
                              <w:spacing w:after="0" w:line="230" w:lineRule="exact"/>
                              <w:ind w:left="101" w:right="32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</w:t>
                            </w:r>
                            <w:r w:rsidR="0029036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ashington, DC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5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290368">
                            <w:pPr>
                              <w:spacing w:after="0" w:line="230" w:lineRule="exact"/>
                              <w:ind w:left="102" w:right="1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August 7-9, 2013</w:t>
                            </w:r>
                          </w:p>
                        </w:tc>
                        <w:tc>
                          <w:tcPr>
                            <w:tcW w:w="4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013F" w:rsidRDefault="00986B09" w:rsidP="0052489B">
                            <w:pPr>
                              <w:spacing w:before="66" w:after="0" w:line="240" w:lineRule="auto"/>
                              <w:ind w:left="102" w:right="9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renc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01</w:t>
                            </w:r>
                            <w:r w:rsidR="00F3013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="00F3013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gather</w:t>
                            </w:r>
                            <w:r w:rsidR="003831E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="00F3013F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together individuals who manage FTA’s state</w:t>
                            </w:r>
                            <w:r w:rsidR="003831E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-</w:t>
                            </w:r>
                            <w:r w:rsidR="00F3013F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administered programs to discuss issues related to these programs. It has historically attracted attendance by nearly every state. The state </w:t>
                            </w:r>
                            <w:proofErr w:type="gramStart"/>
                            <w:r w:rsidR="003422C6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programs</w:t>
                            </w:r>
                            <w:r w:rsidR="0052489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meeting provides</w:t>
                            </w:r>
                            <w:proofErr w:type="gramEnd"/>
                            <w:r w:rsidR="00F3013F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an opportunity for FTA to provide technical assistance, training and program guidance to State DOT managers of FTA’s formula programs.</w:t>
                            </w:r>
                          </w:p>
                          <w:p w:rsidR="00DE5BAF" w:rsidRDefault="00DE5BA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E5BAF" w:rsidRDefault="007C775A" w:rsidP="00BB363C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E5BAF" w:rsidRDefault="007C775A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$112,077</w:t>
                            </w:r>
                          </w:p>
                        </w:tc>
                      </w:tr>
                      <w:tr w:rsidR="00DE5BAF" w:rsidTr="002E2044">
                        <w:trPr>
                          <w:trHeight w:hRule="exact" w:val="2523"/>
                        </w:trPr>
                        <w:tc>
                          <w:tcPr>
                            <w:tcW w:w="2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Pr="00B074E6" w:rsidRDefault="00EB6D60">
                            <w:pPr>
                              <w:spacing w:after="0" w:line="240" w:lineRule="auto"/>
                              <w:ind w:left="102" w:right="478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074E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NHTSA 23</w:t>
                            </w:r>
                            <w:r w:rsidRPr="00B074E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B074E6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International Technical Conference on the Enhanced Safety of Vehicles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9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EB6D60">
                            <w:pPr>
                              <w:spacing w:after="0" w:line="230" w:lineRule="exact"/>
                              <w:ind w:left="101" w:right="28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Seoul, Korea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7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986B09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27-30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E5BAF" w:rsidRDefault="00986B09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49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986B09" w:rsidP="00EB6D60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annual conference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spo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 w:rsidR="0052489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NHTSA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EB6D6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focused on key automotive safety topics to educate participants on the latest vehicle safety advancement through</w:t>
                            </w:r>
                          </w:p>
                          <w:p w:rsidR="00EB6D60" w:rsidRDefault="00EB6D60" w:rsidP="00EB6D60">
                            <w:pPr>
                              <w:spacing w:after="0" w:line="2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formal technical </w:t>
                            </w:r>
                            <w:r w:rsidR="00986B0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presentations and vendor exhibitions. A </w:t>
                            </w:r>
                          </w:p>
                          <w:p w:rsidR="00986B09" w:rsidRDefault="00986B09" w:rsidP="00EB6D60">
                            <w:pPr>
                              <w:spacing w:after="0" w:line="2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bilateral planning committee was convened to develop the</w:t>
                            </w:r>
                          </w:p>
                          <w:p w:rsidR="00986B09" w:rsidRDefault="00986B09" w:rsidP="00986B09">
                            <w:pPr>
                              <w:spacing w:after="0" w:line="2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technical agenda, select and invite speakers and    </w:t>
                            </w:r>
                          </w:p>
                          <w:p w:rsidR="00986B09" w:rsidRDefault="00370158" w:rsidP="00986B09">
                            <w:pPr>
                              <w:spacing w:after="0" w:line="2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86B0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di</w:t>
                            </w:r>
                            <w:r w:rsidR="00FD7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scussants</w:t>
                            </w:r>
                            <w:proofErr w:type="gramEnd"/>
                            <w:r w:rsidR="00FD7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, and provide</w:t>
                            </w:r>
                            <w:r w:rsidR="00986B0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safety </w:t>
                            </w:r>
                            <w:r w:rsidR="0052489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demonstrations</w:t>
                            </w:r>
                            <w:r w:rsidR="002E20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D7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="002E20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6B0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video was recorded for future technical reference and the </w:t>
                            </w:r>
                            <w:r w:rsidR="002E2044" w:rsidRPr="002E204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proceedings have been made available to the public</w:t>
                            </w:r>
                            <w:r w:rsidR="00FD7D1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86B09" w:rsidRDefault="00986B09" w:rsidP="002E2044">
                            <w:pPr>
                              <w:spacing w:after="0" w:line="2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EB6D60" w:rsidP="00BB363C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EB6D60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$198,063</w:t>
                            </w:r>
                          </w:p>
                        </w:tc>
                      </w:tr>
                    </w:tbl>
                    <w:p w:rsidR="00DE5BAF" w:rsidRDefault="00DE5BA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before="34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E5BAF" w:rsidRDefault="00DE5BAF">
      <w:pPr>
        <w:spacing w:after="0" w:line="190" w:lineRule="exact"/>
        <w:rPr>
          <w:sz w:val="19"/>
          <w:szCs w:val="19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before="34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E5BAF" w:rsidRDefault="00DE5BAF">
      <w:pPr>
        <w:spacing w:after="0"/>
        <w:sectPr w:rsidR="00DE5BAF">
          <w:type w:val="continuous"/>
          <w:pgSz w:w="15840" w:h="12240" w:orient="landscape"/>
          <w:pgMar w:top="1120" w:right="860" w:bottom="280" w:left="1060" w:header="720" w:footer="720" w:gutter="0"/>
          <w:cols w:space="720"/>
        </w:sect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9C37D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FCDA88" wp14:editId="415862FB">
                <wp:simplePos x="0" y="0"/>
                <wp:positionH relativeFrom="page">
                  <wp:posOffset>930303</wp:posOffset>
                </wp:positionH>
                <wp:positionV relativeFrom="paragraph">
                  <wp:posOffset>68249</wp:posOffset>
                </wp:positionV>
                <wp:extent cx="8517890" cy="6702949"/>
                <wp:effectExtent l="0" t="0" r="1651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7890" cy="670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31"/>
                              <w:gridCol w:w="1514"/>
                              <w:gridCol w:w="1570"/>
                              <w:gridCol w:w="4904"/>
                              <w:gridCol w:w="1890"/>
                              <w:gridCol w:w="1278"/>
                            </w:tblGrid>
                            <w:tr w:rsidR="00DE5BAF" w:rsidTr="002E35F8">
                              <w:trPr>
                                <w:trHeight w:hRule="exact" w:val="1894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AF" w:rsidRDefault="003422C6" w:rsidP="002E35F8">
                                  <w:pPr>
                                    <w:spacing w:after="0" w:line="240" w:lineRule="auto"/>
                                    <w:ind w:left="102" w:right="14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FHWA</w:t>
                                  </w:r>
                                  <w:r w:rsidR="00986B0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Fall Business Meeting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2" w:after="0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55CDA" w:rsidRDefault="00E55CDA">
                                  <w:pPr>
                                    <w:spacing w:after="0" w:line="240" w:lineRule="auto"/>
                                    <w:ind w:left="101" w:right="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AB630E">
                                  <w:pPr>
                                    <w:spacing w:after="0" w:line="240" w:lineRule="auto"/>
                                    <w:ind w:left="101" w:right="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Silver Spring, MD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55CDA" w:rsidRDefault="00E55CDA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E55CDA" w:rsidP="00E55CDA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E35F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September 18-19</w:t>
                                  </w: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2013</w:t>
                                  </w: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 w:rsidP="002E35F8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E35F8" w:rsidRDefault="002E35F8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986B09" w:rsidP="004E5973">
                                  <w:pPr>
                                    <w:spacing w:after="0" w:line="22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meeting,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HWA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ensures that FHWA leaders gather to discuss Agency priorities, policies, and processes. FHWA</w:t>
                                  </w:r>
                                  <w:r w:rsidR="003701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’s</w:t>
                                  </w:r>
                                  <w:r w:rsidR="004E597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Administrator and Deputy Administrator provide strategic direction to the or</w:t>
                                  </w:r>
                                  <w:r w:rsidR="00E0597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ganizational leaders. Significant national highway issues such as risk-based </w:t>
                                  </w:r>
                                  <w:r w:rsidR="0052489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stewardship</w:t>
                                  </w:r>
                                  <w:r w:rsidR="00E0597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and oversight, fiscal accountability and future legislative direction for the $40 billion annual Federal-aid program were discussed.</w:t>
                                  </w:r>
                                </w:p>
                                <w:p w:rsidR="004E5973" w:rsidRDefault="004E5973" w:rsidP="004E5973">
                                  <w:pPr>
                                    <w:spacing w:after="0" w:line="227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7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E5BAF" w:rsidRDefault="008F3EE2" w:rsidP="00BB363C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7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E5BAF" w:rsidRDefault="008F3EE2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$120,271</w:t>
                                  </w:r>
                                </w:p>
                              </w:tc>
                            </w:tr>
                            <w:tr w:rsidR="00DE5BAF" w:rsidTr="002E35F8">
                              <w:trPr>
                                <w:trHeight w:hRule="exact" w:val="2786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2" w:after="0" w:line="220" w:lineRule="exact"/>
                                  </w:pPr>
                                </w:p>
                                <w:p w:rsidR="00DE5BAF" w:rsidRDefault="00BF6F98">
                                  <w:pPr>
                                    <w:spacing w:after="0" w:line="240" w:lineRule="auto"/>
                                    <w:ind w:left="102" w:right="25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FRA Discipline Specific Training Session I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AF" w:rsidRDefault="00BF6F98">
                                  <w:pPr>
                                    <w:spacing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Detroit, MI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before="5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C3511C" w:rsidP="003D2EAD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September 9-13, 2013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6C01E9" w:rsidP="00C3511C">
                                  <w:pPr>
                                    <w:spacing w:before="2" w:after="0" w:line="230" w:lineRule="exact"/>
                                    <w:ind w:left="102" w:right="20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The purpose of this event was to provide inspector training on new regulations timed to regulatory actions and enforcement deadlines.  Guidance, knowledge and enforcement guidelines </w:t>
                                  </w:r>
                                  <w:r w:rsidR="00C3511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provided, thus sustaining a culture of safety while leveraging technical advances, which results in a better trained workforce, a more consistent approach to enforcement and continuous safety improvement. A recent OIG report highlighted the need to increase technical training for the inspectors who are geographically dispersed around the country</w:t>
                                  </w:r>
                                  <w:r w:rsid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and generally perform t</w:t>
                                  </w:r>
                                  <w:r w:rsidR="003831E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heir mission with a great deal</w:t>
                                  </w:r>
                                  <w:r w:rsidR="003422C6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="00C3511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autonomy</w:t>
                                  </w:r>
                                  <w:proofErr w:type="gramEnd"/>
                                  <w:r w:rsid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AF" w:rsidRDefault="008F3EE2" w:rsidP="00BB363C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AF" w:rsidRDefault="008F3EE2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$377,641</w:t>
                                  </w:r>
                                </w:p>
                              </w:tc>
                            </w:tr>
                            <w:tr w:rsidR="00DE5BAF" w:rsidTr="003831ED">
                              <w:trPr>
                                <w:trHeight w:hRule="exact" w:val="3245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F6F98" w:rsidRPr="00BF6F98" w:rsidRDefault="00BF6F98" w:rsidP="00BF6F98">
                                  <w:pPr>
                                    <w:spacing w:before="18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E5BAF" w:rsidRPr="00BF6F98" w:rsidRDefault="00BF6F98" w:rsidP="00BF6F98">
                                  <w:pPr>
                                    <w:spacing w:before="18" w:after="0" w:line="240" w:lineRule="exac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6F9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FRA Discipline Specific Training Session II</w:t>
                                  </w:r>
                                </w:p>
                                <w:p w:rsidR="00DE5BAF" w:rsidRDefault="00DE5BAF">
                                  <w:pPr>
                                    <w:spacing w:after="0" w:line="240" w:lineRule="auto"/>
                                    <w:ind w:left="102" w:right="17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E5BAF" w:rsidRDefault="00BF6F98">
                                  <w:pPr>
                                    <w:spacing w:after="0" w:line="230" w:lineRule="exact"/>
                                    <w:ind w:left="101" w:right="32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Detroit, MI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6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E5BAF" w:rsidRDefault="00986B09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D2EAD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ember </w:t>
                                  </w:r>
                                  <w:r w:rsidR="00BF6F9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16-20</w:t>
                                  </w:r>
                                </w:p>
                                <w:p w:rsidR="00DE5BAF" w:rsidRDefault="00986B09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F6F98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9C37D1" w:rsidP="00C3511C">
                                  <w:pPr>
                                    <w:spacing w:after="0" w:line="240" w:lineRule="auto"/>
                                    <w:ind w:left="102" w:right="17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The purpose of this event was to provide inspector training on new regulations timed to regulatory actions and enforcement deadlines.  Guidance, knowledge and enforcement guidelines </w:t>
                                  </w:r>
                                  <w:r w:rsidR="00C3511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were</w:t>
                                  </w:r>
                                  <w:r w:rsidRP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provided, thus sustaining a culture of safety while leveraging technical advances, which results in a better trained workforce, a more consistent approach to enforcement and continuous safety improvement. A recent OIG report highlighted the need to increase technical training for the inspectors who are geographically dispersed around the country and generally perform t</w:t>
                                  </w:r>
                                  <w:r w:rsidR="00946B86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heir mission with a great deal</w:t>
                                  </w:r>
                                  <w:r w:rsidRPr="009C37D1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of autonomy.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8F3EE2" w:rsidP="00BB363C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DE5BAF">
                                  <w:pPr>
                                    <w:spacing w:before="1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8F3EE2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$393,018</w:t>
                                  </w:r>
                                </w:p>
                              </w:tc>
                            </w:tr>
                            <w:tr w:rsidR="00DE5BAF" w:rsidTr="002E35F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22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Pr="00E3747A" w:rsidRDefault="0036061D">
                                  <w:pPr>
                                    <w:spacing w:after="0" w:line="240" w:lineRule="auto"/>
                                    <w:ind w:left="102" w:right="8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374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City Logistics Research: </w:t>
                                  </w:r>
                                  <w:r w:rsidR="00F62273" w:rsidRPr="00E374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 Trans-Atlantic Perspective, EU-US </w:t>
                                  </w:r>
                                  <w:r w:rsidRPr="00E374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Transpo</w:t>
                                  </w:r>
                                  <w:r w:rsidR="009A1B4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rtation Research Symposium 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5CDA" w:rsidRDefault="00E55CDA">
                                  <w:pPr>
                                    <w:spacing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55CDA" w:rsidRDefault="00E55CDA">
                                  <w:pPr>
                                    <w:spacing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F62273">
                                  <w:pPr>
                                    <w:spacing w:after="0" w:line="240" w:lineRule="auto"/>
                                    <w:ind w:left="1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Washington, DC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5CDA" w:rsidRDefault="00E55CDA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55CDA" w:rsidRDefault="00E55CDA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BAF" w:rsidRDefault="00F62273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May 30-31, 2013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F62273" w:rsidP="00352D2C">
                                  <w:pPr>
                                    <w:spacing w:after="0" w:line="240" w:lineRule="auto"/>
                                    <w:ind w:left="102" w:right="7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 w:rsidR="00621FD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symposium focused on the transport of goods</w:t>
                                  </w:r>
                                  <w:r w:rsidR="00337069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 urban areas</w:t>
                                  </w:r>
                                  <w:r w:rsidR="002D164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52D2C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="00D367C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disseminating information on international RD&amp;T activities underway in </w:t>
                                  </w:r>
                                  <w:r w:rsidR="00621FD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D367C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="00AB49F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367C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AB49F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D367C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and Europe.</w:t>
                                  </w:r>
                                  <w:r w:rsidR="00AB49FB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D164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DOT contracted with the National Academy of Sciences to coordinate the activities of the planning committee and to execute the l</w:t>
                                  </w:r>
                                  <w:r w:rsidR="00621FD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ogistics of the symposium.  The event</w:t>
                                  </w:r>
                                  <w:r w:rsidR="002D164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created multiple opportunities for collaboration on transportation-related research between U.S. and European research</w:t>
                                  </w:r>
                                  <w:r w:rsidR="00621FD4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ers and</w:t>
                                  </w:r>
                                  <w:r w:rsidR="002D1647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resulted in the identification of many knowledge gaps and created a synergy for research collaboration in the future.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 w:rsidP="0013471F">
                                  <w:pPr>
                                    <w:spacing w:after="0" w:line="240" w:lineRule="auto"/>
                                    <w:ind w:left="102" w:right="-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E5BAF" w:rsidRDefault="00DE5BA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471F" w:rsidRDefault="0013471F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$106,092</w:t>
                                  </w:r>
                                </w:p>
                              </w:tc>
                            </w:tr>
                          </w:tbl>
                          <w:p w:rsidR="00DE5BAF" w:rsidRDefault="00DE5BA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3.25pt;margin-top:5.35pt;width:670.7pt;height:527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Yo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31"/>
                        <w:gridCol w:w="1514"/>
                        <w:gridCol w:w="1570"/>
                        <w:gridCol w:w="4904"/>
                        <w:gridCol w:w="1890"/>
                        <w:gridCol w:w="1278"/>
                      </w:tblGrid>
                      <w:tr w:rsidR="00DE5BAF" w:rsidTr="002E35F8">
                        <w:trPr>
                          <w:trHeight w:hRule="exact" w:val="1894"/>
                        </w:trPr>
                        <w:tc>
                          <w:tcPr>
                            <w:tcW w:w="223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BAF" w:rsidRDefault="003422C6" w:rsidP="002E35F8">
                            <w:pPr>
                              <w:spacing w:after="0" w:line="240" w:lineRule="auto"/>
                              <w:ind w:left="102" w:righ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FHWA</w:t>
                            </w:r>
                            <w:r w:rsidR="00986B0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Annual Fall Business Meeting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2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5CDA" w:rsidRDefault="00E55CDA">
                            <w:pPr>
                              <w:spacing w:after="0" w:line="240" w:lineRule="auto"/>
                              <w:ind w:left="101" w:right="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AB630E">
                            <w:pPr>
                              <w:spacing w:after="0" w:line="240" w:lineRule="auto"/>
                              <w:ind w:left="101" w:right="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Silver Spring, MD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55CDA" w:rsidRDefault="00E55CDA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E55CDA" w:rsidP="00E55CDA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35F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September 18-19</w:t>
                            </w: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 w:rsidP="002E35F8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E35F8" w:rsidRDefault="002E35F8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0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986B09" w:rsidP="004E5973">
                            <w:pPr>
                              <w:spacing w:after="0" w:line="22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meeting,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HWA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01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ensures that FHWA leaders gather to discuss Agency priorities, policies, and processes. FHWA</w:t>
                            </w:r>
                            <w:r w:rsidR="003701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’s</w:t>
                            </w:r>
                            <w:r w:rsidR="004E597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Administrator and Deputy Administrator provide strategic direction to the or</w:t>
                            </w:r>
                            <w:r w:rsidR="00E059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ganizational leaders. Significant national highway issues such as risk-based </w:t>
                            </w:r>
                            <w:r w:rsidR="0052489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stewardship</w:t>
                            </w:r>
                            <w:r w:rsidR="00E0597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and oversight, fiscal accountability and future legislative direction for the $40 billion annual Federal-aid program were discussed.</w:t>
                            </w:r>
                          </w:p>
                          <w:p w:rsidR="004E5973" w:rsidRDefault="004E5973" w:rsidP="004E5973">
                            <w:pPr>
                              <w:spacing w:after="0" w:line="227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7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BAF" w:rsidRDefault="008F3EE2" w:rsidP="00BB363C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7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BAF" w:rsidRDefault="008F3EE2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$120,271</w:t>
                            </w:r>
                          </w:p>
                        </w:tc>
                      </w:tr>
                      <w:tr w:rsidR="00DE5BAF" w:rsidTr="002E35F8">
                        <w:trPr>
                          <w:trHeight w:hRule="exact" w:val="2786"/>
                        </w:trPr>
                        <w:tc>
                          <w:tcPr>
                            <w:tcW w:w="2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2" w:after="0" w:line="220" w:lineRule="exact"/>
                            </w:pPr>
                          </w:p>
                          <w:p w:rsidR="00DE5BAF" w:rsidRDefault="00BF6F98">
                            <w:pPr>
                              <w:spacing w:after="0" w:line="240" w:lineRule="auto"/>
                              <w:ind w:left="102" w:right="25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FRA Discipline Specific Training Session I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BAF" w:rsidRDefault="00BF6F98">
                            <w:pPr>
                              <w:spacing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Detroit, MI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C3511C" w:rsidP="003D2EAD">
                            <w:pPr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September 9-13, 2013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6C01E9" w:rsidP="00C3511C">
                            <w:pPr>
                              <w:spacing w:before="2" w:after="0" w:line="230" w:lineRule="exact"/>
                              <w:ind w:left="102" w:right="20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The purpose of this event was to provide inspector training on new regulations timed to regulatory actions and enforcement deadlines.  Guidance, knowledge and enforcement guidelines </w:t>
                            </w:r>
                            <w:r w:rsidR="00C3511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provided, thus sustaining a culture of safety while leveraging technical advances, which results in a better trained workforce, a more consistent approach to enforcement and continuous safety improvement. A recent OIG report highlighted the need to increase technical training for the inspectors who are geographically dispersed around the country</w:t>
                            </w:r>
                            <w:r w:rsid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and generally perform t</w:t>
                            </w:r>
                            <w:r w:rsidR="003831E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heir mission with a great deal</w:t>
                            </w:r>
                            <w:r w:rsidR="003422C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C3511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autonomy</w:t>
                            </w:r>
                            <w:proofErr w:type="gramEnd"/>
                            <w:r w:rsid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BAF" w:rsidRDefault="008F3EE2" w:rsidP="00BB363C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BAF" w:rsidRDefault="008F3EE2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$377,641</w:t>
                            </w:r>
                          </w:p>
                        </w:tc>
                      </w:tr>
                      <w:tr w:rsidR="00DE5BAF" w:rsidTr="003831ED">
                        <w:trPr>
                          <w:trHeight w:hRule="exact" w:val="3245"/>
                        </w:trPr>
                        <w:tc>
                          <w:tcPr>
                            <w:tcW w:w="2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6F98" w:rsidRPr="00BF6F98" w:rsidRDefault="00BF6F98" w:rsidP="00BF6F98">
                            <w:pPr>
                              <w:spacing w:before="18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5BAF" w:rsidRPr="00BF6F98" w:rsidRDefault="00BF6F98" w:rsidP="00BF6F98">
                            <w:pPr>
                              <w:spacing w:before="18"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F6F9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FRA Discipline Specific Training Session II</w:t>
                            </w:r>
                          </w:p>
                          <w:p w:rsidR="00DE5BAF" w:rsidRDefault="00DE5BAF">
                            <w:pPr>
                              <w:spacing w:after="0" w:line="240" w:lineRule="auto"/>
                              <w:ind w:left="102" w:right="17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BAF" w:rsidRDefault="00BF6F98">
                            <w:pPr>
                              <w:spacing w:after="0" w:line="230" w:lineRule="exact"/>
                              <w:ind w:left="101" w:right="3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Detroit, MI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E5BAF" w:rsidRDefault="00986B09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3D2EA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ember </w:t>
                            </w:r>
                            <w:r w:rsidR="00BF6F9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16-20</w:t>
                            </w:r>
                          </w:p>
                          <w:p w:rsidR="00DE5BAF" w:rsidRDefault="00986B09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 w:rsidR="00BF6F98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9C37D1" w:rsidP="00C3511C">
                            <w:pPr>
                              <w:spacing w:after="0" w:line="240" w:lineRule="auto"/>
                              <w:ind w:left="102" w:right="17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The purpose of this event was to provide inspector training on new regulations timed to regulatory actions and enforcement deadlines.  Guidance, knowledge and enforcement guidelines </w:t>
                            </w:r>
                            <w:r w:rsidR="00C3511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were</w:t>
                            </w:r>
                            <w:r w:rsidRP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provided, thus sustaining a culture of safety while leveraging technical advances, which results in a better trained workforce, a more consistent approach to enforcement and continuous safety improvement. A recent OIG report highlighted the need to increase technical training for the inspectors who are geographically dispersed around the country and generally perform t</w:t>
                            </w:r>
                            <w:r w:rsidR="00946B8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heir mission with a great deal</w:t>
                            </w:r>
                            <w:r w:rsidRPr="009C37D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of autonomy.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8F3EE2" w:rsidP="00BB363C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DE5BAF">
                            <w:pPr>
                              <w:spacing w:before="1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8F3EE2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$393,018</w:t>
                            </w:r>
                          </w:p>
                        </w:tc>
                      </w:tr>
                      <w:tr w:rsidR="00DE5BAF" w:rsidTr="002E35F8">
                        <w:trPr>
                          <w:trHeight w:hRule="exact" w:val="3402"/>
                        </w:trPr>
                        <w:tc>
                          <w:tcPr>
                            <w:tcW w:w="22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Pr="00E3747A" w:rsidRDefault="0036061D">
                            <w:pPr>
                              <w:spacing w:after="0" w:line="240" w:lineRule="auto"/>
                              <w:ind w:left="102" w:right="87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3747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City Logistics Research: </w:t>
                            </w:r>
                            <w:r w:rsidR="00F62273" w:rsidRPr="00E3747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 Trans-Atlantic Perspective, EU-US </w:t>
                            </w:r>
                            <w:r w:rsidRPr="00E3747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Transpo</w:t>
                            </w:r>
                            <w:r w:rsidR="009A1B48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rtation Research Symposium </w:t>
                            </w:r>
                          </w:p>
                        </w:tc>
                        <w:tc>
                          <w:tcPr>
                            <w:tcW w:w="1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5CDA" w:rsidRDefault="00E55CDA">
                            <w:pPr>
                              <w:spacing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55CDA" w:rsidRDefault="00E55CDA">
                            <w:pPr>
                              <w:spacing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F62273">
                            <w:pPr>
                              <w:spacing w:after="0" w:line="240" w:lineRule="auto"/>
                              <w:ind w:left="1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Washington, DC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5CDA" w:rsidRDefault="00E55CDA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55CDA" w:rsidRDefault="00E55CDA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BAF" w:rsidRDefault="00F62273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May 30-31, 2013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F62273" w:rsidP="00352D2C">
                            <w:pPr>
                              <w:spacing w:after="0" w:line="240" w:lineRule="auto"/>
                              <w:ind w:left="102" w:right="7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</w:t>
                            </w:r>
                            <w:r w:rsidR="00621FD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symposium focused on the transport of goods</w:t>
                            </w:r>
                            <w:r w:rsidR="0033706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in urban areas</w:t>
                            </w:r>
                            <w:r w:rsidR="002D164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2D2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D367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disseminating information on international RD&amp;T activities underway in </w:t>
                            </w:r>
                            <w:r w:rsidR="00621FD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D367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="00AB49F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D367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AB49F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D367C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and Europe.</w:t>
                            </w:r>
                            <w:r w:rsidR="00AB49F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164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DOT contracted with the National Academy of Sciences to coordinate the activities of the planning committee and to execute the l</w:t>
                            </w:r>
                            <w:r w:rsidR="00621FD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ogistics of the symposium.  The event</w:t>
                            </w:r>
                            <w:r w:rsidR="002D164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created multiple opportunities for collaboration on transportation-related research between U.S. and European research</w:t>
                            </w:r>
                            <w:r w:rsidR="00621FD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ers and</w:t>
                            </w:r>
                            <w:r w:rsidR="002D164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resulted in the identification of many knowledge gaps and created a synergy for research collaboration in the future.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 w:rsidP="0013471F">
                            <w:pPr>
                              <w:spacing w:after="0" w:line="240" w:lineRule="auto"/>
                              <w:ind w:left="102" w:right="-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E5BAF" w:rsidRDefault="00DE5BA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3471F" w:rsidRDefault="0013471F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$106,092</w:t>
                            </w:r>
                          </w:p>
                        </w:tc>
                      </w:tr>
                    </w:tbl>
                    <w:p w:rsidR="00DE5BAF" w:rsidRDefault="00DE5BAF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before="2" w:after="0" w:line="260" w:lineRule="exact"/>
        <w:rPr>
          <w:sz w:val="26"/>
          <w:szCs w:val="26"/>
        </w:rPr>
      </w:pPr>
    </w:p>
    <w:p w:rsidR="00DE5BAF" w:rsidRDefault="00DE5BAF">
      <w:pPr>
        <w:spacing w:before="34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before="8" w:after="0" w:line="280" w:lineRule="exact"/>
        <w:rPr>
          <w:sz w:val="28"/>
          <w:szCs w:val="28"/>
        </w:rPr>
      </w:pPr>
    </w:p>
    <w:p w:rsidR="00DE5BAF" w:rsidRDefault="00DE5BAF">
      <w:pPr>
        <w:spacing w:before="34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E5BAF" w:rsidRDefault="00DE5BAF">
      <w:pPr>
        <w:spacing w:before="9" w:after="0" w:line="180" w:lineRule="exact"/>
        <w:rPr>
          <w:sz w:val="18"/>
          <w:szCs w:val="18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E55CDA">
      <w:pPr>
        <w:spacing w:before="34" w:after="0" w:line="226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:rsidR="00DE5BAF" w:rsidRDefault="00DE5BAF">
      <w:pPr>
        <w:spacing w:before="2" w:after="0" w:line="140" w:lineRule="exact"/>
        <w:rPr>
          <w:sz w:val="14"/>
          <w:szCs w:val="14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Pr="004059C6" w:rsidRDefault="00DE5BAF" w:rsidP="004059C6">
      <w:pPr>
        <w:spacing w:before="34"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  <w:sectPr w:rsidR="00DE5BAF" w:rsidRPr="004059C6">
          <w:pgSz w:w="15840" w:h="12240" w:orient="landscape"/>
          <w:pgMar w:top="1120" w:right="860" w:bottom="280" w:left="1060" w:header="720" w:footer="720" w:gutter="0"/>
          <w:cols w:space="720"/>
        </w:sectPr>
      </w:pPr>
    </w:p>
    <w:p w:rsidR="00DE5BAF" w:rsidRDefault="00DE5BAF" w:rsidP="009C37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DE5BAF">
      <w:pgSz w:w="15840" w:h="12240" w:orient="landscape"/>
      <w:pgMar w:top="1120" w:right="8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AF"/>
    <w:rsid w:val="00045E6A"/>
    <w:rsid w:val="000F6491"/>
    <w:rsid w:val="0013471F"/>
    <w:rsid w:val="00290368"/>
    <w:rsid w:val="002D1647"/>
    <w:rsid w:val="002E2044"/>
    <w:rsid w:val="002E35F8"/>
    <w:rsid w:val="00337069"/>
    <w:rsid w:val="003422C6"/>
    <w:rsid w:val="00352D2C"/>
    <w:rsid w:val="0036061D"/>
    <w:rsid w:val="00370158"/>
    <w:rsid w:val="003831ED"/>
    <w:rsid w:val="003D2EAD"/>
    <w:rsid w:val="004059C6"/>
    <w:rsid w:val="004E5973"/>
    <w:rsid w:val="0052489B"/>
    <w:rsid w:val="00621FD4"/>
    <w:rsid w:val="006C01E9"/>
    <w:rsid w:val="007C775A"/>
    <w:rsid w:val="008F3EE2"/>
    <w:rsid w:val="00946B86"/>
    <w:rsid w:val="00986B09"/>
    <w:rsid w:val="009A1B48"/>
    <w:rsid w:val="009C37D1"/>
    <w:rsid w:val="009E5E70"/>
    <w:rsid w:val="00A37202"/>
    <w:rsid w:val="00AB49FB"/>
    <w:rsid w:val="00AB630E"/>
    <w:rsid w:val="00B074E6"/>
    <w:rsid w:val="00BB363C"/>
    <w:rsid w:val="00BF6F98"/>
    <w:rsid w:val="00C3511C"/>
    <w:rsid w:val="00CC5F30"/>
    <w:rsid w:val="00D367C7"/>
    <w:rsid w:val="00DC3B88"/>
    <w:rsid w:val="00DE5BAF"/>
    <w:rsid w:val="00E0597B"/>
    <w:rsid w:val="00E3747A"/>
    <w:rsid w:val="00E55CDA"/>
    <w:rsid w:val="00EB6D60"/>
    <w:rsid w:val="00F3013F"/>
    <w:rsid w:val="00F62273"/>
    <w:rsid w:val="00FA41D3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DOT Sponsored Conferences Over $100K 1 30 13 OST PA - for budget FINAL CLEAN</vt:lpstr>
    </vt:vector>
  </TitlesOfParts>
  <Company>DOT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DOT Sponsored Conferences Over $100K 1 30 13 OST PA - for budget FINAL CLEAN</dc:title>
  <dc:creator>susan.hendrick</dc:creator>
  <cp:lastModifiedBy>USDOT_User</cp:lastModifiedBy>
  <cp:revision>3</cp:revision>
  <cp:lastPrinted>2014-01-28T14:33:00Z</cp:lastPrinted>
  <dcterms:created xsi:type="dcterms:W3CDTF">2014-01-29T16:20:00Z</dcterms:created>
  <dcterms:modified xsi:type="dcterms:W3CDTF">2014-01-29T16:21:00Z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2014-01-16T00:00:00Z</vt:filetime>
  </property>
</Properties>
</file>