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B3" w:rsidRDefault="00AA2B27">
      <w:pPr>
        <w:pStyle w:val="Heading1"/>
        <w:jc w:val="center"/>
        <w:rPr>
          <w:rFonts w:eastAsia="Times New Roman"/>
        </w:rPr>
      </w:pPr>
      <w:r>
        <w:rPr>
          <w:rFonts w:eastAsia="Times New Roman"/>
        </w:rPr>
        <w:t>Report on DOT Significant Rulemakings</w:t>
      </w:r>
    </w:p>
    <w:p w:rsidR="00E066B3" w:rsidRDefault="00AA2B27">
      <w:pPr>
        <w:jc w:val="center"/>
        <w:rPr>
          <w:rFonts w:ascii="Times" w:eastAsia="Times New Roman" w:hAnsi="Times" w:cs="Times"/>
          <w:sz w:val="36"/>
          <w:szCs w:val="36"/>
        </w:rPr>
      </w:pPr>
      <w:r>
        <w:rPr>
          <w:rFonts w:ascii="Times" w:eastAsia="Times New Roman" w:hAnsi="Times" w:cs="Times"/>
          <w:sz w:val="36"/>
          <w:szCs w:val="36"/>
        </w:rPr>
        <w:t>Table of Contents</w:t>
      </w:r>
    </w:p>
    <w:p w:rsidR="00E066B3" w:rsidRDefault="00AA2B27">
      <w:pPr>
        <w:rPr>
          <w:rFonts w:ascii="Times" w:eastAsia="Times New Roman" w:hAnsi="Times" w:cs="Times"/>
        </w:rPr>
      </w:pPr>
      <w:r>
        <w:rPr>
          <w:rFonts w:ascii="Times" w:eastAsia="Times New Roman" w:hAnsi="Times" w:cs="Times"/>
          <w:b/>
          <w:bCs/>
        </w:rPr>
        <w:t>Federal Aviation Administration</w:t>
      </w:r>
    </w:p>
    <w:p w:rsidR="00E066B3" w:rsidRDefault="00AA2B27">
      <w:pPr>
        <w:divId w:val="1870609130"/>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Supercooled Large Droplet Icing Conditions</w:t>
        </w:r>
      </w:hyperlink>
    </w:p>
    <w:p w:rsidR="00E066B3" w:rsidRDefault="00E066B3">
      <w:pPr>
        <w:rPr>
          <w:rFonts w:ascii="Times" w:eastAsia="Times New Roman" w:hAnsi="Times" w:cs="Times"/>
          <w:sz w:val="20"/>
          <w:szCs w:val="20"/>
        </w:rPr>
      </w:pPr>
    </w:p>
    <w:p w:rsidR="00E066B3" w:rsidRDefault="00AA2B27">
      <w:pPr>
        <w:divId w:val="811554949"/>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Airport Safety Management System</w:t>
        </w:r>
      </w:hyperlink>
    </w:p>
    <w:p w:rsidR="00E066B3" w:rsidRDefault="00E066B3">
      <w:pPr>
        <w:rPr>
          <w:rFonts w:ascii="Times" w:eastAsia="Times New Roman" w:hAnsi="Times" w:cs="Times"/>
          <w:sz w:val="20"/>
          <w:szCs w:val="20"/>
        </w:rPr>
      </w:pPr>
    </w:p>
    <w:p w:rsidR="00E066B3" w:rsidRDefault="00AA2B27">
      <w:pPr>
        <w:divId w:val="175776610"/>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Student Pilot Application Requirements (formerly Photo Requirements for Pilot Certificates)</w:t>
        </w:r>
      </w:hyperlink>
    </w:p>
    <w:p w:rsidR="00E066B3" w:rsidRDefault="00E066B3">
      <w:pPr>
        <w:rPr>
          <w:rFonts w:ascii="Times" w:eastAsia="Times New Roman" w:hAnsi="Times" w:cs="Times"/>
          <w:sz w:val="20"/>
          <w:szCs w:val="20"/>
        </w:rPr>
      </w:pPr>
    </w:p>
    <w:p w:rsidR="00E066B3" w:rsidRDefault="00AA2B27">
      <w:pPr>
        <w:divId w:val="1847941042"/>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Flight and Duty Time Limitations and Rest Requirements; Supplemental Regulatory Impact Analysis</w:t>
        </w:r>
      </w:hyperlink>
    </w:p>
    <w:p w:rsidR="00E066B3" w:rsidRDefault="00E066B3">
      <w:pPr>
        <w:rPr>
          <w:rFonts w:ascii="Times" w:eastAsia="Times New Roman" w:hAnsi="Times" w:cs="Times"/>
          <w:sz w:val="20"/>
          <w:szCs w:val="20"/>
        </w:rPr>
      </w:pPr>
    </w:p>
    <w:p w:rsidR="00E066B3" w:rsidRDefault="00AA2B27">
      <w:pPr>
        <w:divId w:val="2022849827"/>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Operation and Certification of Small Unmanned Aircraft Systems (sUAS)</w:t>
        </w:r>
      </w:hyperlink>
    </w:p>
    <w:p w:rsidR="00E066B3" w:rsidRDefault="00E066B3">
      <w:pPr>
        <w:rPr>
          <w:rFonts w:ascii="Times" w:eastAsia="Times New Roman" w:hAnsi="Times" w:cs="Times"/>
          <w:sz w:val="20"/>
          <w:szCs w:val="20"/>
        </w:rPr>
      </w:pPr>
    </w:p>
    <w:p w:rsidR="00E066B3" w:rsidRDefault="00AA2B27">
      <w:pPr>
        <w:divId w:val="253825096"/>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Prohibition Against Certain Flights Within the Territory and Airspace of Afghanistan</w:t>
        </w:r>
      </w:hyperlink>
    </w:p>
    <w:p w:rsidR="00E066B3" w:rsidRDefault="00E066B3">
      <w:pPr>
        <w:rPr>
          <w:rFonts w:ascii="Times" w:eastAsia="Times New Roman" w:hAnsi="Times" w:cs="Times"/>
          <w:sz w:val="20"/>
          <w:szCs w:val="20"/>
        </w:rPr>
      </w:pPr>
    </w:p>
    <w:p w:rsidR="00E066B3" w:rsidRDefault="00AA2B27">
      <w:pPr>
        <w:divId w:val="961426623"/>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Requirement for Wildlife Assessments at Certificated Airports</w:t>
        </w:r>
      </w:hyperlink>
    </w:p>
    <w:p w:rsidR="00E066B3" w:rsidRDefault="00E066B3">
      <w:pPr>
        <w:rPr>
          <w:rFonts w:ascii="Times" w:eastAsia="Times New Roman" w:hAnsi="Times" w:cs="Times"/>
          <w:sz w:val="20"/>
          <w:szCs w:val="20"/>
        </w:rPr>
      </w:pPr>
    </w:p>
    <w:p w:rsidR="00E066B3" w:rsidRDefault="00AA2B27">
      <w:pPr>
        <w:divId w:val="149060769"/>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Regulation Of Flight Operations Conducted By Alaska Guide Pilots</w:t>
        </w:r>
      </w:hyperlink>
    </w:p>
    <w:p w:rsidR="00E066B3" w:rsidRDefault="00E066B3">
      <w:pPr>
        <w:rPr>
          <w:rFonts w:ascii="Times" w:eastAsia="Times New Roman" w:hAnsi="Times" w:cs="Times"/>
          <w:sz w:val="20"/>
          <w:szCs w:val="20"/>
        </w:rPr>
      </w:pPr>
    </w:p>
    <w:p w:rsidR="00E066B3" w:rsidRDefault="00AA2B27">
      <w:pPr>
        <w:divId w:val="1791437039"/>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Air Carrier Maintenance Training Program</w:t>
        </w:r>
      </w:hyperlink>
    </w:p>
    <w:p w:rsidR="00E066B3" w:rsidRDefault="00E066B3">
      <w:pPr>
        <w:rPr>
          <w:rFonts w:ascii="Times" w:eastAsia="Times New Roman" w:hAnsi="Times" w:cs="Times"/>
          <w:sz w:val="20"/>
          <w:szCs w:val="20"/>
        </w:rPr>
      </w:pPr>
    </w:p>
    <w:p w:rsidR="00E066B3" w:rsidRDefault="00AA2B27">
      <w:pPr>
        <w:divId w:val="1987978129"/>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Safety Management Systems for Part 121 Certificate Holders</w:t>
        </w:r>
      </w:hyperlink>
    </w:p>
    <w:p w:rsidR="00E066B3" w:rsidRDefault="00E066B3">
      <w:pPr>
        <w:rPr>
          <w:rFonts w:ascii="Times" w:eastAsia="Times New Roman" w:hAnsi="Times" w:cs="Times"/>
          <w:sz w:val="20"/>
          <w:szCs w:val="20"/>
        </w:rPr>
      </w:pPr>
    </w:p>
    <w:p w:rsidR="00E066B3" w:rsidRDefault="00AA2B27">
      <w:pPr>
        <w:divId w:val="325015954"/>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 xml:space="preserve">Pilot Professional Development (HR 5900) </w:t>
        </w:r>
      </w:hyperlink>
    </w:p>
    <w:p w:rsidR="00E066B3" w:rsidRDefault="00E066B3">
      <w:pPr>
        <w:rPr>
          <w:rFonts w:ascii="Times" w:eastAsia="Times New Roman" w:hAnsi="Times" w:cs="Times"/>
          <w:sz w:val="20"/>
          <w:szCs w:val="20"/>
        </w:rPr>
      </w:pPr>
    </w:p>
    <w:p w:rsidR="00E066B3" w:rsidRDefault="00AA2B27">
      <w:pPr>
        <w:divId w:val="1669164840"/>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Slot Management and Transparency for LaGuardia Airport, John F. Kennedy International Airport, and Newark Liberty International Airport</w:t>
        </w:r>
      </w:hyperlink>
    </w:p>
    <w:p w:rsidR="00E066B3" w:rsidRDefault="00E066B3">
      <w:pPr>
        <w:rPr>
          <w:rFonts w:ascii="Times" w:eastAsia="Times New Roman" w:hAnsi="Times" w:cs="Times"/>
          <w:sz w:val="20"/>
          <w:szCs w:val="20"/>
        </w:rPr>
      </w:pPr>
    </w:p>
    <w:p w:rsidR="00E066B3" w:rsidRDefault="00AA2B27">
      <w:pPr>
        <w:divId w:val="2084796474"/>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Exiting Icing Conditions</w:t>
        </w:r>
      </w:hyperlink>
    </w:p>
    <w:p w:rsidR="00E066B3" w:rsidRDefault="00E066B3">
      <w:pPr>
        <w:rPr>
          <w:rFonts w:ascii="Times" w:eastAsia="Times New Roman" w:hAnsi="Times" w:cs="Times"/>
          <w:sz w:val="20"/>
          <w:szCs w:val="20"/>
        </w:rPr>
      </w:pPr>
    </w:p>
    <w:p w:rsidR="00E066B3" w:rsidRDefault="00AA2B27">
      <w:pPr>
        <w:divId w:val="34887388"/>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Drug and Alcohol Testing of Certain Maintenance Provider Employees Located Outside of the United States</w:t>
        </w:r>
      </w:hyperlink>
    </w:p>
    <w:p w:rsidR="00E066B3" w:rsidRDefault="00E066B3">
      <w:pPr>
        <w:rPr>
          <w:rFonts w:ascii="Times" w:eastAsia="Times New Roman" w:hAnsi="Times" w:cs="Times"/>
          <w:sz w:val="20"/>
          <w:szCs w:val="20"/>
        </w:rPr>
      </w:pPr>
    </w:p>
    <w:p w:rsidR="00E066B3" w:rsidRDefault="00AA2B27">
      <w:pPr>
        <w:divId w:val="1577668635"/>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Prohibition of Tail End Ferry in Part 121 (Reauthorization)</w:t>
        </w:r>
      </w:hyperlink>
    </w:p>
    <w:p w:rsidR="00E066B3" w:rsidRDefault="00E066B3">
      <w:pPr>
        <w:rPr>
          <w:rFonts w:ascii="Times" w:eastAsia="Times New Roman" w:hAnsi="Times" w:cs="Times"/>
          <w:sz w:val="20"/>
          <w:szCs w:val="20"/>
        </w:rPr>
      </w:pPr>
    </w:p>
    <w:p w:rsidR="00E066B3" w:rsidRDefault="00AA2B27">
      <w:pPr>
        <w:divId w:val="1035891876"/>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 xml:space="preserve">Prohibition of Tail-End Ferry in Part 135 (FAA Reauthorization) </w:t>
        </w:r>
      </w:hyperlink>
    </w:p>
    <w:p w:rsidR="00E066B3" w:rsidRDefault="00E066B3">
      <w:pPr>
        <w:rPr>
          <w:rFonts w:ascii="Times" w:eastAsia="Times New Roman" w:hAnsi="Times" w:cs="Times"/>
          <w:sz w:val="20"/>
          <w:szCs w:val="20"/>
        </w:rPr>
      </w:pPr>
    </w:p>
    <w:p w:rsidR="00E066B3" w:rsidRDefault="00AA2B27">
      <w:pPr>
        <w:divId w:val="1649482638"/>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Pilot Records Database (HR 5900)</w:t>
        </w:r>
      </w:hyperlink>
    </w:p>
    <w:p w:rsidR="00E066B3" w:rsidRDefault="00E066B3">
      <w:pPr>
        <w:rPr>
          <w:rFonts w:ascii="Times" w:eastAsia="Times New Roman" w:hAnsi="Times" w:cs="Times"/>
          <w:sz w:val="20"/>
          <w:szCs w:val="20"/>
        </w:rPr>
      </w:pPr>
    </w:p>
    <w:p w:rsidR="00E066B3" w:rsidRDefault="00AA2B27">
      <w:pPr>
        <w:divId w:val="348875809"/>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Pilot Biometric Certificates (FAA Reauthorization)</w:t>
        </w:r>
      </w:hyperlink>
    </w:p>
    <w:p w:rsidR="00E066B3" w:rsidRDefault="00E066B3">
      <w:pPr>
        <w:rPr>
          <w:rFonts w:ascii="Times" w:eastAsia="Times New Roman" w:hAnsi="Times" w:cs="Times"/>
          <w:sz w:val="20"/>
          <w:szCs w:val="20"/>
        </w:rPr>
      </w:pPr>
    </w:p>
    <w:p w:rsidR="00E066B3" w:rsidRDefault="00AA2B27">
      <w:pPr>
        <w:divId w:val="1378310994"/>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Aircraft Registration and Airmen Certification Fees</w:t>
        </w:r>
      </w:hyperlink>
    </w:p>
    <w:p w:rsidR="00E066B3" w:rsidRDefault="00E066B3">
      <w:pPr>
        <w:rPr>
          <w:rFonts w:ascii="Times" w:eastAsia="Times New Roman" w:hAnsi="Times" w:cs="Times"/>
          <w:sz w:val="20"/>
          <w:szCs w:val="20"/>
        </w:rPr>
      </w:pPr>
    </w:p>
    <w:p w:rsidR="00E066B3" w:rsidRDefault="00AA2B27">
      <w:pPr>
        <w:divId w:val="205920921"/>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 xml:space="preserve">Permanent Requirement for Helicopters to use the New York North Shore Helicopter Route </w:t>
        </w:r>
      </w:hyperlink>
    </w:p>
    <w:p w:rsidR="00E066B3" w:rsidRDefault="00E066B3">
      <w:pPr>
        <w:rPr>
          <w:rFonts w:ascii="Times" w:eastAsia="Times New Roman" w:hAnsi="Times" w:cs="Times"/>
          <w:sz w:val="20"/>
          <w:szCs w:val="20"/>
        </w:rPr>
      </w:pPr>
      <w:bookmarkStart w:id="0" w:name="_GoBack"/>
      <w:bookmarkEnd w:id="0"/>
    </w:p>
    <w:p w:rsidR="00E066B3" w:rsidRDefault="00AA2B27">
      <w:pPr>
        <w:divId w:val="1685591233"/>
        <w:rPr>
          <w:rFonts w:ascii="Times" w:eastAsia="Times New Roman" w:hAnsi="Times" w:cs="Times"/>
        </w:rPr>
      </w:pPr>
      <w:r>
        <w:rPr>
          <w:rFonts w:ascii="Times" w:eastAsia="Times New Roman" w:hAnsi="Times" w:cs="Times"/>
        </w:rPr>
        <w:lastRenderedPageBreak/>
        <w:t>21. </w:t>
      </w:r>
      <w:hyperlink w:anchor="21" w:history="1">
        <w:r>
          <w:rPr>
            <w:rStyle w:val="Hyperlink"/>
            <w:rFonts w:ascii="Times" w:eastAsia="Times New Roman" w:hAnsi="Times" w:cs="Times"/>
          </w:rPr>
          <w:t>Medical Self-Evaluation for Certain Noncommercial Operations in Lieu of Airman Medical Certification</w:t>
        </w:r>
      </w:hyperlink>
    </w:p>
    <w:p w:rsidR="00E066B3" w:rsidRDefault="00E066B3">
      <w:pPr>
        <w:rPr>
          <w:rFonts w:ascii="Times" w:eastAsia="Times New Roman" w:hAnsi="Times" w:cs="Times"/>
          <w:sz w:val="20"/>
          <w:szCs w:val="20"/>
        </w:rPr>
      </w:pPr>
    </w:p>
    <w:p w:rsidR="00E066B3" w:rsidRDefault="00AA2B27">
      <w:pPr>
        <w:divId w:val="868954536"/>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Prohibition Against Certain Flights in the Simferopol (UKFV) and Dnipropetrovsk (UKDV) Flight Information Region (FIR)</w:t>
        </w:r>
      </w:hyperlink>
    </w:p>
    <w:p w:rsidR="00E066B3" w:rsidRDefault="00E066B3">
      <w:pPr>
        <w:rPr>
          <w:rFonts w:ascii="Times" w:eastAsia="Times New Roman" w:hAnsi="Times" w:cs="Times"/>
          <w:sz w:val="20"/>
          <w:szCs w:val="20"/>
        </w:rPr>
      </w:pPr>
    </w:p>
    <w:p w:rsidR="00E066B3" w:rsidRDefault="00AA2B27">
      <w:pPr>
        <w:divId w:val="195701946"/>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Helicopter Air Ambulance Pilot Training and Operational Requirements (HAA II) (FAA Reauthorization)</w:t>
        </w:r>
      </w:hyperlink>
    </w:p>
    <w:p w:rsidR="00E066B3" w:rsidRDefault="00E066B3">
      <w:pPr>
        <w:rPr>
          <w:rFonts w:ascii="Times" w:eastAsia="Times New Roman" w:hAnsi="Times" w:cs="Times"/>
          <w:sz w:val="20"/>
          <w:szCs w:val="20"/>
        </w:rPr>
      </w:pPr>
    </w:p>
    <w:p w:rsidR="00E066B3" w:rsidRDefault="00AA2B27">
      <w:pPr>
        <w:rPr>
          <w:rFonts w:ascii="Times" w:eastAsia="Times New Roman" w:hAnsi="Times" w:cs="Times"/>
        </w:rPr>
      </w:pPr>
      <w:r>
        <w:rPr>
          <w:rFonts w:ascii="Times" w:eastAsia="Times New Roman" w:hAnsi="Times" w:cs="Times"/>
          <w:b/>
          <w:bCs/>
        </w:rPr>
        <w:t>Federal Highway Administration</w:t>
      </w:r>
    </w:p>
    <w:p w:rsidR="00E066B3" w:rsidRDefault="00AA2B27">
      <w:pPr>
        <w:divId w:val="1823765582"/>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Tunnel Inspection Standards (MAP-21)</w:t>
        </w:r>
      </w:hyperlink>
    </w:p>
    <w:p w:rsidR="00E066B3" w:rsidRDefault="00E066B3">
      <w:pPr>
        <w:rPr>
          <w:rFonts w:ascii="Times" w:eastAsia="Times New Roman" w:hAnsi="Times" w:cs="Times"/>
          <w:sz w:val="20"/>
          <w:szCs w:val="20"/>
        </w:rPr>
      </w:pPr>
    </w:p>
    <w:p w:rsidR="00E066B3" w:rsidRDefault="00AA2B27">
      <w:pPr>
        <w:divId w:val="1821382298"/>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Pavement Markings</w:t>
        </w:r>
      </w:hyperlink>
    </w:p>
    <w:p w:rsidR="00E066B3" w:rsidRDefault="00E066B3">
      <w:pPr>
        <w:rPr>
          <w:rFonts w:ascii="Times" w:eastAsia="Times New Roman" w:hAnsi="Times" w:cs="Times"/>
          <w:sz w:val="20"/>
          <w:szCs w:val="20"/>
        </w:rPr>
      </w:pPr>
    </w:p>
    <w:p w:rsidR="00E066B3" w:rsidRDefault="00AA2B27">
      <w:pPr>
        <w:divId w:val="634215745"/>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E066B3" w:rsidRDefault="00E066B3">
      <w:pPr>
        <w:rPr>
          <w:rFonts w:ascii="Times" w:eastAsia="Times New Roman" w:hAnsi="Times" w:cs="Times"/>
          <w:sz w:val="20"/>
          <w:szCs w:val="20"/>
        </w:rPr>
      </w:pPr>
    </w:p>
    <w:p w:rsidR="00E066B3" w:rsidRDefault="00AA2B27">
      <w:pPr>
        <w:divId w:val="586353557"/>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Highway Worker Safety (MAP-21)</w:t>
        </w:r>
      </w:hyperlink>
    </w:p>
    <w:p w:rsidR="00E066B3" w:rsidRDefault="00E066B3">
      <w:pPr>
        <w:rPr>
          <w:rFonts w:ascii="Times" w:eastAsia="Times New Roman" w:hAnsi="Times" w:cs="Times"/>
          <w:sz w:val="20"/>
          <w:szCs w:val="20"/>
        </w:rPr>
      </w:pPr>
    </w:p>
    <w:p w:rsidR="00E066B3" w:rsidRDefault="00AA2B27">
      <w:pPr>
        <w:divId w:val="1700079861"/>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Statewide and Nonmetropolitan Transportation Planning; Metropolitan Transportation Planning (MAP-21)</w:t>
        </w:r>
      </w:hyperlink>
    </w:p>
    <w:p w:rsidR="00E066B3" w:rsidRDefault="00E066B3">
      <w:pPr>
        <w:rPr>
          <w:rFonts w:ascii="Times" w:eastAsia="Times New Roman" w:hAnsi="Times" w:cs="Times"/>
          <w:sz w:val="20"/>
          <w:szCs w:val="20"/>
        </w:rPr>
      </w:pPr>
    </w:p>
    <w:p w:rsidR="00E066B3" w:rsidRDefault="00AA2B27">
      <w:pPr>
        <w:divId w:val="1704744019"/>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E066B3" w:rsidRDefault="00E066B3">
      <w:pPr>
        <w:rPr>
          <w:rFonts w:ascii="Times" w:eastAsia="Times New Roman" w:hAnsi="Times" w:cs="Times"/>
          <w:sz w:val="20"/>
          <w:szCs w:val="20"/>
        </w:rPr>
      </w:pPr>
    </w:p>
    <w:p w:rsidR="00E066B3" w:rsidRDefault="00AA2B27">
      <w:pPr>
        <w:divId w:val="150146825"/>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Goals and Performance Management Measures (MAP-21)</w:t>
        </w:r>
      </w:hyperlink>
    </w:p>
    <w:p w:rsidR="00E066B3" w:rsidRDefault="00E066B3">
      <w:pPr>
        <w:rPr>
          <w:rFonts w:ascii="Times" w:eastAsia="Times New Roman" w:hAnsi="Times" w:cs="Times"/>
          <w:sz w:val="20"/>
          <w:szCs w:val="20"/>
        </w:rPr>
      </w:pPr>
    </w:p>
    <w:p w:rsidR="00E066B3" w:rsidRDefault="00AA2B27">
      <w:pPr>
        <w:divId w:val="1517695909"/>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National Bridge Inspection Standards (MAP-21)</w:t>
        </w:r>
      </w:hyperlink>
    </w:p>
    <w:p w:rsidR="00E066B3" w:rsidRDefault="00E066B3">
      <w:pPr>
        <w:rPr>
          <w:rFonts w:ascii="Times" w:eastAsia="Times New Roman" w:hAnsi="Times" w:cs="Times"/>
          <w:sz w:val="20"/>
          <w:szCs w:val="20"/>
        </w:rPr>
      </w:pPr>
    </w:p>
    <w:p w:rsidR="00E066B3" w:rsidRDefault="00AA2B27">
      <w:pPr>
        <w:divId w:val="1596281254"/>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Highway Safety Improvement Program (MAP-21)</w:t>
        </w:r>
      </w:hyperlink>
    </w:p>
    <w:p w:rsidR="00E066B3" w:rsidRDefault="00E066B3">
      <w:pPr>
        <w:rPr>
          <w:rFonts w:ascii="Times" w:eastAsia="Times New Roman" w:hAnsi="Times" w:cs="Times"/>
          <w:sz w:val="20"/>
          <w:szCs w:val="20"/>
        </w:rPr>
      </w:pPr>
    </w:p>
    <w:p w:rsidR="00E066B3" w:rsidRDefault="00AA2B27">
      <w:pPr>
        <w:divId w:val="1543518559"/>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Asset Management Plan (MAP-21)</w:t>
        </w:r>
      </w:hyperlink>
    </w:p>
    <w:p w:rsidR="00E066B3" w:rsidRDefault="00E066B3">
      <w:pPr>
        <w:rPr>
          <w:rFonts w:ascii="Times" w:eastAsia="Times New Roman" w:hAnsi="Times" w:cs="Times"/>
          <w:sz w:val="20"/>
          <w:szCs w:val="20"/>
        </w:rPr>
      </w:pPr>
    </w:p>
    <w:p w:rsidR="00E066B3" w:rsidRDefault="00AA2B27">
      <w:pPr>
        <w:divId w:val="321541068"/>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Congestion Mitigation and Air Quality Improvement Program (MAP-21)</w:t>
        </w:r>
      </w:hyperlink>
    </w:p>
    <w:p w:rsidR="00E066B3" w:rsidRDefault="00E066B3">
      <w:pPr>
        <w:rPr>
          <w:rFonts w:ascii="Times" w:eastAsia="Times New Roman" w:hAnsi="Times" w:cs="Times"/>
          <w:sz w:val="20"/>
          <w:szCs w:val="20"/>
        </w:rPr>
      </w:pPr>
    </w:p>
    <w:p w:rsidR="00E066B3" w:rsidRDefault="00AA2B27">
      <w:pPr>
        <w:divId w:val="1823040579"/>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Buy America (RRR)</w:t>
        </w:r>
      </w:hyperlink>
    </w:p>
    <w:p w:rsidR="00E066B3" w:rsidRDefault="00E066B3">
      <w:pPr>
        <w:rPr>
          <w:rFonts w:ascii="Times" w:eastAsia="Times New Roman" w:hAnsi="Times" w:cs="Times"/>
          <w:sz w:val="20"/>
          <w:szCs w:val="20"/>
        </w:rPr>
      </w:pPr>
    </w:p>
    <w:p w:rsidR="00E066B3" w:rsidRDefault="00AA2B27">
      <w:pPr>
        <w:rPr>
          <w:rFonts w:ascii="Times" w:eastAsia="Times New Roman" w:hAnsi="Times" w:cs="Times"/>
        </w:rPr>
      </w:pPr>
      <w:r>
        <w:rPr>
          <w:rFonts w:ascii="Times" w:eastAsia="Times New Roman" w:hAnsi="Times" w:cs="Times"/>
          <w:b/>
          <w:bCs/>
        </w:rPr>
        <w:t>Federal Motor Carrier Safety Administration</w:t>
      </w:r>
    </w:p>
    <w:p w:rsidR="00E066B3" w:rsidRDefault="00AA2B27">
      <w:pPr>
        <w:divId w:val="255290038"/>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Application by Certain Mexico-Domiciled Motor Carriers to Operate Beyond U.S. Municipalities and Commercial Zones on the U.S.-Mexico Border</w:t>
        </w:r>
      </w:hyperlink>
    </w:p>
    <w:p w:rsidR="00E066B3" w:rsidRDefault="00E066B3">
      <w:pPr>
        <w:rPr>
          <w:rFonts w:ascii="Times" w:eastAsia="Times New Roman" w:hAnsi="Times" w:cs="Times"/>
          <w:sz w:val="20"/>
          <w:szCs w:val="20"/>
        </w:rPr>
      </w:pPr>
    </w:p>
    <w:p w:rsidR="00E066B3" w:rsidRDefault="00AA2B27">
      <w:pPr>
        <w:divId w:val="2047681167"/>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Safety Monitoring System and Compliance Initiative for Mexico-Domiciled Motor Carriers Operating in the United States</w:t>
        </w:r>
      </w:hyperlink>
    </w:p>
    <w:p w:rsidR="00E066B3" w:rsidRDefault="00E066B3">
      <w:pPr>
        <w:rPr>
          <w:rFonts w:ascii="Times" w:eastAsia="Times New Roman" w:hAnsi="Times" w:cs="Times"/>
          <w:sz w:val="20"/>
          <w:szCs w:val="20"/>
        </w:rPr>
      </w:pPr>
    </w:p>
    <w:p w:rsidR="00E066B3" w:rsidRDefault="00AA2B27">
      <w:pPr>
        <w:divId w:val="1646469430"/>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Certification of Safety Auditors, Safety Investigators, and Safety Inspectors</w:t>
        </w:r>
      </w:hyperlink>
    </w:p>
    <w:p w:rsidR="00E066B3" w:rsidRDefault="00E066B3">
      <w:pPr>
        <w:rPr>
          <w:rFonts w:ascii="Times" w:eastAsia="Times New Roman" w:hAnsi="Times" w:cs="Times"/>
          <w:sz w:val="20"/>
          <w:szCs w:val="20"/>
        </w:rPr>
      </w:pPr>
    </w:p>
    <w:p w:rsidR="00E066B3" w:rsidRDefault="00AA2B27">
      <w:pPr>
        <w:divId w:val="808208600"/>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 xml:space="preserve">Limitations on the Issuance of Commercial Driver Licenses with a Hazardous Materials Endorsement </w:t>
        </w:r>
      </w:hyperlink>
    </w:p>
    <w:p w:rsidR="00E066B3" w:rsidRDefault="00E066B3">
      <w:pPr>
        <w:rPr>
          <w:rFonts w:ascii="Times" w:eastAsia="Times New Roman" w:hAnsi="Times" w:cs="Times"/>
          <w:sz w:val="20"/>
          <w:szCs w:val="20"/>
        </w:rPr>
      </w:pPr>
    </w:p>
    <w:p w:rsidR="00E066B3" w:rsidRDefault="00AA2B27">
      <w:pPr>
        <w:divId w:val="567769343"/>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Qualifications of Drivers; Diabetes Standard</w:t>
        </w:r>
      </w:hyperlink>
    </w:p>
    <w:p w:rsidR="00E066B3" w:rsidRDefault="00E066B3">
      <w:pPr>
        <w:rPr>
          <w:rFonts w:ascii="Times" w:eastAsia="Times New Roman" w:hAnsi="Times" w:cs="Times"/>
          <w:sz w:val="20"/>
          <w:szCs w:val="20"/>
        </w:rPr>
      </w:pPr>
    </w:p>
    <w:p w:rsidR="00E066B3" w:rsidRDefault="00AA2B27">
      <w:pPr>
        <w:divId w:val="104346634"/>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Consumer Complaint Information</w:t>
        </w:r>
      </w:hyperlink>
    </w:p>
    <w:p w:rsidR="00E066B3" w:rsidRDefault="00E066B3">
      <w:pPr>
        <w:rPr>
          <w:rFonts w:ascii="Times" w:eastAsia="Times New Roman" w:hAnsi="Times" w:cs="Times"/>
          <w:sz w:val="20"/>
          <w:szCs w:val="20"/>
        </w:rPr>
      </w:pPr>
    </w:p>
    <w:p w:rsidR="00E066B3" w:rsidRDefault="00AA2B27">
      <w:pPr>
        <w:divId w:val="2057391093"/>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 xml:space="preserve">Carrier Safety Fitness Determination </w:t>
        </w:r>
      </w:hyperlink>
    </w:p>
    <w:p w:rsidR="00E066B3" w:rsidRDefault="00E066B3">
      <w:pPr>
        <w:rPr>
          <w:rFonts w:ascii="Times" w:eastAsia="Times New Roman" w:hAnsi="Times" w:cs="Times"/>
          <w:sz w:val="20"/>
          <w:szCs w:val="20"/>
        </w:rPr>
      </w:pPr>
    </w:p>
    <w:p w:rsidR="00E066B3" w:rsidRDefault="00AA2B27">
      <w:pPr>
        <w:divId w:val="133453580"/>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New Entrant Safety Assurance Process: Implementation of Section 210(b) of the Motor Carrier Safety Improvement Act of 1999</w:t>
        </w:r>
      </w:hyperlink>
    </w:p>
    <w:p w:rsidR="00E066B3" w:rsidRDefault="00E066B3">
      <w:pPr>
        <w:rPr>
          <w:rFonts w:ascii="Times" w:eastAsia="Times New Roman" w:hAnsi="Times" w:cs="Times"/>
          <w:sz w:val="20"/>
          <w:szCs w:val="20"/>
        </w:rPr>
      </w:pPr>
    </w:p>
    <w:p w:rsidR="00E066B3" w:rsidRDefault="00AA2B27">
      <w:pPr>
        <w:divId w:val="2011712476"/>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Commercial Driver's License Drug and Alcohol Clearinghouse (MAP-21)</w:t>
        </w:r>
      </w:hyperlink>
    </w:p>
    <w:p w:rsidR="00E066B3" w:rsidRDefault="00E066B3">
      <w:pPr>
        <w:rPr>
          <w:rFonts w:ascii="Times" w:eastAsia="Times New Roman" w:hAnsi="Times" w:cs="Times"/>
          <w:sz w:val="20"/>
          <w:szCs w:val="20"/>
        </w:rPr>
      </w:pPr>
    </w:p>
    <w:p w:rsidR="00E066B3" w:rsidRDefault="00AA2B27">
      <w:pPr>
        <w:divId w:val="1591430315"/>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Electronic Logging Devices and Hours of Service Supporting Documents (MAP-21)</w:t>
        </w:r>
      </w:hyperlink>
    </w:p>
    <w:p w:rsidR="00E066B3" w:rsidRDefault="00E066B3">
      <w:pPr>
        <w:rPr>
          <w:rFonts w:ascii="Times" w:eastAsia="Times New Roman" w:hAnsi="Times" w:cs="Times"/>
          <w:sz w:val="20"/>
          <w:szCs w:val="20"/>
        </w:rPr>
      </w:pPr>
    </w:p>
    <w:p w:rsidR="00E066B3" w:rsidRDefault="00AA2B27">
      <w:pPr>
        <w:divId w:val="1570725216"/>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Lease and Interchange of Vehicles; Motor Carriers of Passengers</w:t>
        </w:r>
      </w:hyperlink>
    </w:p>
    <w:p w:rsidR="00E066B3" w:rsidRDefault="00E066B3">
      <w:pPr>
        <w:rPr>
          <w:rFonts w:ascii="Times" w:eastAsia="Times New Roman" w:hAnsi="Times" w:cs="Times"/>
          <w:sz w:val="20"/>
          <w:szCs w:val="20"/>
        </w:rPr>
      </w:pPr>
    </w:p>
    <w:p w:rsidR="00E066B3" w:rsidRDefault="00AA2B27">
      <w:pPr>
        <w:divId w:val="1546795361"/>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Inspection, Repair, and Maintenance; Driver-Vehicle Inspection Report (RRR)</w:t>
        </w:r>
      </w:hyperlink>
    </w:p>
    <w:p w:rsidR="00E066B3" w:rsidRDefault="00E066B3">
      <w:pPr>
        <w:rPr>
          <w:rFonts w:ascii="Times" w:eastAsia="Times New Roman" w:hAnsi="Times" w:cs="Times"/>
          <w:sz w:val="20"/>
          <w:szCs w:val="20"/>
        </w:rPr>
      </w:pPr>
    </w:p>
    <w:p w:rsidR="00E066B3" w:rsidRDefault="00AA2B27">
      <w:pPr>
        <w:divId w:val="1640526791"/>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MAP-21 Enhancements and Other Updates to the Unified Registration System</w:t>
        </w:r>
      </w:hyperlink>
    </w:p>
    <w:p w:rsidR="00E066B3" w:rsidRDefault="00E066B3">
      <w:pPr>
        <w:rPr>
          <w:rFonts w:ascii="Times" w:eastAsia="Times New Roman" w:hAnsi="Times" w:cs="Times"/>
          <w:sz w:val="20"/>
          <w:szCs w:val="20"/>
        </w:rPr>
      </w:pPr>
    </w:p>
    <w:p w:rsidR="00E066B3" w:rsidRDefault="00AA2B27">
      <w:pPr>
        <w:divId w:val="1181358378"/>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Prohibition of Coercion (MAP-21)</w:t>
        </w:r>
      </w:hyperlink>
    </w:p>
    <w:p w:rsidR="00E066B3" w:rsidRDefault="00E066B3">
      <w:pPr>
        <w:rPr>
          <w:rFonts w:ascii="Times" w:eastAsia="Times New Roman" w:hAnsi="Times" w:cs="Times"/>
          <w:sz w:val="20"/>
          <w:szCs w:val="20"/>
        </w:rPr>
      </w:pPr>
    </w:p>
    <w:p w:rsidR="00E066B3" w:rsidRDefault="00AA2B27">
      <w:pPr>
        <w:divId w:val="1815830577"/>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Heavy Vehicle Speed Limiters</w:t>
        </w:r>
      </w:hyperlink>
    </w:p>
    <w:p w:rsidR="00E066B3" w:rsidRDefault="00E066B3">
      <w:pPr>
        <w:rPr>
          <w:rFonts w:ascii="Times" w:eastAsia="Times New Roman" w:hAnsi="Times" w:cs="Times"/>
          <w:sz w:val="20"/>
          <w:szCs w:val="20"/>
        </w:rPr>
      </w:pPr>
    </w:p>
    <w:p w:rsidR="00E066B3" w:rsidRDefault="00AA2B27">
      <w:pPr>
        <w:divId w:val="1610970022"/>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 xml:space="preserve">Commercial Driver’s License Requirements of MAP-21 and the Military Commercial Driver's License Act of 2012 </w:t>
        </w:r>
      </w:hyperlink>
    </w:p>
    <w:p w:rsidR="00E066B3" w:rsidRDefault="00E066B3">
      <w:pPr>
        <w:rPr>
          <w:rFonts w:ascii="Times" w:eastAsia="Times New Roman" w:hAnsi="Times" w:cs="Times"/>
          <w:sz w:val="20"/>
          <w:szCs w:val="20"/>
        </w:rPr>
      </w:pPr>
    </w:p>
    <w:p w:rsidR="00E066B3" w:rsidRDefault="00AA2B27">
      <w:pPr>
        <w:divId w:val="1099066164"/>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 xml:space="preserve"> Financial Responsibility for Motor Carriers, Freight Forwarders, and Brokers </w:t>
        </w:r>
      </w:hyperlink>
    </w:p>
    <w:p w:rsidR="00E066B3" w:rsidRDefault="00E066B3">
      <w:pPr>
        <w:rPr>
          <w:rFonts w:ascii="Times" w:eastAsia="Times New Roman" w:hAnsi="Times" w:cs="Times"/>
          <w:sz w:val="20"/>
          <w:szCs w:val="20"/>
        </w:rPr>
      </w:pPr>
    </w:p>
    <w:p w:rsidR="00E066B3" w:rsidRDefault="00AA2B27">
      <w:pPr>
        <w:rPr>
          <w:rFonts w:ascii="Times" w:eastAsia="Times New Roman" w:hAnsi="Times" w:cs="Times"/>
        </w:rPr>
      </w:pPr>
      <w:r>
        <w:rPr>
          <w:rFonts w:ascii="Times" w:eastAsia="Times New Roman" w:hAnsi="Times" w:cs="Times"/>
          <w:b/>
          <w:bCs/>
        </w:rPr>
        <w:t>Federal Railroad Administration</w:t>
      </w:r>
    </w:p>
    <w:p w:rsidR="00E066B3" w:rsidRDefault="00AA2B27">
      <w:pPr>
        <w:divId w:val="1567179811"/>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Training Standards for Railroad Employees</w:t>
        </w:r>
      </w:hyperlink>
    </w:p>
    <w:p w:rsidR="00E066B3" w:rsidRDefault="00E066B3">
      <w:pPr>
        <w:rPr>
          <w:rFonts w:ascii="Times" w:eastAsia="Times New Roman" w:hAnsi="Times" w:cs="Times"/>
          <w:sz w:val="20"/>
          <w:szCs w:val="20"/>
        </w:rPr>
      </w:pPr>
    </w:p>
    <w:p w:rsidR="00E066B3" w:rsidRDefault="00AA2B27">
      <w:pPr>
        <w:divId w:val="544178052"/>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Risk Reduction Program</w:t>
        </w:r>
      </w:hyperlink>
    </w:p>
    <w:p w:rsidR="00E066B3" w:rsidRDefault="00E066B3">
      <w:pPr>
        <w:rPr>
          <w:rFonts w:ascii="Times" w:eastAsia="Times New Roman" w:hAnsi="Times" w:cs="Times"/>
          <w:sz w:val="20"/>
          <w:szCs w:val="20"/>
        </w:rPr>
      </w:pPr>
    </w:p>
    <w:p w:rsidR="00E066B3" w:rsidRDefault="00AA2B27">
      <w:pPr>
        <w:divId w:val="210270677"/>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Emergency Escape Breathing Apparatus</w:t>
        </w:r>
      </w:hyperlink>
    </w:p>
    <w:p w:rsidR="00E066B3" w:rsidRDefault="00E066B3">
      <w:pPr>
        <w:rPr>
          <w:rFonts w:ascii="Times" w:eastAsia="Times New Roman" w:hAnsi="Times" w:cs="Times"/>
          <w:sz w:val="20"/>
          <w:szCs w:val="20"/>
        </w:rPr>
      </w:pPr>
    </w:p>
    <w:p w:rsidR="00E066B3" w:rsidRDefault="00AA2B27">
      <w:pPr>
        <w:divId w:val="147329802"/>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High-Speed Rail Corridor Development and Capital Investment Grants to Support Intercity Passenger Rail Service</w:t>
        </w:r>
      </w:hyperlink>
    </w:p>
    <w:p w:rsidR="00E066B3" w:rsidRDefault="00E066B3">
      <w:pPr>
        <w:rPr>
          <w:rFonts w:ascii="Times" w:eastAsia="Times New Roman" w:hAnsi="Times" w:cs="Times"/>
          <w:sz w:val="20"/>
          <w:szCs w:val="20"/>
        </w:rPr>
      </w:pPr>
    </w:p>
    <w:p w:rsidR="00E066B3" w:rsidRDefault="00AA2B27">
      <w:pPr>
        <w:divId w:val="1684478545"/>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High-Speed Intercity Passenger Rail (HSIPR) Program; Buy America Program Requirements</w:t>
        </w:r>
      </w:hyperlink>
    </w:p>
    <w:p w:rsidR="00E066B3" w:rsidRDefault="00E066B3">
      <w:pPr>
        <w:rPr>
          <w:rFonts w:ascii="Times" w:eastAsia="Times New Roman" w:hAnsi="Times" w:cs="Times"/>
          <w:sz w:val="20"/>
          <w:szCs w:val="20"/>
        </w:rPr>
      </w:pPr>
    </w:p>
    <w:p w:rsidR="00E066B3" w:rsidRDefault="00AA2B27">
      <w:pPr>
        <w:divId w:val="559830830"/>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Railroad System Safety Program</w:t>
        </w:r>
      </w:hyperlink>
    </w:p>
    <w:p w:rsidR="00E066B3" w:rsidRDefault="00E066B3">
      <w:pPr>
        <w:rPr>
          <w:rFonts w:ascii="Times" w:eastAsia="Times New Roman" w:hAnsi="Times" w:cs="Times"/>
          <w:sz w:val="20"/>
          <w:szCs w:val="20"/>
        </w:rPr>
      </w:pPr>
    </w:p>
    <w:p w:rsidR="00E066B3" w:rsidRDefault="00AA2B27">
      <w:pPr>
        <w:divId w:val="638152683"/>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Passenger Equipment Safety Standards; Standards for Alternative Compliance and High-Speed Trainsets</w:t>
        </w:r>
      </w:hyperlink>
    </w:p>
    <w:p w:rsidR="00E066B3" w:rsidRDefault="00E066B3">
      <w:pPr>
        <w:rPr>
          <w:rFonts w:ascii="Times" w:eastAsia="Times New Roman" w:hAnsi="Times" w:cs="Times"/>
          <w:sz w:val="20"/>
          <w:szCs w:val="20"/>
        </w:rPr>
      </w:pPr>
    </w:p>
    <w:p w:rsidR="00E066B3" w:rsidRDefault="00AA2B27">
      <w:pPr>
        <w:divId w:val="926377968"/>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 xml:space="preserve">Securement of Unattended Equipment </w:t>
        </w:r>
      </w:hyperlink>
    </w:p>
    <w:p w:rsidR="00E066B3" w:rsidRDefault="00E066B3">
      <w:pPr>
        <w:rPr>
          <w:rFonts w:ascii="Times" w:eastAsia="Times New Roman" w:hAnsi="Times" w:cs="Times"/>
          <w:sz w:val="20"/>
          <w:szCs w:val="20"/>
        </w:rPr>
      </w:pPr>
    </w:p>
    <w:p w:rsidR="00E066B3" w:rsidRDefault="00AA2B27">
      <w:pPr>
        <w:divId w:val="393550784"/>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Train Crew Staffing and Location</w:t>
        </w:r>
      </w:hyperlink>
    </w:p>
    <w:p w:rsidR="00E066B3" w:rsidRDefault="00E066B3">
      <w:pPr>
        <w:rPr>
          <w:rFonts w:ascii="Times" w:eastAsia="Times New Roman" w:hAnsi="Times" w:cs="Times"/>
          <w:sz w:val="20"/>
          <w:szCs w:val="20"/>
        </w:rPr>
      </w:pPr>
    </w:p>
    <w:p w:rsidR="00E066B3" w:rsidRDefault="00AA2B27">
      <w:pPr>
        <w:rPr>
          <w:rFonts w:ascii="Times" w:eastAsia="Times New Roman" w:hAnsi="Times" w:cs="Times"/>
        </w:rPr>
      </w:pPr>
      <w:r>
        <w:rPr>
          <w:rFonts w:ascii="Times" w:eastAsia="Times New Roman" w:hAnsi="Times" w:cs="Times"/>
          <w:b/>
          <w:bCs/>
        </w:rPr>
        <w:t>Federal Transit Administration</w:t>
      </w:r>
    </w:p>
    <w:p w:rsidR="00E066B3" w:rsidRDefault="00AA2B27">
      <w:pPr>
        <w:divId w:val="830103127"/>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Private Sector Participation</w:t>
        </w:r>
      </w:hyperlink>
    </w:p>
    <w:p w:rsidR="00E066B3" w:rsidRDefault="00E066B3">
      <w:pPr>
        <w:rPr>
          <w:rFonts w:ascii="Times" w:eastAsia="Times New Roman" w:hAnsi="Times" w:cs="Times"/>
          <w:sz w:val="20"/>
          <w:szCs w:val="20"/>
        </w:rPr>
      </w:pPr>
    </w:p>
    <w:p w:rsidR="00E066B3" w:rsidRDefault="00AA2B27">
      <w:pPr>
        <w:divId w:val="1553493167"/>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Transit Asset Management</w:t>
        </w:r>
      </w:hyperlink>
    </w:p>
    <w:p w:rsidR="00E066B3" w:rsidRDefault="00E066B3">
      <w:pPr>
        <w:rPr>
          <w:rFonts w:ascii="Times" w:eastAsia="Times New Roman" w:hAnsi="Times" w:cs="Times"/>
          <w:sz w:val="20"/>
          <w:szCs w:val="20"/>
        </w:rPr>
      </w:pPr>
    </w:p>
    <w:p w:rsidR="00E066B3" w:rsidRDefault="00AA2B27">
      <w:pPr>
        <w:divId w:val="664363726"/>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Statewide and Nonmetropolitan Transportation Planning; Metropolitan Transportation Planning (MAP-21)</w:t>
        </w:r>
      </w:hyperlink>
    </w:p>
    <w:p w:rsidR="00E066B3" w:rsidRDefault="00E066B3">
      <w:pPr>
        <w:rPr>
          <w:rFonts w:ascii="Times" w:eastAsia="Times New Roman" w:hAnsi="Times" w:cs="Times"/>
          <w:sz w:val="20"/>
          <w:szCs w:val="20"/>
        </w:rPr>
      </w:pPr>
    </w:p>
    <w:p w:rsidR="00E066B3" w:rsidRDefault="00AA2B27">
      <w:pPr>
        <w:divId w:val="196627947"/>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Bus Testing: Pass/Fail and Safety Criteria (MAP-21)</w:t>
        </w:r>
      </w:hyperlink>
    </w:p>
    <w:p w:rsidR="00E066B3" w:rsidRDefault="00E066B3">
      <w:pPr>
        <w:rPr>
          <w:rFonts w:ascii="Times" w:eastAsia="Times New Roman" w:hAnsi="Times" w:cs="Times"/>
          <w:sz w:val="20"/>
          <w:szCs w:val="20"/>
        </w:rPr>
      </w:pPr>
    </w:p>
    <w:p w:rsidR="00E066B3" w:rsidRDefault="00AA2B27">
      <w:pPr>
        <w:divId w:val="1141966477"/>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Public Transportation Emergency Relief Program (MAP-21)</w:t>
        </w:r>
      </w:hyperlink>
    </w:p>
    <w:p w:rsidR="00E066B3" w:rsidRDefault="00E066B3">
      <w:pPr>
        <w:rPr>
          <w:rFonts w:ascii="Times" w:eastAsia="Times New Roman" w:hAnsi="Times" w:cs="Times"/>
          <w:sz w:val="20"/>
          <w:szCs w:val="20"/>
        </w:rPr>
      </w:pPr>
    </w:p>
    <w:p w:rsidR="00E066B3" w:rsidRDefault="00AA2B27">
      <w:pPr>
        <w:divId w:val="1195995234"/>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Buy America: Amendments (MAP-21)</w:t>
        </w:r>
      </w:hyperlink>
    </w:p>
    <w:p w:rsidR="00E066B3" w:rsidRDefault="00E066B3">
      <w:pPr>
        <w:rPr>
          <w:rFonts w:ascii="Times" w:eastAsia="Times New Roman" w:hAnsi="Times" w:cs="Times"/>
          <w:sz w:val="20"/>
          <w:szCs w:val="20"/>
        </w:rPr>
      </w:pPr>
    </w:p>
    <w:p w:rsidR="00E066B3" w:rsidRDefault="00AA2B27">
      <w:pPr>
        <w:divId w:val="113989846"/>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Core Capacity Projects (MAP-21)</w:t>
        </w:r>
      </w:hyperlink>
    </w:p>
    <w:p w:rsidR="00E066B3" w:rsidRDefault="00E066B3">
      <w:pPr>
        <w:rPr>
          <w:rFonts w:ascii="Times" w:eastAsia="Times New Roman" w:hAnsi="Times" w:cs="Times"/>
          <w:sz w:val="20"/>
          <w:szCs w:val="20"/>
        </w:rPr>
      </w:pPr>
    </w:p>
    <w:p w:rsidR="00E066B3" w:rsidRDefault="00AA2B27">
      <w:pPr>
        <w:divId w:val="921642798"/>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New and Small Start Projects (MAP-21)</w:t>
        </w:r>
      </w:hyperlink>
    </w:p>
    <w:p w:rsidR="00E066B3" w:rsidRDefault="00E066B3">
      <w:pPr>
        <w:rPr>
          <w:rFonts w:ascii="Times" w:eastAsia="Times New Roman" w:hAnsi="Times" w:cs="Times"/>
          <w:sz w:val="20"/>
          <w:szCs w:val="20"/>
        </w:rPr>
      </w:pPr>
    </w:p>
    <w:p w:rsidR="00E066B3" w:rsidRDefault="00AA2B27">
      <w:pPr>
        <w:divId w:val="329454875"/>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State Safety Oversight (MAP-21)</w:t>
        </w:r>
      </w:hyperlink>
    </w:p>
    <w:p w:rsidR="00E066B3" w:rsidRDefault="00E066B3">
      <w:pPr>
        <w:rPr>
          <w:rFonts w:ascii="Times" w:eastAsia="Times New Roman" w:hAnsi="Times" w:cs="Times"/>
          <w:sz w:val="20"/>
          <w:szCs w:val="20"/>
        </w:rPr>
      </w:pPr>
    </w:p>
    <w:p w:rsidR="00E066B3" w:rsidRDefault="00AA2B27">
      <w:pPr>
        <w:divId w:val="676423104"/>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National and Public Transportation Safety Plans (MAP-21) and Transit Asset Management</w:t>
        </w:r>
      </w:hyperlink>
    </w:p>
    <w:p w:rsidR="00E066B3" w:rsidRDefault="00E066B3">
      <w:pPr>
        <w:rPr>
          <w:rFonts w:ascii="Times" w:eastAsia="Times New Roman" w:hAnsi="Times" w:cs="Times"/>
          <w:sz w:val="20"/>
          <w:szCs w:val="20"/>
        </w:rPr>
      </w:pPr>
    </w:p>
    <w:p w:rsidR="00E066B3" w:rsidRDefault="00AA2B27">
      <w:pPr>
        <w:rPr>
          <w:rFonts w:ascii="Times" w:eastAsia="Times New Roman" w:hAnsi="Times" w:cs="Times"/>
        </w:rPr>
      </w:pPr>
      <w:r>
        <w:rPr>
          <w:rFonts w:ascii="Times" w:eastAsia="Times New Roman" w:hAnsi="Times" w:cs="Times"/>
          <w:b/>
          <w:bCs/>
        </w:rPr>
        <w:t>Maritime Administration</w:t>
      </w:r>
    </w:p>
    <w:p w:rsidR="00E066B3" w:rsidRDefault="00AA2B27">
      <w:pPr>
        <w:divId w:val="776758548"/>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Cargo Preference</w:t>
        </w:r>
      </w:hyperlink>
    </w:p>
    <w:p w:rsidR="00E066B3" w:rsidRDefault="00E066B3">
      <w:pPr>
        <w:rPr>
          <w:rFonts w:ascii="Times" w:eastAsia="Times New Roman" w:hAnsi="Times" w:cs="Times"/>
          <w:sz w:val="20"/>
          <w:szCs w:val="20"/>
        </w:rPr>
      </w:pPr>
    </w:p>
    <w:p w:rsidR="00E066B3" w:rsidRDefault="00AA2B27">
      <w:pPr>
        <w:rPr>
          <w:rFonts w:ascii="Times" w:eastAsia="Times New Roman" w:hAnsi="Times" w:cs="Times"/>
        </w:rPr>
      </w:pPr>
      <w:r>
        <w:rPr>
          <w:rFonts w:ascii="Times" w:eastAsia="Times New Roman" w:hAnsi="Times" w:cs="Times"/>
          <w:b/>
          <w:bCs/>
        </w:rPr>
        <w:t>National Highway Traffic Safety Administration</w:t>
      </w:r>
    </w:p>
    <w:p w:rsidR="00E066B3" w:rsidRDefault="00AA2B27">
      <w:pPr>
        <w:divId w:val="1375278576"/>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Tire Fuel Efficiency Consumer Information - Part 2</w:t>
        </w:r>
      </w:hyperlink>
    </w:p>
    <w:p w:rsidR="00E066B3" w:rsidRDefault="00E066B3">
      <w:pPr>
        <w:rPr>
          <w:rFonts w:ascii="Times" w:eastAsia="Times New Roman" w:hAnsi="Times" w:cs="Times"/>
          <w:sz w:val="20"/>
          <w:szCs w:val="20"/>
        </w:rPr>
      </w:pPr>
    </w:p>
    <w:p w:rsidR="00E066B3" w:rsidRDefault="00AA2B27">
      <w:pPr>
        <w:divId w:val="459418187"/>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Mandatory Event Data Recorder Requirements </w:t>
        </w:r>
      </w:hyperlink>
    </w:p>
    <w:p w:rsidR="00E066B3" w:rsidRDefault="00E066B3">
      <w:pPr>
        <w:rPr>
          <w:rFonts w:ascii="Times" w:eastAsia="Times New Roman" w:hAnsi="Times" w:cs="Times"/>
          <w:sz w:val="20"/>
          <w:szCs w:val="20"/>
        </w:rPr>
      </w:pPr>
    </w:p>
    <w:p w:rsidR="00E066B3" w:rsidRDefault="00AA2B27">
      <w:pPr>
        <w:divId w:val="372075727"/>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Heavy Vehicle Speed Limiters </w:t>
        </w:r>
      </w:hyperlink>
    </w:p>
    <w:p w:rsidR="00E066B3" w:rsidRDefault="00E066B3">
      <w:pPr>
        <w:rPr>
          <w:rFonts w:ascii="Times" w:eastAsia="Times New Roman" w:hAnsi="Times" w:cs="Times"/>
          <w:sz w:val="20"/>
          <w:szCs w:val="20"/>
        </w:rPr>
      </w:pPr>
    </w:p>
    <w:p w:rsidR="00E066B3" w:rsidRDefault="00AA2B27">
      <w:pPr>
        <w:divId w:val="1997878341"/>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Sound for Hybrid and Electric Vehicles </w:t>
        </w:r>
      </w:hyperlink>
    </w:p>
    <w:p w:rsidR="00E066B3" w:rsidRDefault="00E066B3">
      <w:pPr>
        <w:rPr>
          <w:rFonts w:ascii="Times" w:eastAsia="Times New Roman" w:hAnsi="Times" w:cs="Times"/>
          <w:sz w:val="20"/>
          <w:szCs w:val="20"/>
        </w:rPr>
      </w:pPr>
    </w:p>
    <w:p w:rsidR="00E066B3" w:rsidRDefault="00AA2B27">
      <w:pPr>
        <w:divId w:val="1496260802"/>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Establish Side Impact Performance Requirements for Child Restraint Systems (MAP-21) </w:t>
        </w:r>
      </w:hyperlink>
    </w:p>
    <w:p w:rsidR="00E066B3" w:rsidRDefault="00E066B3">
      <w:pPr>
        <w:rPr>
          <w:rFonts w:ascii="Times" w:eastAsia="Times New Roman" w:hAnsi="Times" w:cs="Times"/>
          <w:sz w:val="20"/>
          <w:szCs w:val="20"/>
        </w:rPr>
      </w:pPr>
    </w:p>
    <w:p w:rsidR="00E066B3" w:rsidRDefault="00AA2B27">
      <w:pPr>
        <w:divId w:val="987519060"/>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Motorcoach Rollover Structural Integrity (MAP-21) </w:t>
        </w:r>
      </w:hyperlink>
    </w:p>
    <w:p w:rsidR="00E066B3" w:rsidRDefault="00E066B3">
      <w:pPr>
        <w:rPr>
          <w:rFonts w:ascii="Times" w:eastAsia="Times New Roman" w:hAnsi="Times" w:cs="Times"/>
          <w:sz w:val="20"/>
          <w:szCs w:val="20"/>
        </w:rPr>
      </w:pPr>
    </w:p>
    <w:p w:rsidR="00E066B3" w:rsidRDefault="00AA2B27">
      <w:pPr>
        <w:divId w:val="751390785"/>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Electronic Stability Control Systems for Heavy Vehicles (MAP-21) </w:t>
        </w:r>
      </w:hyperlink>
    </w:p>
    <w:p w:rsidR="00E066B3" w:rsidRDefault="00E066B3">
      <w:pPr>
        <w:rPr>
          <w:rFonts w:ascii="Times" w:eastAsia="Times New Roman" w:hAnsi="Times" w:cs="Times"/>
          <w:sz w:val="20"/>
          <w:szCs w:val="20"/>
        </w:rPr>
      </w:pPr>
    </w:p>
    <w:p w:rsidR="00E066B3" w:rsidRDefault="00AA2B27">
      <w:pPr>
        <w:divId w:val="1894078101"/>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FMVSS No. 218 and Enforcement Policy Concerning Novelty Helmets</w:t>
        </w:r>
      </w:hyperlink>
    </w:p>
    <w:p w:rsidR="00E066B3" w:rsidRDefault="00E066B3">
      <w:pPr>
        <w:rPr>
          <w:rFonts w:ascii="Times" w:eastAsia="Times New Roman" w:hAnsi="Times" w:cs="Times"/>
          <w:sz w:val="20"/>
          <w:szCs w:val="20"/>
        </w:rPr>
      </w:pPr>
    </w:p>
    <w:p w:rsidR="00E066B3" w:rsidRDefault="00AA2B27">
      <w:pPr>
        <w:divId w:val="800422222"/>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Amend Definition of 3-Wheeled Vehicles</w:t>
        </w:r>
      </w:hyperlink>
    </w:p>
    <w:p w:rsidR="00E066B3" w:rsidRDefault="00E066B3">
      <w:pPr>
        <w:rPr>
          <w:rFonts w:ascii="Times" w:eastAsia="Times New Roman" w:hAnsi="Times" w:cs="Times"/>
          <w:sz w:val="20"/>
          <w:szCs w:val="20"/>
        </w:rPr>
      </w:pPr>
    </w:p>
    <w:p w:rsidR="00E066B3" w:rsidRDefault="00AA2B27">
      <w:pPr>
        <w:divId w:val="1361279141"/>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Part 571 New FMVSS, Lamps and Reflective Devices for Agricultural Equipment (MAP-21)</w:t>
        </w:r>
      </w:hyperlink>
    </w:p>
    <w:p w:rsidR="00E066B3" w:rsidRDefault="00E066B3">
      <w:pPr>
        <w:rPr>
          <w:rFonts w:ascii="Times" w:eastAsia="Times New Roman" w:hAnsi="Times" w:cs="Times"/>
          <w:sz w:val="20"/>
          <w:szCs w:val="20"/>
        </w:rPr>
      </w:pPr>
    </w:p>
    <w:p w:rsidR="00E066B3" w:rsidRDefault="00AA2B27">
      <w:pPr>
        <w:divId w:val="35812406"/>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Uniform Procedures for State Highway Safety Programs (MAP-21)</w:t>
        </w:r>
      </w:hyperlink>
    </w:p>
    <w:p w:rsidR="00E066B3" w:rsidRDefault="00E066B3">
      <w:pPr>
        <w:rPr>
          <w:rFonts w:ascii="Times" w:eastAsia="Times New Roman" w:hAnsi="Times" w:cs="Times"/>
          <w:sz w:val="20"/>
          <w:szCs w:val="20"/>
        </w:rPr>
      </w:pPr>
    </w:p>
    <w:p w:rsidR="00E066B3" w:rsidRDefault="00AA2B27">
      <w:pPr>
        <w:divId w:val="1836802828"/>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Fuel Efficiency Standards for Medium- and Heavy-Duty Vehicles and Work Trucks: Phase 2</w:t>
        </w:r>
      </w:hyperlink>
    </w:p>
    <w:p w:rsidR="00E066B3" w:rsidRDefault="00E066B3">
      <w:pPr>
        <w:rPr>
          <w:rFonts w:ascii="Times" w:eastAsia="Times New Roman" w:hAnsi="Times" w:cs="Times"/>
          <w:sz w:val="20"/>
          <w:szCs w:val="20"/>
        </w:rPr>
      </w:pPr>
    </w:p>
    <w:p w:rsidR="00E066B3" w:rsidRDefault="00AA2B27">
      <w:pPr>
        <w:divId w:val="1662348308"/>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Federal Motor Vehicle Safety Standard (FMVSS) 150 - Vehicle to Vehicle (V2V) Communication</w:t>
        </w:r>
      </w:hyperlink>
    </w:p>
    <w:p w:rsidR="00E066B3" w:rsidRDefault="00E066B3">
      <w:pPr>
        <w:rPr>
          <w:rFonts w:ascii="Times" w:eastAsia="Times New Roman" w:hAnsi="Times" w:cs="Times"/>
          <w:sz w:val="20"/>
          <w:szCs w:val="20"/>
        </w:rPr>
      </w:pPr>
    </w:p>
    <w:p w:rsidR="00E066B3" w:rsidRDefault="00AA2B27">
      <w:pPr>
        <w:rPr>
          <w:rFonts w:ascii="Times" w:eastAsia="Times New Roman" w:hAnsi="Times" w:cs="Times"/>
        </w:rPr>
      </w:pPr>
      <w:r>
        <w:rPr>
          <w:rFonts w:ascii="Times" w:eastAsia="Times New Roman" w:hAnsi="Times" w:cs="Times"/>
          <w:b/>
          <w:bCs/>
        </w:rPr>
        <w:t>Office of the Secretary</w:t>
      </w:r>
    </w:p>
    <w:p w:rsidR="00E066B3" w:rsidRDefault="00AA2B27">
      <w:pPr>
        <w:divId w:val="1586457851"/>
        <w:rPr>
          <w:rFonts w:ascii="Times" w:eastAsia="Times New Roman" w:hAnsi="Times" w:cs="Times"/>
        </w:rPr>
      </w:pPr>
      <w:r>
        <w:rPr>
          <w:rFonts w:ascii="Times" w:eastAsia="Times New Roman" w:hAnsi="Times" w:cs="Times"/>
        </w:rPr>
        <w:lastRenderedPageBreak/>
        <w:t>86. </w:t>
      </w:r>
      <w:hyperlink w:anchor="86" w:history="1">
        <w:r>
          <w:rPr>
            <w:rStyle w:val="Hyperlink"/>
            <w:rFonts w:ascii="Times" w:eastAsia="Times New Roman" w:hAnsi="Times" w:cs="Times"/>
          </w:rPr>
          <w:t xml:space="preserve">Stowage of Wheelchairs, other Mobility Aids and other Assistive Devices </w:t>
        </w:r>
      </w:hyperlink>
    </w:p>
    <w:p w:rsidR="00E066B3" w:rsidRDefault="00E066B3">
      <w:pPr>
        <w:rPr>
          <w:rFonts w:ascii="Times" w:eastAsia="Times New Roman" w:hAnsi="Times" w:cs="Times"/>
          <w:sz w:val="20"/>
          <w:szCs w:val="20"/>
        </w:rPr>
      </w:pPr>
    </w:p>
    <w:p w:rsidR="00E066B3" w:rsidRDefault="00AA2B27">
      <w:pPr>
        <w:divId w:val="193359000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Accessibility of Airports </w:t>
        </w:r>
      </w:hyperlink>
    </w:p>
    <w:p w:rsidR="00E066B3" w:rsidRDefault="00E066B3">
      <w:pPr>
        <w:rPr>
          <w:rFonts w:ascii="Times" w:eastAsia="Times New Roman" w:hAnsi="Times" w:cs="Times"/>
          <w:sz w:val="20"/>
          <w:szCs w:val="20"/>
        </w:rPr>
      </w:pPr>
    </w:p>
    <w:p w:rsidR="00E066B3" w:rsidRDefault="00AA2B27">
      <w:pPr>
        <w:divId w:val="1380741968"/>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Smoking of Electronic Cigarettes On Commercial Aircraft</w:t>
        </w:r>
      </w:hyperlink>
    </w:p>
    <w:p w:rsidR="00E066B3" w:rsidRDefault="00E066B3">
      <w:pPr>
        <w:rPr>
          <w:rFonts w:ascii="Times" w:eastAsia="Times New Roman" w:hAnsi="Times" w:cs="Times"/>
          <w:sz w:val="20"/>
          <w:szCs w:val="20"/>
        </w:rPr>
      </w:pPr>
    </w:p>
    <w:p w:rsidR="00E066B3" w:rsidRDefault="00AA2B27">
      <w:pPr>
        <w:divId w:val="2009823934"/>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Airline Pricing Transparency and Other Consumer Protection Issues</w:t>
        </w:r>
      </w:hyperlink>
    </w:p>
    <w:p w:rsidR="00E066B3" w:rsidRDefault="00E066B3">
      <w:pPr>
        <w:rPr>
          <w:rFonts w:ascii="Times" w:eastAsia="Times New Roman" w:hAnsi="Times" w:cs="Times"/>
          <w:sz w:val="20"/>
          <w:szCs w:val="20"/>
        </w:rPr>
      </w:pPr>
    </w:p>
    <w:p w:rsidR="00E066B3" w:rsidRDefault="00AA2B27">
      <w:pPr>
        <w:divId w:val="2010281188"/>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E066B3" w:rsidRDefault="00E066B3">
      <w:pPr>
        <w:rPr>
          <w:rFonts w:ascii="Times" w:eastAsia="Times New Roman" w:hAnsi="Times" w:cs="Times"/>
          <w:sz w:val="20"/>
          <w:szCs w:val="20"/>
        </w:rPr>
      </w:pPr>
    </w:p>
    <w:p w:rsidR="00E066B3" w:rsidRDefault="00AA2B27">
      <w:pPr>
        <w:divId w:val="1732539747"/>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Transportation for Individuals with Disabilities: Reasonable Modification</w:t>
        </w:r>
      </w:hyperlink>
    </w:p>
    <w:p w:rsidR="00E066B3" w:rsidRDefault="00E066B3">
      <w:pPr>
        <w:rPr>
          <w:rFonts w:ascii="Times" w:eastAsia="Times New Roman" w:hAnsi="Times" w:cs="Times"/>
          <w:sz w:val="20"/>
          <w:szCs w:val="20"/>
        </w:rPr>
      </w:pPr>
    </w:p>
    <w:p w:rsidR="00E066B3" w:rsidRDefault="00AA2B27">
      <w:pPr>
        <w:divId w:val="239098586"/>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Transportation Services for Individuals with Disabilities: Over-the-Road Buses (RRR)</w:t>
        </w:r>
      </w:hyperlink>
    </w:p>
    <w:p w:rsidR="00E066B3" w:rsidRDefault="00E066B3">
      <w:pPr>
        <w:rPr>
          <w:rFonts w:ascii="Times" w:eastAsia="Times New Roman" w:hAnsi="Times" w:cs="Times"/>
          <w:sz w:val="20"/>
          <w:szCs w:val="20"/>
        </w:rPr>
      </w:pPr>
    </w:p>
    <w:p w:rsidR="00E066B3" w:rsidRDefault="00AA2B27">
      <w:pPr>
        <w:divId w:val="294063021"/>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 xml:space="preserve">Use of Mobile Wireless Devices for Voice Calls on Aircraft </w:t>
        </w:r>
      </w:hyperlink>
    </w:p>
    <w:p w:rsidR="00E066B3" w:rsidRDefault="00E066B3">
      <w:pPr>
        <w:rPr>
          <w:rFonts w:ascii="Times" w:eastAsia="Times New Roman" w:hAnsi="Times" w:cs="Times"/>
          <w:sz w:val="20"/>
          <w:szCs w:val="20"/>
        </w:rPr>
      </w:pPr>
    </w:p>
    <w:p w:rsidR="00E066B3" w:rsidRDefault="00AA2B27">
      <w:pPr>
        <w:divId w:val="2076584404"/>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Reporting Ancillary Airline Passenger Revenues</w:t>
        </w:r>
      </w:hyperlink>
    </w:p>
    <w:p w:rsidR="00E066B3" w:rsidRDefault="00E066B3">
      <w:pPr>
        <w:rPr>
          <w:rFonts w:ascii="Times" w:eastAsia="Times New Roman" w:hAnsi="Times" w:cs="Times"/>
          <w:sz w:val="20"/>
          <w:szCs w:val="20"/>
        </w:rPr>
      </w:pPr>
    </w:p>
    <w:p w:rsidR="00E066B3" w:rsidRDefault="00AA2B27">
      <w:pPr>
        <w:divId w:val="1023478436"/>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 xml:space="preserve">Accessible In-Flight Entertainment </w:t>
        </w:r>
      </w:hyperlink>
    </w:p>
    <w:p w:rsidR="00E066B3" w:rsidRDefault="00E066B3">
      <w:pPr>
        <w:rPr>
          <w:rFonts w:ascii="Times" w:eastAsia="Times New Roman" w:hAnsi="Times" w:cs="Times"/>
          <w:sz w:val="20"/>
          <w:szCs w:val="20"/>
        </w:rPr>
      </w:pPr>
    </w:p>
    <w:p w:rsidR="00E066B3" w:rsidRDefault="00AA2B27">
      <w:pPr>
        <w:divId w:val="784692556"/>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Adoption of Governmentwide Uniform Administrative Requirements, Cost Principles, and Audit Requirements for Federal Awards</w:t>
        </w:r>
      </w:hyperlink>
    </w:p>
    <w:p w:rsidR="00E066B3" w:rsidRDefault="00E066B3">
      <w:pPr>
        <w:rPr>
          <w:rFonts w:ascii="Times" w:eastAsia="Times New Roman" w:hAnsi="Times" w:cs="Times"/>
          <w:sz w:val="20"/>
          <w:szCs w:val="20"/>
        </w:rPr>
      </w:pPr>
    </w:p>
    <w:p w:rsidR="00E066B3" w:rsidRDefault="00AA2B27">
      <w:pPr>
        <w:rPr>
          <w:rFonts w:ascii="Times" w:eastAsia="Times New Roman" w:hAnsi="Times" w:cs="Times"/>
        </w:rPr>
      </w:pPr>
      <w:r>
        <w:rPr>
          <w:rFonts w:ascii="Times" w:eastAsia="Times New Roman" w:hAnsi="Times" w:cs="Times"/>
          <w:b/>
          <w:bCs/>
        </w:rPr>
        <w:t>Pipeline and Hazardous Materials Safety Administration</w:t>
      </w:r>
    </w:p>
    <w:p w:rsidR="00E066B3" w:rsidRDefault="00AA2B27">
      <w:pPr>
        <w:divId w:val="258104537"/>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Pipeline Safety: Enforcement of State Excavation Damage Laws</w:t>
        </w:r>
      </w:hyperlink>
    </w:p>
    <w:p w:rsidR="00E066B3" w:rsidRDefault="00E066B3">
      <w:pPr>
        <w:rPr>
          <w:rFonts w:ascii="Times" w:eastAsia="Times New Roman" w:hAnsi="Times" w:cs="Times"/>
          <w:sz w:val="20"/>
          <w:szCs w:val="20"/>
        </w:rPr>
      </w:pPr>
    </w:p>
    <w:p w:rsidR="00E066B3" w:rsidRDefault="00AA2B27">
      <w:pPr>
        <w:divId w:val="249891098"/>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Hazardous Materials: Safety Requirements for External Product Piping on Cargo Tanks Transporting Flammable Liquids (Wetlines) (MAP-21)</w:t>
        </w:r>
      </w:hyperlink>
    </w:p>
    <w:p w:rsidR="00E066B3" w:rsidRDefault="00E066B3">
      <w:pPr>
        <w:rPr>
          <w:rFonts w:ascii="Times" w:eastAsia="Times New Roman" w:hAnsi="Times" w:cs="Times"/>
          <w:sz w:val="20"/>
          <w:szCs w:val="20"/>
        </w:rPr>
      </w:pPr>
    </w:p>
    <w:p w:rsidR="00E066B3" w:rsidRDefault="00AA2B27">
      <w:pPr>
        <w:divId w:val="964459112"/>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Pipeline Safety: Miscellaneous Amendments to the Pipeline Safety Regulations</w:t>
        </w:r>
      </w:hyperlink>
    </w:p>
    <w:p w:rsidR="00E066B3" w:rsidRDefault="00E066B3">
      <w:pPr>
        <w:rPr>
          <w:rFonts w:ascii="Times" w:eastAsia="Times New Roman" w:hAnsi="Times" w:cs="Times"/>
          <w:sz w:val="20"/>
          <w:szCs w:val="20"/>
        </w:rPr>
      </w:pPr>
    </w:p>
    <w:p w:rsidR="00E066B3" w:rsidRDefault="00AA2B27">
      <w:pPr>
        <w:divId w:val="24868069"/>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Pipeline Safety: Safety of On-Shore Liquid Hazardous Pipelines</w:t>
        </w:r>
      </w:hyperlink>
    </w:p>
    <w:p w:rsidR="00E066B3" w:rsidRDefault="00E066B3">
      <w:pPr>
        <w:rPr>
          <w:rFonts w:ascii="Times" w:eastAsia="Times New Roman" w:hAnsi="Times" w:cs="Times"/>
          <w:sz w:val="20"/>
          <w:szCs w:val="20"/>
        </w:rPr>
      </w:pPr>
    </w:p>
    <w:p w:rsidR="00E066B3" w:rsidRDefault="00AA2B27">
      <w:pPr>
        <w:divId w:val="784543874"/>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Pipeline Safety: Excess Flow Valves In Applications Other Than Single-Family Residences in Gas Distribution Systems</w:t>
        </w:r>
      </w:hyperlink>
    </w:p>
    <w:p w:rsidR="00E066B3" w:rsidRDefault="00E066B3">
      <w:pPr>
        <w:rPr>
          <w:rFonts w:ascii="Times" w:eastAsia="Times New Roman" w:hAnsi="Times" w:cs="Times"/>
          <w:sz w:val="20"/>
          <w:szCs w:val="20"/>
        </w:rPr>
      </w:pPr>
    </w:p>
    <w:p w:rsidR="00E066B3" w:rsidRDefault="00AA2B27">
      <w:pPr>
        <w:divId w:val="4987191"/>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Pipeline Safety: Gas Transmission (RRR)</w:t>
        </w:r>
      </w:hyperlink>
    </w:p>
    <w:p w:rsidR="00E066B3" w:rsidRDefault="00E066B3">
      <w:pPr>
        <w:rPr>
          <w:rFonts w:ascii="Times" w:eastAsia="Times New Roman" w:hAnsi="Times" w:cs="Times"/>
          <w:sz w:val="20"/>
          <w:szCs w:val="20"/>
        </w:rPr>
      </w:pPr>
    </w:p>
    <w:p w:rsidR="00E066B3" w:rsidRDefault="00AA2B27">
      <w:pPr>
        <w:divId w:val="1551259144"/>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Hazardous Materials: Enhanced Tank Car Standards and Operational Controls for High-Hazard Flammable Trains</w:t>
        </w:r>
      </w:hyperlink>
    </w:p>
    <w:p w:rsidR="00E066B3" w:rsidRDefault="00E066B3">
      <w:pPr>
        <w:rPr>
          <w:rFonts w:ascii="Times" w:eastAsia="Times New Roman" w:hAnsi="Times" w:cs="Times"/>
          <w:sz w:val="20"/>
          <w:szCs w:val="20"/>
        </w:rPr>
      </w:pPr>
    </w:p>
    <w:p w:rsidR="00E066B3" w:rsidRDefault="00AA2B27">
      <w:pPr>
        <w:divId w:val="281769036"/>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Pipeline Safety: Operator Qualification, Cost Recovery, Accident and Incident Notification, and Other Changes (RRR)</w:t>
        </w:r>
      </w:hyperlink>
    </w:p>
    <w:p w:rsidR="00E066B3" w:rsidRDefault="00E066B3">
      <w:pPr>
        <w:rPr>
          <w:rFonts w:ascii="Times" w:eastAsia="Times New Roman" w:hAnsi="Times" w:cs="Times"/>
          <w:sz w:val="20"/>
          <w:szCs w:val="20"/>
        </w:rPr>
      </w:pPr>
    </w:p>
    <w:p w:rsidR="00E066B3" w:rsidRDefault="00AA2B27">
      <w:pPr>
        <w:divId w:val="905453357"/>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E066B3" w:rsidRDefault="00E066B3">
      <w:pPr>
        <w:rPr>
          <w:rFonts w:ascii="Times" w:eastAsia="Times New Roman" w:hAnsi="Times" w:cs="Times"/>
          <w:sz w:val="20"/>
          <w:szCs w:val="20"/>
        </w:rPr>
      </w:pPr>
    </w:p>
    <w:p w:rsidR="00E066B3" w:rsidRDefault="00AA2B27">
      <w:pPr>
        <w:divId w:val="246154020"/>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Hazardous Materials: Review and Update of Rail Carrier Regulations in Part 174</w:t>
        </w:r>
      </w:hyperlink>
    </w:p>
    <w:p w:rsidR="00E066B3" w:rsidRDefault="00E066B3">
      <w:pPr>
        <w:rPr>
          <w:rFonts w:ascii="Times" w:eastAsia="Times New Roman" w:hAnsi="Times" w:cs="Times"/>
          <w:sz w:val="20"/>
          <w:szCs w:val="20"/>
        </w:rPr>
      </w:pPr>
    </w:p>
    <w:p w:rsidR="00E066B3" w:rsidRDefault="00AA2B27">
      <w:pPr>
        <w:divId w:val="1964843787"/>
        <w:rPr>
          <w:rFonts w:ascii="Times" w:eastAsia="Times New Roman" w:hAnsi="Times" w:cs="Times"/>
        </w:rPr>
      </w:pPr>
      <w:r>
        <w:rPr>
          <w:rFonts w:ascii="Times" w:eastAsia="Times New Roman" w:hAnsi="Times" w:cs="Times"/>
        </w:rPr>
        <w:lastRenderedPageBreak/>
        <w:t>107. </w:t>
      </w:r>
      <w:hyperlink w:anchor="107" w:history="1">
        <w:r>
          <w:rPr>
            <w:rStyle w:val="Hyperlink"/>
            <w:rFonts w:ascii="Times" w:eastAsia="Times New Roman" w:hAnsi="Times" w:cs="Times"/>
          </w:rPr>
          <w:t>Hazardous Materials: Oil Spill Response Plans for High-Hazard Flammable Trains</w:t>
        </w:r>
      </w:hyperlink>
    </w:p>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E066B3">
        <w:trPr>
          <w:tblCellSpacing w:w="20" w:type="dxa"/>
        </w:trPr>
        <w:tc>
          <w:tcPr>
            <w:tcW w:w="0" w:type="auto"/>
            <w:gridSpan w:val="2"/>
            <w:vAlign w:val="center"/>
            <w:hideMark/>
          </w:tcPr>
          <w:p w:rsidR="00E066B3" w:rsidRDefault="009E1B68">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2120-AJ34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This rulemaking has been re-designated as non-significant and will not appear on next month´s report.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rsidTr="005A06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22"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22"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22"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2120-AJ38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2120-AJ42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final rule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Flight and Duty Time Limitations and Rest Requirements; Supplemental Regulatory Impact Analysis</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2120-AJ58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2120-AJ60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small unmanned aircraft registration and marking, certification of their airmen, and operational requirements and limitations in order to increase the safety and efficiency of the national airspace system.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2120-AJ69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2120-AJ71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2120-AJ78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2120-AJ79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2120-AJ86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rsidP="00AA2B27">
                  <w:pPr>
                    <w:rPr>
                      <w:rFonts w:ascii="Times" w:eastAsia="Times New Roman" w:hAnsi="Times" w:cs="Times"/>
                      <w:sz w:val="20"/>
                      <w:szCs w:val="20"/>
                    </w:rPr>
                  </w:pPr>
                  <w:r>
                    <w:rPr>
                      <w:rFonts w:ascii="Times" w:eastAsia="Times New Roman" w:hAnsi="Times" w:cs="Times"/>
                      <w:b/>
                      <w:bCs/>
                      <w:sz w:val="20"/>
                      <w:szCs w:val="20"/>
                    </w:rPr>
                    <w:t xml:space="preserve">Pilot Professional Development (HR 5900) </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2120-AJ87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FAA proposes to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2120-AJ89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Exiting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Exiting Icing Conditions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2120-AJ95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2120-AK09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14621</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2120-AK22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Prohibition of Tail-End Ferry in Part 135 (FAA Reauthorization) </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2120-AK26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2120-AK31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2120-AK33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2120-AK37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by FAA of a legal opinion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2120-AK39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2120-AK45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Prohibition Against Certain Flights in the Simferopol (UKFV) and Dnipropetrovsk (UKDV)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113 Amendment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2120-AK56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Special Federal Aviation Regulation (SFAR) No. 113, section 91.1607, Prohibition Against Certain Flights in the Simferopol (UKFV) Flight Information Region (FIR), which prohibited certain flight operations in a portion of the Simferopol (UKFV) FIR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This action would expand the area in which flight operations by persons subject to SFAR No. 113, section 91.1607, are prohibited, to include all of the Simferopol (UKFV) FIR, as well as the entire Dnipropetrovsk (UKDV) FIR. This action would also extend the expiration date of SFAR No. 113, section 91.1607. The FAA finds this action to be necessary to prevent a potential hazard to persons and aircraft engaged in such flight operations.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faa-2014-0225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Aviation Administration</w:t>
            </w:r>
            <w:bookmarkEnd w:id="23"/>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HAA II</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2120-AK57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24" w:name="24"/>
            <w:r>
              <w:rPr>
                <w:rFonts w:ascii="Times" w:eastAsia="Times New Roman" w:hAnsi="Times" w:cs="Times"/>
                <w:b/>
                <w:bCs/>
                <w:sz w:val="20"/>
                <w:szCs w:val="20"/>
              </w:rPr>
              <w:lastRenderedPageBreak/>
              <w:t>Federal Highway Administration</w:t>
            </w:r>
          </w:p>
        </w:tc>
      </w:tr>
      <w:tr w:rsidR="00E066B3">
        <w:trPr>
          <w:tblCellSpacing w:w="20" w:type="dxa"/>
        </w:trPr>
        <w:tc>
          <w:tcPr>
            <w:tcW w:w="0" w:type="auto"/>
            <w:gridSpan w:val="2"/>
            <w:vAlign w:val="center"/>
            <w:hideMark/>
          </w:tcPr>
          <w:p w:rsidR="00E066B3" w:rsidRDefault="009E1B68">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4"/>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2125-AF24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MAP-21 broadened FHWA´s authority to include all highway tunnels. In addition, it made a number of changes to the NBIS, upon which this rulemaking is based. In order to conform the two processes and to reassess the cost benefit analysis of this rulemaking, a supplemental NPRM was pursued.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2125-AF34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2125-AF49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13846</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2125-AF51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2125-AF52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31784</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2125-AF53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2125-AF54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2125-AF55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2125-AF56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3/28/14; End of C/P: 6/30/14.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17464</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2125-AF57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2125-AF63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45146</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Highway Administration</w:t>
            </w:r>
            <w:bookmarkEnd w:id="35"/>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2125-AF65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36" w:name="36"/>
            <w:r>
              <w:rPr>
                <w:rFonts w:ascii="Times" w:eastAsia="Times New Roman" w:hAnsi="Times" w:cs="Times"/>
                <w:b/>
                <w:bCs/>
                <w:sz w:val="20"/>
                <w:szCs w:val="20"/>
              </w:rPr>
              <w:lastRenderedPageBreak/>
              <w:t>Federal Motor Carrier Safety Administration</w:t>
            </w:r>
          </w:p>
        </w:tc>
      </w:tr>
      <w:tr w:rsidR="00E066B3">
        <w:trPr>
          <w:tblCellSpacing w:w="20" w:type="dxa"/>
        </w:trPr>
        <w:tc>
          <w:tcPr>
            <w:tcW w:w="0" w:type="auto"/>
            <w:gridSpan w:val="2"/>
            <w:vAlign w:val="center"/>
            <w:hideMark/>
          </w:tcPr>
          <w:p w:rsidR="00E066B3" w:rsidRDefault="009E1B68">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6"/>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2126-AA34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2126-AA35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2126-AA64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2126-AA70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2126-AA95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2126-AB01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2126-AB11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performance in relation to five of the Agency’s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Nation’s roadways.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2126-AB17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2126-AB18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2126-AB20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This rulemaking supplements the Agency’s February 1, 2011, Notice of Proposed Rulemaking (NPRM) and addresses issues raised by the U.S. Court of Appeals for the Seventh Circuit in its 2011 decision vacating the Agency’s April 5, 2010, final rule concerning ELDs as well as subsequent statutory developments. The proposed requirements for ELDs would improve compliance with the HOS rules.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79 FR 17656, 79 FR 28471</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2126-AB44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these proposed rules for passenger-carrying CMVs are focused entirely on operational safety.</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2126-AB46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8/07/13; CP ended 10/07/13.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2126-AB56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2126-AB57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27265</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Motor Carrier Safety Administration</w:t>
            </w:r>
            <w:bookmarkEnd w:id="50"/>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2126-AB63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Motor Carrier Safety Administration</w:t>
            </w:r>
            <w:bookmarkEnd w:id="51"/>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Commercial Driver’s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2126-AB68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driver’s license. In addition, this rule would establish the requirements for the States to submit the State CDL Program Plans required under section 32305 of the Moving Ahead for Progress in the 21st Century Act (MAP-21). This rule would explain the Agency’s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Motor Carrier Safety Administration</w:t>
            </w:r>
            <w:bookmarkEnd w:id="52"/>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2126-AB74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53" w:name="53"/>
            <w:r>
              <w:rPr>
                <w:rFonts w:ascii="Times" w:eastAsia="Times New Roman" w:hAnsi="Times" w:cs="Times"/>
                <w:b/>
                <w:bCs/>
                <w:sz w:val="20"/>
                <w:szCs w:val="20"/>
              </w:rPr>
              <w:lastRenderedPageBreak/>
              <w:t>Federal Railroad Administration</w:t>
            </w:r>
          </w:p>
        </w:tc>
      </w:tr>
      <w:tr w:rsidR="00E066B3">
        <w:trPr>
          <w:tblCellSpacing w:w="20" w:type="dxa"/>
        </w:trPr>
        <w:tc>
          <w:tcPr>
            <w:tcW w:w="0" w:type="auto"/>
            <w:gridSpan w:val="2"/>
            <w:vAlign w:val="center"/>
            <w:hideMark/>
          </w:tcPr>
          <w:p w:rsidR="00E066B3" w:rsidRDefault="009E1B68">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3"/>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2130-AC06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2130-AC11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2130-AC14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2130-AC17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2130-AC23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2130-AC31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2130-AC46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Railroad Administration</w:t>
            </w:r>
            <w:bookmarkEnd w:id="60"/>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Securement of Unattended Equipment </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Securement of Unattended Equipment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2130-AC47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brake system safety standards for freight and other non-passenger trains and equipment to ensure better compliance of the requirements relating to the securement of unattended equipment. Specifically, FRA would codify some of the requirements already included in its Emergency Order Establishing Additional Requirements for Attendance and Securement of Certain Freight Trains and Vehicles on Mainline Track or Mainline Siding Outside of a Yard or Terminal (?Emergency Order 28?). 78 FR 48218 (Aug. 7, 2013). Amendments to FRA?s existing regulations would include additional securement requirements for unattended equipment, primarily for those that include cars containing certain hazardous materials, and additional communication requirements relating to job briefings and securement verification.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53356</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Railroad Administration</w:t>
            </w:r>
            <w:bookmarkEnd w:id="61"/>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2130-AC48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and the general public. This rulemaking also would add minimum requirements for the appropriate location of train crew members on a moving train.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62" w:name="62"/>
            <w:r>
              <w:rPr>
                <w:rFonts w:ascii="Times" w:eastAsia="Times New Roman" w:hAnsi="Times" w:cs="Times"/>
                <w:b/>
                <w:bCs/>
                <w:sz w:val="20"/>
                <w:szCs w:val="20"/>
              </w:rPr>
              <w:lastRenderedPageBreak/>
              <w:t>Federal Transit Administration</w:t>
            </w:r>
          </w:p>
        </w:tc>
      </w:tr>
      <w:tr w:rsidR="00E066B3">
        <w:trPr>
          <w:tblCellSpacing w:w="20" w:type="dxa"/>
        </w:trPr>
        <w:tc>
          <w:tcPr>
            <w:tcW w:w="0" w:type="auto"/>
            <w:gridSpan w:val="2"/>
            <w:vAlign w:val="center"/>
            <w:hideMark/>
          </w:tcPr>
          <w:p w:rsidR="00E066B3" w:rsidRDefault="009E1B68">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2"/>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2132-AB06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2132-AB07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2132-AB10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31784</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2132-AB11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2132-AB13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 Interim Final Rule: Publication Date 03/29/2013;End of Comment Period 05/28/2013.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implements 49 U.S.C. 5324, as amended by MAP-21, the public transportation emergency relief program. The rulemaking establishes eligible activities and ineligible activities, processes, and procedures for applying for grants.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 12/31/2013</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2132-AB16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2132-AB17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Federal Transit Administration</w:t>
            </w:r>
            <w:bookmarkEnd w:id="69"/>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2132-AB18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Federal Transit Administration</w:t>
            </w:r>
            <w:bookmarkEnd w:id="70"/>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2132-AB19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Federal Transit Administration</w:t>
            </w:r>
            <w:bookmarkEnd w:id="71"/>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2132-AB20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72" w:name="72"/>
            <w:r>
              <w:rPr>
                <w:rFonts w:ascii="Times" w:eastAsia="Times New Roman" w:hAnsi="Times" w:cs="Times"/>
                <w:b/>
                <w:bCs/>
                <w:sz w:val="20"/>
                <w:szCs w:val="20"/>
              </w:rPr>
              <w:lastRenderedPageBreak/>
              <w:t>Maritime Administration</w:t>
            </w:r>
          </w:p>
        </w:tc>
      </w:tr>
      <w:tr w:rsidR="00E066B3">
        <w:trPr>
          <w:tblCellSpacing w:w="20" w:type="dxa"/>
        </w:trPr>
        <w:tc>
          <w:tcPr>
            <w:tcW w:w="0" w:type="auto"/>
            <w:gridSpan w:val="2"/>
            <w:vAlign w:val="center"/>
            <w:hideMark/>
          </w:tcPr>
          <w:p w:rsidR="00E066B3" w:rsidRDefault="009E1B68">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2"/>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2133-AB74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Additional coordination needed for regulatory evaluation</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73" w:name="73"/>
            <w:r>
              <w:rPr>
                <w:rFonts w:ascii="Times" w:eastAsia="Times New Roman" w:hAnsi="Times" w:cs="Times"/>
                <w:b/>
                <w:bCs/>
                <w:sz w:val="20"/>
                <w:szCs w:val="20"/>
              </w:rPr>
              <w:lastRenderedPageBreak/>
              <w:t>National Highway Traffic Safety Administration</w:t>
            </w:r>
          </w:p>
        </w:tc>
      </w:tr>
      <w:tr w:rsidR="00E066B3">
        <w:trPr>
          <w:tblCellSpacing w:w="20" w:type="dxa"/>
        </w:trPr>
        <w:tc>
          <w:tcPr>
            <w:tcW w:w="0" w:type="auto"/>
            <w:gridSpan w:val="2"/>
            <w:vAlign w:val="center"/>
            <w:hideMark/>
          </w:tcPr>
          <w:p w:rsidR="00E066B3" w:rsidRDefault="009E1B68">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3"/>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2127-AK76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2127-AK86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2127-AK92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2127-AK93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2127-AK95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4569</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2127-AK96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46090</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2127-AK97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2127-AL01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E066B3">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Yellow</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2127-AL15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E066B3">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Yellow</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2127-AL28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National Highway Traffic Safety Administration</w:t>
            </w:r>
            <w:bookmarkEnd w:id="83"/>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066B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Green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2127-AL30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National Highway Traffic Safety Administration</w:t>
            </w:r>
            <w:bookmarkEnd w:id="84"/>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2127-AL52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National Highway Traffic Safety Administration</w:t>
            </w:r>
            <w:bookmarkEnd w:id="85"/>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2127-AL55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49270</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86" w:name="86"/>
            <w:r>
              <w:rPr>
                <w:rFonts w:ascii="Times" w:eastAsia="Times New Roman" w:hAnsi="Times" w:cs="Times"/>
                <w:b/>
                <w:bCs/>
                <w:sz w:val="20"/>
                <w:szCs w:val="20"/>
              </w:rPr>
              <w:lastRenderedPageBreak/>
              <w:t>Office of the Secretary</w:t>
            </w:r>
          </w:p>
        </w:tc>
      </w:tr>
      <w:tr w:rsidR="00E066B3">
        <w:trPr>
          <w:tblCellSpacing w:w="20" w:type="dxa"/>
        </w:trPr>
        <w:tc>
          <w:tcPr>
            <w:tcW w:w="0" w:type="auto"/>
            <w:gridSpan w:val="2"/>
            <w:vAlign w:val="center"/>
            <w:hideMark/>
          </w:tcPr>
          <w:p w:rsidR="00E066B3" w:rsidRDefault="009E1B68">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6"/>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2105-AD90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2105-AD91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2105-AE06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2105-AE11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29970</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2105-AE12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2105-AE15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2105-AE29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2105-AE30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Approved 02/14/2014; Publication Date: 02/24/2014; End of Comment Period 03/26/2014.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Office of the Secretary</w:t>
            </w:r>
            <w:bookmarkEnd w:id="94"/>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2105-AE31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Office of the Secretary</w:t>
            </w:r>
            <w:bookmarkEnd w:id="95"/>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2105-AE32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Office of the Secretary</w:t>
            </w:r>
            <w:bookmarkEnd w:id="96"/>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2105-AE33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97" w:name="97"/>
            <w:r>
              <w:rPr>
                <w:rFonts w:ascii="Times" w:eastAsia="Times New Roman" w:hAnsi="Times" w:cs="Times"/>
                <w:b/>
                <w:bCs/>
                <w:sz w:val="20"/>
                <w:szCs w:val="20"/>
              </w:rPr>
              <w:lastRenderedPageBreak/>
              <w:t>Pipeline and Hazardous Materials Safety Administration</w:t>
            </w:r>
          </w:p>
        </w:tc>
      </w:tr>
      <w:tr w:rsidR="00E066B3">
        <w:trPr>
          <w:tblCellSpacing w:w="20" w:type="dxa"/>
        </w:trPr>
        <w:tc>
          <w:tcPr>
            <w:tcW w:w="0" w:type="auto"/>
            <w:gridSpan w:val="2"/>
            <w:vAlign w:val="center"/>
            <w:hideMark/>
          </w:tcPr>
          <w:p w:rsidR="00E066B3" w:rsidRDefault="009E1B68">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7"/>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2137-AE43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2137-AE53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planning to revise its regulatory evaluation for the rulemaking based on the findings contained in the GAO report. Pending the completion of the revision of the regulatory evaluation, the agency will work toward developing a final rule if supported by the revised regulatory evaluation.</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2137-AE59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Pipeline and Hazardous Materials Safety Administration</w:t>
            </w:r>
            <w:bookmarkEnd w:id="100"/>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2137-AE66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Pipeline and Hazardous Materials Safety Administration</w:t>
            </w:r>
            <w:bookmarkEnd w:id="101"/>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2137-AE71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Pipeline and Hazardous Materials Safety Administration</w:t>
            </w:r>
            <w:bookmarkEnd w:id="102"/>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2137-AE72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03" w:name="103"/>
            <w:r>
              <w:rPr>
                <w:rFonts w:ascii="Times" w:eastAsia="Times New Roman" w:hAnsi="Times" w:cs="Times"/>
                <w:sz w:val="20"/>
                <w:szCs w:val="20"/>
              </w:rPr>
              <w:lastRenderedPageBreak/>
              <w:t>Pipeline and Hazardous Materials Safety Administration</w:t>
            </w:r>
            <w:bookmarkEnd w:id="103"/>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066B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Red</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2137-AE91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proposes new operational requirements for certain trains transporting a large volume of flammable materials, improvements in tank car standards, and revision of the general requirements for offerors to ensure proper classification and characterization of mined gases and liquids. These new requirements are designed to lessen the frequency and consequences of derailments involving ethanol, crude oil, and certain trains transporting a large volume of flammable materials. The growing reliance on trains to transport large volumes of flammable materials poses a significant risk to life, property, and the environment. These significant risks have been highlighted by the recent derailments of trains carrying crude oil in Casselton, North Dakota, Aliceville, Alabama, and Lac-Mégantic, Quebec, Canada. The proposed changes also address National Transportation Safety Board (NTSB) recommendations on accurate classification, enhanced tank cars, rail routing, oversight, and adequate response capabilities.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r>
                    <w:rPr>
                      <w:rFonts w:ascii="Times" w:eastAsia="Times New Roman" w:hAnsi="Times" w:cs="Times"/>
                      <w:sz w:val="20"/>
                      <w:szCs w:val="20"/>
                    </w:rPr>
                    <w:br/>
                    <w:t>Foreign</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45015</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04" w:name="104"/>
            <w:r>
              <w:rPr>
                <w:rFonts w:ascii="Times" w:eastAsia="Times New Roman" w:hAnsi="Times" w:cs="Times"/>
                <w:sz w:val="20"/>
                <w:szCs w:val="20"/>
              </w:rPr>
              <w:lastRenderedPageBreak/>
              <w:t>Pipeline and Hazardous Materials Safety Administration</w:t>
            </w:r>
            <w:bookmarkEnd w:id="104"/>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2137-AE94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05" w:name="105"/>
            <w:r>
              <w:rPr>
                <w:rFonts w:ascii="Times" w:eastAsia="Times New Roman" w:hAnsi="Times" w:cs="Times"/>
                <w:sz w:val="20"/>
                <w:szCs w:val="20"/>
              </w:rPr>
              <w:lastRenderedPageBreak/>
              <w:t>Pipeline and Hazardous Materials Safety Administration</w:t>
            </w:r>
            <w:bookmarkEnd w:id="105"/>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2137-AF06</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proposed rule would require mandatory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84"/>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4 2011 PSA : 01/03/2014</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08/02/2015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06" w:name="106"/>
            <w:r>
              <w:rPr>
                <w:rFonts w:ascii="Times" w:eastAsia="Times New Roman" w:hAnsi="Times" w:cs="Times"/>
                <w:sz w:val="20"/>
                <w:szCs w:val="20"/>
              </w:rPr>
              <w:lastRenderedPageBreak/>
              <w:t>Pipeline and Hazardous Materials Safety Administration</w:t>
            </w:r>
            <w:bookmarkEnd w:id="106"/>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2137-AF07</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066B3">
        <w:trPr>
          <w:tblCellSpacing w:w="20" w:type="dxa"/>
        </w:trPr>
        <w:tc>
          <w:tcPr>
            <w:tcW w:w="0" w:type="auto"/>
            <w:gridSpan w:val="2"/>
            <w:vAlign w:val="center"/>
            <w:hideMark/>
          </w:tcPr>
          <w:p w:rsidR="00E066B3" w:rsidRDefault="00AA2B27">
            <w:pPr>
              <w:jc w:val="center"/>
              <w:rPr>
                <w:rFonts w:ascii="Times" w:eastAsia="Times New Roman" w:hAnsi="Times" w:cs="Times"/>
                <w:sz w:val="20"/>
                <w:szCs w:val="20"/>
              </w:rPr>
            </w:pPr>
            <w:bookmarkStart w:id="107" w:name="107"/>
            <w:r>
              <w:rPr>
                <w:rFonts w:ascii="Times" w:eastAsia="Times New Roman" w:hAnsi="Times" w:cs="Times"/>
                <w:sz w:val="20"/>
                <w:szCs w:val="20"/>
              </w:rPr>
              <w:lastRenderedPageBreak/>
              <w:t>Pipeline and Hazardous Materials Safety Administration</w:t>
            </w:r>
            <w:bookmarkEnd w:id="107"/>
          </w:p>
        </w:tc>
      </w:tr>
      <w:tr w:rsidR="00E066B3">
        <w:trPr>
          <w:tblCellSpacing w:w="20" w:type="dxa"/>
        </w:trPr>
        <w:tc>
          <w:tcPr>
            <w:tcW w:w="360" w:type="dxa"/>
            <w:vAlign w:val="center"/>
            <w:hideMark/>
          </w:tcPr>
          <w:p w:rsidR="00E066B3" w:rsidRDefault="00AA2B27">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066B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E066B3" w:rsidRDefault="00AA2B27">
                  <w:pPr>
                    <w:rPr>
                      <w:rFonts w:ascii="Times" w:eastAsia="Times New Roman" w:hAnsi="Times" w:cs="Times"/>
                      <w:sz w:val="20"/>
                      <w:szCs w:val="20"/>
                    </w:rPr>
                  </w:pPr>
                  <w:r>
                    <w:rPr>
                      <w:rFonts w:ascii="Times" w:eastAsia="Times New Roman" w:hAnsi="Times" w:cs="Times"/>
                      <w:sz w:val="20"/>
                      <w:szCs w:val="20"/>
                    </w:rPr>
                    <w:t>Black</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RIN 2137-AF08</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 </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066B3">
              <w:trPr>
                <w:tblCellSpacing w:w="0" w:type="dxa"/>
              </w:trPr>
              <w:tc>
                <w:tcPr>
                  <w:tcW w:w="300" w:type="dxa"/>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066B3">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066B3">
              <w:trPr>
                <w:tblCellSpacing w:w="0" w:type="dxa"/>
              </w:trPr>
              <w:tc>
                <w:tcPr>
                  <w:tcW w:w="0" w:type="auto"/>
                  <w:noWrap/>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066B3" w:rsidRDefault="00E066B3">
                  <w:pPr>
                    <w:framePr w:hSpace="30" w:wrap="around" w:vAnchor="text" w:hAnchor="text"/>
                    <w:rPr>
                      <w:rFonts w:ascii="Times" w:eastAsia="Times New Roman" w:hAnsi="Times" w:cs="Times"/>
                      <w:sz w:val="20"/>
                      <w:szCs w:val="20"/>
                    </w:rPr>
                  </w:pP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E066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r>
            <w:tr w:rsidR="00E066B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066B3" w:rsidRDefault="00AA2B27" w:rsidP="009E1B6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066B3">
              <w:trPr>
                <w:tblCellSpacing w:w="15" w:type="dxa"/>
              </w:trPr>
              <w:tc>
                <w:tcPr>
                  <w:tcW w:w="0" w:type="auto"/>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066B3" w:rsidRDefault="00AA2B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066B3" w:rsidRDefault="00E066B3">
            <w:pPr>
              <w:rPr>
                <w:rFonts w:ascii="Times" w:eastAsia="Times New Roman" w:hAnsi="Times" w:cs="Times"/>
                <w:sz w:val="20"/>
                <w:szCs w:val="20"/>
              </w:rPr>
            </w:pPr>
          </w:p>
        </w:tc>
      </w:tr>
      <w:tr w:rsidR="00E066B3">
        <w:trPr>
          <w:tblCellSpacing w:w="20" w:type="dxa"/>
        </w:trPr>
        <w:tc>
          <w:tcPr>
            <w:tcW w:w="0" w:type="auto"/>
            <w:gridSpan w:val="2"/>
            <w:vAlign w:val="center"/>
            <w:hideMark/>
          </w:tcPr>
          <w:p w:rsidR="00E066B3" w:rsidRDefault="00AA2B2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45079</w:t>
            </w:r>
          </w:p>
        </w:tc>
      </w:tr>
    </w:tbl>
    <w:p w:rsidR="00E066B3" w:rsidRDefault="00AA2B27">
      <w:pPr>
        <w:rPr>
          <w:rFonts w:ascii="Times" w:eastAsia="Times New Roman" w:hAnsi="Times" w:cs="Times"/>
          <w:sz w:val="20"/>
          <w:szCs w:val="20"/>
        </w:rPr>
      </w:pPr>
      <w:r>
        <w:rPr>
          <w:rFonts w:ascii="Times" w:eastAsia="Times New Roman" w:hAnsi="Times" w:cs="Times"/>
          <w:sz w:val="20"/>
          <w:szCs w:val="20"/>
        </w:rPr>
        <w:br w:type="textWrapping" w:clear="all"/>
      </w:r>
    </w:p>
    <w:sectPr w:rsidR="00E066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B64" w:rsidRDefault="00AA0B64" w:rsidP="00AA0B64">
      <w:r>
        <w:separator/>
      </w:r>
    </w:p>
  </w:endnote>
  <w:endnote w:type="continuationSeparator" w:id="0">
    <w:p w:rsidR="00AA0B64" w:rsidRDefault="00AA0B64" w:rsidP="00AA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702703"/>
      <w:docPartObj>
        <w:docPartGallery w:val="Page Numbers (Bottom of Page)"/>
        <w:docPartUnique/>
      </w:docPartObj>
    </w:sdtPr>
    <w:sdtEndPr/>
    <w:sdtContent>
      <w:sdt>
        <w:sdtPr>
          <w:id w:val="860082579"/>
          <w:docPartObj>
            <w:docPartGallery w:val="Page Numbers (Top of Page)"/>
            <w:docPartUnique/>
          </w:docPartObj>
        </w:sdtPr>
        <w:sdtEndPr/>
        <w:sdtContent>
          <w:p w:rsidR="00AA0B64" w:rsidRPr="00AA0B64" w:rsidRDefault="00AA0B64">
            <w:pPr>
              <w:pStyle w:val="Footer"/>
              <w:jc w:val="right"/>
            </w:pPr>
            <w:r w:rsidRPr="00AA0B64">
              <w:t xml:space="preserve">September Internet Report: Page </w:t>
            </w:r>
            <w:r w:rsidRPr="00AA0B64">
              <w:rPr>
                <w:bCs/>
              </w:rPr>
              <w:fldChar w:fldCharType="begin"/>
            </w:r>
            <w:r w:rsidRPr="00AA0B64">
              <w:rPr>
                <w:bCs/>
              </w:rPr>
              <w:instrText xml:space="preserve"> PAGE </w:instrText>
            </w:r>
            <w:r w:rsidRPr="00AA0B64">
              <w:rPr>
                <w:bCs/>
              </w:rPr>
              <w:fldChar w:fldCharType="separate"/>
            </w:r>
            <w:r w:rsidR="009E1B68">
              <w:rPr>
                <w:bCs/>
                <w:noProof/>
              </w:rPr>
              <w:t>1</w:t>
            </w:r>
            <w:r w:rsidRPr="00AA0B64">
              <w:rPr>
                <w:bCs/>
              </w:rPr>
              <w:fldChar w:fldCharType="end"/>
            </w:r>
            <w:r w:rsidRPr="00AA0B64">
              <w:t xml:space="preserve"> of </w:t>
            </w:r>
            <w:r w:rsidRPr="00AA0B64">
              <w:rPr>
                <w:bCs/>
              </w:rPr>
              <w:fldChar w:fldCharType="begin"/>
            </w:r>
            <w:r w:rsidRPr="00AA0B64">
              <w:rPr>
                <w:bCs/>
              </w:rPr>
              <w:instrText xml:space="preserve"> NUMPAGES  </w:instrText>
            </w:r>
            <w:r w:rsidRPr="00AA0B64">
              <w:rPr>
                <w:bCs/>
              </w:rPr>
              <w:fldChar w:fldCharType="separate"/>
            </w:r>
            <w:r w:rsidR="009E1B68">
              <w:rPr>
                <w:bCs/>
                <w:noProof/>
              </w:rPr>
              <w:t>113</w:t>
            </w:r>
            <w:r w:rsidRPr="00AA0B64">
              <w:rPr>
                <w:bCs/>
              </w:rPr>
              <w:fldChar w:fldCharType="end"/>
            </w:r>
          </w:p>
        </w:sdtContent>
      </w:sdt>
    </w:sdtContent>
  </w:sdt>
  <w:p w:rsidR="00AA0B64" w:rsidRPr="00AA0B64" w:rsidRDefault="00AA0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B64" w:rsidRDefault="00AA0B64" w:rsidP="00AA0B64">
      <w:r>
        <w:separator/>
      </w:r>
    </w:p>
  </w:footnote>
  <w:footnote w:type="continuationSeparator" w:id="0">
    <w:p w:rsidR="00AA0B64" w:rsidRDefault="00AA0B64" w:rsidP="00AA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A0611"/>
    <w:rsid w:val="005A0611"/>
    <w:rsid w:val="009E1B68"/>
    <w:rsid w:val="00AA0B64"/>
    <w:rsid w:val="00AA2B27"/>
    <w:rsid w:val="00B253FA"/>
    <w:rsid w:val="00E0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AA0B64"/>
    <w:pPr>
      <w:tabs>
        <w:tab w:val="center" w:pos="4680"/>
        <w:tab w:val="right" w:pos="9360"/>
      </w:tabs>
    </w:pPr>
  </w:style>
  <w:style w:type="character" w:customStyle="1" w:styleId="HeaderChar">
    <w:name w:val="Header Char"/>
    <w:basedOn w:val="DefaultParagraphFont"/>
    <w:link w:val="Header"/>
    <w:uiPriority w:val="99"/>
    <w:rsid w:val="00AA0B64"/>
    <w:rPr>
      <w:rFonts w:eastAsiaTheme="minorEastAsia"/>
      <w:sz w:val="24"/>
      <w:szCs w:val="24"/>
    </w:rPr>
  </w:style>
  <w:style w:type="paragraph" w:styleId="Footer">
    <w:name w:val="footer"/>
    <w:basedOn w:val="Normal"/>
    <w:link w:val="FooterChar"/>
    <w:uiPriority w:val="99"/>
    <w:unhideWhenUsed/>
    <w:rsid w:val="00AA0B64"/>
    <w:pPr>
      <w:tabs>
        <w:tab w:val="center" w:pos="4680"/>
        <w:tab w:val="right" w:pos="9360"/>
      </w:tabs>
    </w:pPr>
  </w:style>
  <w:style w:type="character" w:customStyle="1" w:styleId="FooterChar">
    <w:name w:val="Footer Char"/>
    <w:basedOn w:val="DefaultParagraphFont"/>
    <w:link w:val="Footer"/>
    <w:uiPriority w:val="99"/>
    <w:rsid w:val="00AA0B64"/>
    <w:rPr>
      <w:rFonts w:eastAsiaTheme="minorEastAsia"/>
      <w:sz w:val="24"/>
      <w:szCs w:val="24"/>
    </w:rPr>
  </w:style>
  <w:style w:type="paragraph" w:styleId="BalloonText">
    <w:name w:val="Balloon Text"/>
    <w:basedOn w:val="Normal"/>
    <w:link w:val="BalloonTextChar"/>
    <w:uiPriority w:val="99"/>
    <w:semiHidden/>
    <w:unhideWhenUsed/>
    <w:rsid w:val="00AA0B64"/>
    <w:rPr>
      <w:rFonts w:ascii="Tahoma" w:hAnsi="Tahoma" w:cs="Tahoma"/>
      <w:sz w:val="16"/>
      <w:szCs w:val="16"/>
    </w:rPr>
  </w:style>
  <w:style w:type="character" w:customStyle="1" w:styleId="BalloonTextChar">
    <w:name w:val="Balloon Text Char"/>
    <w:basedOn w:val="DefaultParagraphFont"/>
    <w:link w:val="BalloonText"/>
    <w:uiPriority w:val="99"/>
    <w:semiHidden/>
    <w:rsid w:val="00AA0B6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AA0B64"/>
    <w:pPr>
      <w:tabs>
        <w:tab w:val="center" w:pos="4680"/>
        <w:tab w:val="right" w:pos="9360"/>
      </w:tabs>
    </w:pPr>
  </w:style>
  <w:style w:type="character" w:customStyle="1" w:styleId="HeaderChar">
    <w:name w:val="Header Char"/>
    <w:basedOn w:val="DefaultParagraphFont"/>
    <w:link w:val="Header"/>
    <w:uiPriority w:val="99"/>
    <w:rsid w:val="00AA0B64"/>
    <w:rPr>
      <w:rFonts w:eastAsiaTheme="minorEastAsia"/>
      <w:sz w:val="24"/>
      <w:szCs w:val="24"/>
    </w:rPr>
  </w:style>
  <w:style w:type="paragraph" w:styleId="Footer">
    <w:name w:val="footer"/>
    <w:basedOn w:val="Normal"/>
    <w:link w:val="FooterChar"/>
    <w:uiPriority w:val="99"/>
    <w:unhideWhenUsed/>
    <w:rsid w:val="00AA0B64"/>
    <w:pPr>
      <w:tabs>
        <w:tab w:val="center" w:pos="4680"/>
        <w:tab w:val="right" w:pos="9360"/>
      </w:tabs>
    </w:pPr>
  </w:style>
  <w:style w:type="character" w:customStyle="1" w:styleId="FooterChar">
    <w:name w:val="Footer Char"/>
    <w:basedOn w:val="DefaultParagraphFont"/>
    <w:link w:val="Footer"/>
    <w:uiPriority w:val="99"/>
    <w:rsid w:val="00AA0B64"/>
    <w:rPr>
      <w:rFonts w:eastAsiaTheme="minorEastAsia"/>
      <w:sz w:val="24"/>
      <w:szCs w:val="24"/>
    </w:rPr>
  </w:style>
  <w:style w:type="paragraph" w:styleId="BalloonText">
    <w:name w:val="Balloon Text"/>
    <w:basedOn w:val="Normal"/>
    <w:link w:val="BalloonTextChar"/>
    <w:uiPriority w:val="99"/>
    <w:semiHidden/>
    <w:unhideWhenUsed/>
    <w:rsid w:val="00AA0B64"/>
    <w:rPr>
      <w:rFonts w:ascii="Tahoma" w:hAnsi="Tahoma" w:cs="Tahoma"/>
      <w:sz w:val="16"/>
      <w:szCs w:val="16"/>
    </w:rPr>
  </w:style>
  <w:style w:type="character" w:customStyle="1" w:styleId="BalloonTextChar">
    <w:name w:val="Balloon Text Char"/>
    <w:basedOn w:val="DefaultParagraphFont"/>
    <w:link w:val="BalloonText"/>
    <w:uiPriority w:val="99"/>
    <w:semiHidden/>
    <w:rsid w:val="00AA0B6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191">
      <w:marLeft w:val="0"/>
      <w:marRight w:val="0"/>
      <w:marTop w:val="0"/>
      <w:marBottom w:val="0"/>
      <w:divBdr>
        <w:top w:val="none" w:sz="0" w:space="0" w:color="auto"/>
        <w:left w:val="none" w:sz="0" w:space="0" w:color="auto"/>
        <w:bottom w:val="none" w:sz="0" w:space="0" w:color="auto"/>
        <w:right w:val="none" w:sz="0" w:space="0" w:color="auto"/>
      </w:divBdr>
    </w:div>
    <w:div w:id="24868069">
      <w:marLeft w:val="0"/>
      <w:marRight w:val="0"/>
      <w:marTop w:val="0"/>
      <w:marBottom w:val="0"/>
      <w:divBdr>
        <w:top w:val="none" w:sz="0" w:space="0" w:color="auto"/>
        <w:left w:val="none" w:sz="0" w:space="0" w:color="auto"/>
        <w:bottom w:val="none" w:sz="0" w:space="0" w:color="auto"/>
        <w:right w:val="none" w:sz="0" w:space="0" w:color="auto"/>
      </w:divBdr>
    </w:div>
    <w:div w:id="34887388">
      <w:marLeft w:val="0"/>
      <w:marRight w:val="0"/>
      <w:marTop w:val="0"/>
      <w:marBottom w:val="0"/>
      <w:divBdr>
        <w:top w:val="none" w:sz="0" w:space="0" w:color="auto"/>
        <w:left w:val="none" w:sz="0" w:space="0" w:color="auto"/>
        <w:bottom w:val="none" w:sz="0" w:space="0" w:color="auto"/>
        <w:right w:val="none" w:sz="0" w:space="0" w:color="auto"/>
      </w:divBdr>
    </w:div>
    <w:div w:id="35812406">
      <w:marLeft w:val="0"/>
      <w:marRight w:val="0"/>
      <w:marTop w:val="0"/>
      <w:marBottom w:val="0"/>
      <w:divBdr>
        <w:top w:val="none" w:sz="0" w:space="0" w:color="auto"/>
        <w:left w:val="none" w:sz="0" w:space="0" w:color="auto"/>
        <w:bottom w:val="none" w:sz="0" w:space="0" w:color="auto"/>
        <w:right w:val="none" w:sz="0" w:space="0" w:color="auto"/>
      </w:divBdr>
    </w:div>
    <w:div w:id="104346634">
      <w:marLeft w:val="0"/>
      <w:marRight w:val="0"/>
      <w:marTop w:val="0"/>
      <w:marBottom w:val="0"/>
      <w:divBdr>
        <w:top w:val="none" w:sz="0" w:space="0" w:color="auto"/>
        <w:left w:val="none" w:sz="0" w:space="0" w:color="auto"/>
        <w:bottom w:val="none" w:sz="0" w:space="0" w:color="auto"/>
        <w:right w:val="none" w:sz="0" w:space="0" w:color="auto"/>
      </w:divBdr>
    </w:div>
    <w:div w:id="113989846">
      <w:marLeft w:val="0"/>
      <w:marRight w:val="0"/>
      <w:marTop w:val="0"/>
      <w:marBottom w:val="0"/>
      <w:divBdr>
        <w:top w:val="none" w:sz="0" w:space="0" w:color="auto"/>
        <w:left w:val="none" w:sz="0" w:space="0" w:color="auto"/>
        <w:bottom w:val="none" w:sz="0" w:space="0" w:color="auto"/>
        <w:right w:val="none" w:sz="0" w:space="0" w:color="auto"/>
      </w:divBdr>
    </w:div>
    <w:div w:id="133453580">
      <w:marLeft w:val="0"/>
      <w:marRight w:val="0"/>
      <w:marTop w:val="0"/>
      <w:marBottom w:val="0"/>
      <w:divBdr>
        <w:top w:val="none" w:sz="0" w:space="0" w:color="auto"/>
        <w:left w:val="none" w:sz="0" w:space="0" w:color="auto"/>
        <w:bottom w:val="none" w:sz="0" w:space="0" w:color="auto"/>
        <w:right w:val="none" w:sz="0" w:space="0" w:color="auto"/>
      </w:divBdr>
    </w:div>
    <w:div w:id="147329802">
      <w:marLeft w:val="0"/>
      <w:marRight w:val="0"/>
      <w:marTop w:val="0"/>
      <w:marBottom w:val="0"/>
      <w:divBdr>
        <w:top w:val="none" w:sz="0" w:space="0" w:color="auto"/>
        <w:left w:val="none" w:sz="0" w:space="0" w:color="auto"/>
        <w:bottom w:val="none" w:sz="0" w:space="0" w:color="auto"/>
        <w:right w:val="none" w:sz="0" w:space="0" w:color="auto"/>
      </w:divBdr>
    </w:div>
    <w:div w:id="149060769">
      <w:marLeft w:val="0"/>
      <w:marRight w:val="0"/>
      <w:marTop w:val="0"/>
      <w:marBottom w:val="0"/>
      <w:divBdr>
        <w:top w:val="none" w:sz="0" w:space="0" w:color="auto"/>
        <w:left w:val="none" w:sz="0" w:space="0" w:color="auto"/>
        <w:bottom w:val="none" w:sz="0" w:space="0" w:color="auto"/>
        <w:right w:val="none" w:sz="0" w:space="0" w:color="auto"/>
      </w:divBdr>
    </w:div>
    <w:div w:id="150146825">
      <w:marLeft w:val="0"/>
      <w:marRight w:val="0"/>
      <w:marTop w:val="0"/>
      <w:marBottom w:val="0"/>
      <w:divBdr>
        <w:top w:val="none" w:sz="0" w:space="0" w:color="auto"/>
        <w:left w:val="none" w:sz="0" w:space="0" w:color="auto"/>
        <w:bottom w:val="none" w:sz="0" w:space="0" w:color="auto"/>
        <w:right w:val="none" w:sz="0" w:space="0" w:color="auto"/>
      </w:divBdr>
    </w:div>
    <w:div w:id="175776610">
      <w:marLeft w:val="0"/>
      <w:marRight w:val="0"/>
      <w:marTop w:val="0"/>
      <w:marBottom w:val="0"/>
      <w:divBdr>
        <w:top w:val="none" w:sz="0" w:space="0" w:color="auto"/>
        <w:left w:val="none" w:sz="0" w:space="0" w:color="auto"/>
        <w:bottom w:val="none" w:sz="0" w:space="0" w:color="auto"/>
        <w:right w:val="none" w:sz="0" w:space="0" w:color="auto"/>
      </w:divBdr>
    </w:div>
    <w:div w:id="195701946">
      <w:marLeft w:val="0"/>
      <w:marRight w:val="0"/>
      <w:marTop w:val="0"/>
      <w:marBottom w:val="0"/>
      <w:divBdr>
        <w:top w:val="none" w:sz="0" w:space="0" w:color="auto"/>
        <w:left w:val="none" w:sz="0" w:space="0" w:color="auto"/>
        <w:bottom w:val="none" w:sz="0" w:space="0" w:color="auto"/>
        <w:right w:val="none" w:sz="0" w:space="0" w:color="auto"/>
      </w:divBdr>
    </w:div>
    <w:div w:id="196627947">
      <w:marLeft w:val="0"/>
      <w:marRight w:val="0"/>
      <w:marTop w:val="0"/>
      <w:marBottom w:val="0"/>
      <w:divBdr>
        <w:top w:val="none" w:sz="0" w:space="0" w:color="auto"/>
        <w:left w:val="none" w:sz="0" w:space="0" w:color="auto"/>
        <w:bottom w:val="none" w:sz="0" w:space="0" w:color="auto"/>
        <w:right w:val="none" w:sz="0" w:space="0" w:color="auto"/>
      </w:divBdr>
    </w:div>
    <w:div w:id="205920921">
      <w:marLeft w:val="0"/>
      <w:marRight w:val="0"/>
      <w:marTop w:val="0"/>
      <w:marBottom w:val="0"/>
      <w:divBdr>
        <w:top w:val="none" w:sz="0" w:space="0" w:color="auto"/>
        <w:left w:val="none" w:sz="0" w:space="0" w:color="auto"/>
        <w:bottom w:val="none" w:sz="0" w:space="0" w:color="auto"/>
        <w:right w:val="none" w:sz="0" w:space="0" w:color="auto"/>
      </w:divBdr>
    </w:div>
    <w:div w:id="210270677">
      <w:marLeft w:val="0"/>
      <w:marRight w:val="0"/>
      <w:marTop w:val="0"/>
      <w:marBottom w:val="0"/>
      <w:divBdr>
        <w:top w:val="none" w:sz="0" w:space="0" w:color="auto"/>
        <w:left w:val="none" w:sz="0" w:space="0" w:color="auto"/>
        <w:bottom w:val="none" w:sz="0" w:space="0" w:color="auto"/>
        <w:right w:val="none" w:sz="0" w:space="0" w:color="auto"/>
      </w:divBdr>
    </w:div>
    <w:div w:id="239098586">
      <w:marLeft w:val="0"/>
      <w:marRight w:val="0"/>
      <w:marTop w:val="0"/>
      <w:marBottom w:val="0"/>
      <w:divBdr>
        <w:top w:val="none" w:sz="0" w:space="0" w:color="auto"/>
        <w:left w:val="none" w:sz="0" w:space="0" w:color="auto"/>
        <w:bottom w:val="none" w:sz="0" w:space="0" w:color="auto"/>
        <w:right w:val="none" w:sz="0" w:space="0" w:color="auto"/>
      </w:divBdr>
    </w:div>
    <w:div w:id="246154020">
      <w:marLeft w:val="0"/>
      <w:marRight w:val="0"/>
      <w:marTop w:val="0"/>
      <w:marBottom w:val="0"/>
      <w:divBdr>
        <w:top w:val="none" w:sz="0" w:space="0" w:color="auto"/>
        <w:left w:val="none" w:sz="0" w:space="0" w:color="auto"/>
        <w:bottom w:val="none" w:sz="0" w:space="0" w:color="auto"/>
        <w:right w:val="none" w:sz="0" w:space="0" w:color="auto"/>
      </w:divBdr>
    </w:div>
    <w:div w:id="249891098">
      <w:marLeft w:val="0"/>
      <w:marRight w:val="0"/>
      <w:marTop w:val="0"/>
      <w:marBottom w:val="0"/>
      <w:divBdr>
        <w:top w:val="none" w:sz="0" w:space="0" w:color="auto"/>
        <w:left w:val="none" w:sz="0" w:space="0" w:color="auto"/>
        <w:bottom w:val="none" w:sz="0" w:space="0" w:color="auto"/>
        <w:right w:val="none" w:sz="0" w:space="0" w:color="auto"/>
      </w:divBdr>
    </w:div>
    <w:div w:id="253825096">
      <w:marLeft w:val="0"/>
      <w:marRight w:val="0"/>
      <w:marTop w:val="0"/>
      <w:marBottom w:val="0"/>
      <w:divBdr>
        <w:top w:val="none" w:sz="0" w:space="0" w:color="auto"/>
        <w:left w:val="none" w:sz="0" w:space="0" w:color="auto"/>
        <w:bottom w:val="none" w:sz="0" w:space="0" w:color="auto"/>
        <w:right w:val="none" w:sz="0" w:space="0" w:color="auto"/>
      </w:divBdr>
    </w:div>
    <w:div w:id="255290038">
      <w:marLeft w:val="0"/>
      <w:marRight w:val="0"/>
      <w:marTop w:val="0"/>
      <w:marBottom w:val="0"/>
      <w:divBdr>
        <w:top w:val="none" w:sz="0" w:space="0" w:color="auto"/>
        <w:left w:val="none" w:sz="0" w:space="0" w:color="auto"/>
        <w:bottom w:val="none" w:sz="0" w:space="0" w:color="auto"/>
        <w:right w:val="none" w:sz="0" w:space="0" w:color="auto"/>
      </w:divBdr>
    </w:div>
    <w:div w:id="258104537">
      <w:marLeft w:val="0"/>
      <w:marRight w:val="0"/>
      <w:marTop w:val="0"/>
      <w:marBottom w:val="0"/>
      <w:divBdr>
        <w:top w:val="none" w:sz="0" w:space="0" w:color="auto"/>
        <w:left w:val="none" w:sz="0" w:space="0" w:color="auto"/>
        <w:bottom w:val="none" w:sz="0" w:space="0" w:color="auto"/>
        <w:right w:val="none" w:sz="0" w:space="0" w:color="auto"/>
      </w:divBdr>
    </w:div>
    <w:div w:id="281769036">
      <w:marLeft w:val="0"/>
      <w:marRight w:val="0"/>
      <w:marTop w:val="0"/>
      <w:marBottom w:val="0"/>
      <w:divBdr>
        <w:top w:val="none" w:sz="0" w:space="0" w:color="auto"/>
        <w:left w:val="none" w:sz="0" w:space="0" w:color="auto"/>
        <w:bottom w:val="none" w:sz="0" w:space="0" w:color="auto"/>
        <w:right w:val="none" w:sz="0" w:space="0" w:color="auto"/>
      </w:divBdr>
    </w:div>
    <w:div w:id="294063021">
      <w:marLeft w:val="0"/>
      <w:marRight w:val="0"/>
      <w:marTop w:val="0"/>
      <w:marBottom w:val="0"/>
      <w:divBdr>
        <w:top w:val="none" w:sz="0" w:space="0" w:color="auto"/>
        <w:left w:val="none" w:sz="0" w:space="0" w:color="auto"/>
        <w:bottom w:val="none" w:sz="0" w:space="0" w:color="auto"/>
        <w:right w:val="none" w:sz="0" w:space="0" w:color="auto"/>
      </w:divBdr>
    </w:div>
    <w:div w:id="321541068">
      <w:marLeft w:val="0"/>
      <w:marRight w:val="0"/>
      <w:marTop w:val="0"/>
      <w:marBottom w:val="0"/>
      <w:divBdr>
        <w:top w:val="none" w:sz="0" w:space="0" w:color="auto"/>
        <w:left w:val="none" w:sz="0" w:space="0" w:color="auto"/>
        <w:bottom w:val="none" w:sz="0" w:space="0" w:color="auto"/>
        <w:right w:val="none" w:sz="0" w:space="0" w:color="auto"/>
      </w:divBdr>
    </w:div>
    <w:div w:id="325015954">
      <w:marLeft w:val="0"/>
      <w:marRight w:val="0"/>
      <w:marTop w:val="0"/>
      <w:marBottom w:val="0"/>
      <w:divBdr>
        <w:top w:val="none" w:sz="0" w:space="0" w:color="auto"/>
        <w:left w:val="none" w:sz="0" w:space="0" w:color="auto"/>
        <w:bottom w:val="none" w:sz="0" w:space="0" w:color="auto"/>
        <w:right w:val="none" w:sz="0" w:space="0" w:color="auto"/>
      </w:divBdr>
    </w:div>
    <w:div w:id="329454875">
      <w:marLeft w:val="0"/>
      <w:marRight w:val="0"/>
      <w:marTop w:val="0"/>
      <w:marBottom w:val="0"/>
      <w:divBdr>
        <w:top w:val="none" w:sz="0" w:space="0" w:color="auto"/>
        <w:left w:val="none" w:sz="0" w:space="0" w:color="auto"/>
        <w:bottom w:val="none" w:sz="0" w:space="0" w:color="auto"/>
        <w:right w:val="none" w:sz="0" w:space="0" w:color="auto"/>
      </w:divBdr>
    </w:div>
    <w:div w:id="348875809">
      <w:marLeft w:val="0"/>
      <w:marRight w:val="0"/>
      <w:marTop w:val="0"/>
      <w:marBottom w:val="0"/>
      <w:divBdr>
        <w:top w:val="none" w:sz="0" w:space="0" w:color="auto"/>
        <w:left w:val="none" w:sz="0" w:space="0" w:color="auto"/>
        <w:bottom w:val="none" w:sz="0" w:space="0" w:color="auto"/>
        <w:right w:val="none" w:sz="0" w:space="0" w:color="auto"/>
      </w:divBdr>
    </w:div>
    <w:div w:id="372075727">
      <w:marLeft w:val="0"/>
      <w:marRight w:val="0"/>
      <w:marTop w:val="0"/>
      <w:marBottom w:val="0"/>
      <w:divBdr>
        <w:top w:val="none" w:sz="0" w:space="0" w:color="auto"/>
        <w:left w:val="none" w:sz="0" w:space="0" w:color="auto"/>
        <w:bottom w:val="none" w:sz="0" w:space="0" w:color="auto"/>
        <w:right w:val="none" w:sz="0" w:space="0" w:color="auto"/>
      </w:divBdr>
    </w:div>
    <w:div w:id="393550784">
      <w:marLeft w:val="0"/>
      <w:marRight w:val="0"/>
      <w:marTop w:val="0"/>
      <w:marBottom w:val="0"/>
      <w:divBdr>
        <w:top w:val="none" w:sz="0" w:space="0" w:color="auto"/>
        <w:left w:val="none" w:sz="0" w:space="0" w:color="auto"/>
        <w:bottom w:val="none" w:sz="0" w:space="0" w:color="auto"/>
        <w:right w:val="none" w:sz="0" w:space="0" w:color="auto"/>
      </w:divBdr>
    </w:div>
    <w:div w:id="459418187">
      <w:marLeft w:val="0"/>
      <w:marRight w:val="0"/>
      <w:marTop w:val="0"/>
      <w:marBottom w:val="0"/>
      <w:divBdr>
        <w:top w:val="none" w:sz="0" w:space="0" w:color="auto"/>
        <w:left w:val="none" w:sz="0" w:space="0" w:color="auto"/>
        <w:bottom w:val="none" w:sz="0" w:space="0" w:color="auto"/>
        <w:right w:val="none" w:sz="0" w:space="0" w:color="auto"/>
      </w:divBdr>
    </w:div>
    <w:div w:id="544178052">
      <w:marLeft w:val="0"/>
      <w:marRight w:val="0"/>
      <w:marTop w:val="0"/>
      <w:marBottom w:val="0"/>
      <w:divBdr>
        <w:top w:val="none" w:sz="0" w:space="0" w:color="auto"/>
        <w:left w:val="none" w:sz="0" w:space="0" w:color="auto"/>
        <w:bottom w:val="none" w:sz="0" w:space="0" w:color="auto"/>
        <w:right w:val="none" w:sz="0" w:space="0" w:color="auto"/>
      </w:divBdr>
    </w:div>
    <w:div w:id="559830830">
      <w:marLeft w:val="0"/>
      <w:marRight w:val="0"/>
      <w:marTop w:val="0"/>
      <w:marBottom w:val="0"/>
      <w:divBdr>
        <w:top w:val="none" w:sz="0" w:space="0" w:color="auto"/>
        <w:left w:val="none" w:sz="0" w:space="0" w:color="auto"/>
        <w:bottom w:val="none" w:sz="0" w:space="0" w:color="auto"/>
        <w:right w:val="none" w:sz="0" w:space="0" w:color="auto"/>
      </w:divBdr>
    </w:div>
    <w:div w:id="567769343">
      <w:marLeft w:val="0"/>
      <w:marRight w:val="0"/>
      <w:marTop w:val="0"/>
      <w:marBottom w:val="0"/>
      <w:divBdr>
        <w:top w:val="none" w:sz="0" w:space="0" w:color="auto"/>
        <w:left w:val="none" w:sz="0" w:space="0" w:color="auto"/>
        <w:bottom w:val="none" w:sz="0" w:space="0" w:color="auto"/>
        <w:right w:val="none" w:sz="0" w:space="0" w:color="auto"/>
      </w:divBdr>
    </w:div>
    <w:div w:id="586353557">
      <w:marLeft w:val="0"/>
      <w:marRight w:val="0"/>
      <w:marTop w:val="0"/>
      <w:marBottom w:val="0"/>
      <w:divBdr>
        <w:top w:val="none" w:sz="0" w:space="0" w:color="auto"/>
        <w:left w:val="none" w:sz="0" w:space="0" w:color="auto"/>
        <w:bottom w:val="none" w:sz="0" w:space="0" w:color="auto"/>
        <w:right w:val="none" w:sz="0" w:space="0" w:color="auto"/>
      </w:divBdr>
    </w:div>
    <w:div w:id="634215745">
      <w:marLeft w:val="0"/>
      <w:marRight w:val="0"/>
      <w:marTop w:val="0"/>
      <w:marBottom w:val="0"/>
      <w:divBdr>
        <w:top w:val="none" w:sz="0" w:space="0" w:color="auto"/>
        <w:left w:val="none" w:sz="0" w:space="0" w:color="auto"/>
        <w:bottom w:val="none" w:sz="0" w:space="0" w:color="auto"/>
        <w:right w:val="none" w:sz="0" w:space="0" w:color="auto"/>
      </w:divBdr>
    </w:div>
    <w:div w:id="638152683">
      <w:marLeft w:val="0"/>
      <w:marRight w:val="0"/>
      <w:marTop w:val="0"/>
      <w:marBottom w:val="0"/>
      <w:divBdr>
        <w:top w:val="none" w:sz="0" w:space="0" w:color="auto"/>
        <w:left w:val="none" w:sz="0" w:space="0" w:color="auto"/>
        <w:bottom w:val="none" w:sz="0" w:space="0" w:color="auto"/>
        <w:right w:val="none" w:sz="0" w:space="0" w:color="auto"/>
      </w:divBdr>
    </w:div>
    <w:div w:id="664363726">
      <w:marLeft w:val="0"/>
      <w:marRight w:val="0"/>
      <w:marTop w:val="0"/>
      <w:marBottom w:val="0"/>
      <w:divBdr>
        <w:top w:val="none" w:sz="0" w:space="0" w:color="auto"/>
        <w:left w:val="none" w:sz="0" w:space="0" w:color="auto"/>
        <w:bottom w:val="none" w:sz="0" w:space="0" w:color="auto"/>
        <w:right w:val="none" w:sz="0" w:space="0" w:color="auto"/>
      </w:divBdr>
    </w:div>
    <w:div w:id="676423104">
      <w:marLeft w:val="0"/>
      <w:marRight w:val="0"/>
      <w:marTop w:val="0"/>
      <w:marBottom w:val="0"/>
      <w:divBdr>
        <w:top w:val="none" w:sz="0" w:space="0" w:color="auto"/>
        <w:left w:val="none" w:sz="0" w:space="0" w:color="auto"/>
        <w:bottom w:val="none" w:sz="0" w:space="0" w:color="auto"/>
        <w:right w:val="none" w:sz="0" w:space="0" w:color="auto"/>
      </w:divBdr>
    </w:div>
    <w:div w:id="751390785">
      <w:marLeft w:val="0"/>
      <w:marRight w:val="0"/>
      <w:marTop w:val="0"/>
      <w:marBottom w:val="0"/>
      <w:divBdr>
        <w:top w:val="none" w:sz="0" w:space="0" w:color="auto"/>
        <w:left w:val="none" w:sz="0" w:space="0" w:color="auto"/>
        <w:bottom w:val="none" w:sz="0" w:space="0" w:color="auto"/>
        <w:right w:val="none" w:sz="0" w:space="0" w:color="auto"/>
      </w:divBdr>
    </w:div>
    <w:div w:id="776758548">
      <w:marLeft w:val="0"/>
      <w:marRight w:val="0"/>
      <w:marTop w:val="0"/>
      <w:marBottom w:val="0"/>
      <w:divBdr>
        <w:top w:val="none" w:sz="0" w:space="0" w:color="auto"/>
        <w:left w:val="none" w:sz="0" w:space="0" w:color="auto"/>
        <w:bottom w:val="none" w:sz="0" w:space="0" w:color="auto"/>
        <w:right w:val="none" w:sz="0" w:space="0" w:color="auto"/>
      </w:divBdr>
    </w:div>
    <w:div w:id="784543874">
      <w:marLeft w:val="0"/>
      <w:marRight w:val="0"/>
      <w:marTop w:val="0"/>
      <w:marBottom w:val="0"/>
      <w:divBdr>
        <w:top w:val="none" w:sz="0" w:space="0" w:color="auto"/>
        <w:left w:val="none" w:sz="0" w:space="0" w:color="auto"/>
        <w:bottom w:val="none" w:sz="0" w:space="0" w:color="auto"/>
        <w:right w:val="none" w:sz="0" w:space="0" w:color="auto"/>
      </w:divBdr>
    </w:div>
    <w:div w:id="784692556">
      <w:marLeft w:val="0"/>
      <w:marRight w:val="0"/>
      <w:marTop w:val="0"/>
      <w:marBottom w:val="0"/>
      <w:divBdr>
        <w:top w:val="none" w:sz="0" w:space="0" w:color="auto"/>
        <w:left w:val="none" w:sz="0" w:space="0" w:color="auto"/>
        <w:bottom w:val="none" w:sz="0" w:space="0" w:color="auto"/>
        <w:right w:val="none" w:sz="0" w:space="0" w:color="auto"/>
      </w:divBdr>
    </w:div>
    <w:div w:id="800422222">
      <w:marLeft w:val="0"/>
      <w:marRight w:val="0"/>
      <w:marTop w:val="0"/>
      <w:marBottom w:val="0"/>
      <w:divBdr>
        <w:top w:val="none" w:sz="0" w:space="0" w:color="auto"/>
        <w:left w:val="none" w:sz="0" w:space="0" w:color="auto"/>
        <w:bottom w:val="none" w:sz="0" w:space="0" w:color="auto"/>
        <w:right w:val="none" w:sz="0" w:space="0" w:color="auto"/>
      </w:divBdr>
    </w:div>
    <w:div w:id="808208600">
      <w:marLeft w:val="0"/>
      <w:marRight w:val="0"/>
      <w:marTop w:val="0"/>
      <w:marBottom w:val="0"/>
      <w:divBdr>
        <w:top w:val="none" w:sz="0" w:space="0" w:color="auto"/>
        <w:left w:val="none" w:sz="0" w:space="0" w:color="auto"/>
        <w:bottom w:val="none" w:sz="0" w:space="0" w:color="auto"/>
        <w:right w:val="none" w:sz="0" w:space="0" w:color="auto"/>
      </w:divBdr>
    </w:div>
    <w:div w:id="811554949">
      <w:marLeft w:val="0"/>
      <w:marRight w:val="0"/>
      <w:marTop w:val="0"/>
      <w:marBottom w:val="0"/>
      <w:divBdr>
        <w:top w:val="none" w:sz="0" w:space="0" w:color="auto"/>
        <w:left w:val="none" w:sz="0" w:space="0" w:color="auto"/>
        <w:bottom w:val="none" w:sz="0" w:space="0" w:color="auto"/>
        <w:right w:val="none" w:sz="0" w:space="0" w:color="auto"/>
      </w:divBdr>
    </w:div>
    <w:div w:id="830103127">
      <w:marLeft w:val="0"/>
      <w:marRight w:val="0"/>
      <w:marTop w:val="0"/>
      <w:marBottom w:val="0"/>
      <w:divBdr>
        <w:top w:val="none" w:sz="0" w:space="0" w:color="auto"/>
        <w:left w:val="none" w:sz="0" w:space="0" w:color="auto"/>
        <w:bottom w:val="none" w:sz="0" w:space="0" w:color="auto"/>
        <w:right w:val="none" w:sz="0" w:space="0" w:color="auto"/>
      </w:divBdr>
    </w:div>
    <w:div w:id="868954536">
      <w:marLeft w:val="0"/>
      <w:marRight w:val="0"/>
      <w:marTop w:val="0"/>
      <w:marBottom w:val="0"/>
      <w:divBdr>
        <w:top w:val="none" w:sz="0" w:space="0" w:color="auto"/>
        <w:left w:val="none" w:sz="0" w:space="0" w:color="auto"/>
        <w:bottom w:val="none" w:sz="0" w:space="0" w:color="auto"/>
        <w:right w:val="none" w:sz="0" w:space="0" w:color="auto"/>
      </w:divBdr>
    </w:div>
    <w:div w:id="905453357">
      <w:marLeft w:val="0"/>
      <w:marRight w:val="0"/>
      <w:marTop w:val="0"/>
      <w:marBottom w:val="0"/>
      <w:divBdr>
        <w:top w:val="none" w:sz="0" w:space="0" w:color="auto"/>
        <w:left w:val="none" w:sz="0" w:space="0" w:color="auto"/>
        <w:bottom w:val="none" w:sz="0" w:space="0" w:color="auto"/>
        <w:right w:val="none" w:sz="0" w:space="0" w:color="auto"/>
      </w:divBdr>
    </w:div>
    <w:div w:id="921642798">
      <w:marLeft w:val="0"/>
      <w:marRight w:val="0"/>
      <w:marTop w:val="0"/>
      <w:marBottom w:val="0"/>
      <w:divBdr>
        <w:top w:val="none" w:sz="0" w:space="0" w:color="auto"/>
        <w:left w:val="none" w:sz="0" w:space="0" w:color="auto"/>
        <w:bottom w:val="none" w:sz="0" w:space="0" w:color="auto"/>
        <w:right w:val="none" w:sz="0" w:space="0" w:color="auto"/>
      </w:divBdr>
    </w:div>
    <w:div w:id="926377968">
      <w:marLeft w:val="0"/>
      <w:marRight w:val="0"/>
      <w:marTop w:val="0"/>
      <w:marBottom w:val="0"/>
      <w:divBdr>
        <w:top w:val="none" w:sz="0" w:space="0" w:color="auto"/>
        <w:left w:val="none" w:sz="0" w:space="0" w:color="auto"/>
        <w:bottom w:val="none" w:sz="0" w:space="0" w:color="auto"/>
        <w:right w:val="none" w:sz="0" w:space="0" w:color="auto"/>
      </w:divBdr>
    </w:div>
    <w:div w:id="961426623">
      <w:marLeft w:val="0"/>
      <w:marRight w:val="0"/>
      <w:marTop w:val="0"/>
      <w:marBottom w:val="0"/>
      <w:divBdr>
        <w:top w:val="none" w:sz="0" w:space="0" w:color="auto"/>
        <w:left w:val="none" w:sz="0" w:space="0" w:color="auto"/>
        <w:bottom w:val="none" w:sz="0" w:space="0" w:color="auto"/>
        <w:right w:val="none" w:sz="0" w:space="0" w:color="auto"/>
      </w:divBdr>
    </w:div>
    <w:div w:id="964459112">
      <w:marLeft w:val="0"/>
      <w:marRight w:val="0"/>
      <w:marTop w:val="0"/>
      <w:marBottom w:val="0"/>
      <w:divBdr>
        <w:top w:val="none" w:sz="0" w:space="0" w:color="auto"/>
        <w:left w:val="none" w:sz="0" w:space="0" w:color="auto"/>
        <w:bottom w:val="none" w:sz="0" w:space="0" w:color="auto"/>
        <w:right w:val="none" w:sz="0" w:space="0" w:color="auto"/>
      </w:divBdr>
    </w:div>
    <w:div w:id="987519060">
      <w:marLeft w:val="0"/>
      <w:marRight w:val="0"/>
      <w:marTop w:val="0"/>
      <w:marBottom w:val="0"/>
      <w:divBdr>
        <w:top w:val="none" w:sz="0" w:space="0" w:color="auto"/>
        <w:left w:val="none" w:sz="0" w:space="0" w:color="auto"/>
        <w:bottom w:val="none" w:sz="0" w:space="0" w:color="auto"/>
        <w:right w:val="none" w:sz="0" w:space="0" w:color="auto"/>
      </w:divBdr>
    </w:div>
    <w:div w:id="1023478436">
      <w:marLeft w:val="0"/>
      <w:marRight w:val="0"/>
      <w:marTop w:val="0"/>
      <w:marBottom w:val="0"/>
      <w:divBdr>
        <w:top w:val="none" w:sz="0" w:space="0" w:color="auto"/>
        <w:left w:val="none" w:sz="0" w:space="0" w:color="auto"/>
        <w:bottom w:val="none" w:sz="0" w:space="0" w:color="auto"/>
        <w:right w:val="none" w:sz="0" w:space="0" w:color="auto"/>
      </w:divBdr>
    </w:div>
    <w:div w:id="1035891876">
      <w:marLeft w:val="0"/>
      <w:marRight w:val="0"/>
      <w:marTop w:val="0"/>
      <w:marBottom w:val="0"/>
      <w:divBdr>
        <w:top w:val="none" w:sz="0" w:space="0" w:color="auto"/>
        <w:left w:val="none" w:sz="0" w:space="0" w:color="auto"/>
        <w:bottom w:val="none" w:sz="0" w:space="0" w:color="auto"/>
        <w:right w:val="none" w:sz="0" w:space="0" w:color="auto"/>
      </w:divBdr>
    </w:div>
    <w:div w:id="1099066164">
      <w:marLeft w:val="0"/>
      <w:marRight w:val="0"/>
      <w:marTop w:val="0"/>
      <w:marBottom w:val="0"/>
      <w:divBdr>
        <w:top w:val="none" w:sz="0" w:space="0" w:color="auto"/>
        <w:left w:val="none" w:sz="0" w:space="0" w:color="auto"/>
        <w:bottom w:val="none" w:sz="0" w:space="0" w:color="auto"/>
        <w:right w:val="none" w:sz="0" w:space="0" w:color="auto"/>
      </w:divBdr>
    </w:div>
    <w:div w:id="1141966477">
      <w:marLeft w:val="0"/>
      <w:marRight w:val="0"/>
      <w:marTop w:val="0"/>
      <w:marBottom w:val="0"/>
      <w:divBdr>
        <w:top w:val="none" w:sz="0" w:space="0" w:color="auto"/>
        <w:left w:val="none" w:sz="0" w:space="0" w:color="auto"/>
        <w:bottom w:val="none" w:sz="0" w:space="0" w:color="auto"/>
        <w:right w:val="none" w:sz="0" w:space="0" w:color="auto"/>
      </w:divBdr>
    </w:div>
    <w:div w:id="1181358378">
      <w:marLeft w:val="0"/>
      <w:marRight w:val="0"/>
      <w:marTop w:val="0"/>
      <w:marBottom w:val="0"/>
      <w:divBdr>
        <w:top w:val="none" w:sz="0" w:space="0" w:color="auto"/>
        <w:left w:val="none" w:sz="0" w:space="0" w:color="auto"/>
        <w:bottom w:val="none" w:sz="0" w:space="0" w:color="auto"/>
        <w:right w:val="none" w:sz="0" w:space="0" w:color="auto"/>
      </w:divBdr>
    </w:div>
    <w:div w:id="1195995234">
      <w:marLeft w:val="0"/>
      <w:marRight w:val="0"/>
      <w:marTop w:val="0"/>
      <w:marBottom w:val="0"/>
      <w:divBdr>
        <w:top w:val="none" w:sz="0" w:space="0" w:color="auto"/>
        <w:left w:val="none" w:sz="0" w:space="0" w:color="auto"/>
        <w:bottom w:val="none" w:sz="0" w:space="0" w:color="auto"/>
        <w:right w:val="none" w:sz="0" w:space="0" w:color="auto"/>
      </w:divBdr>
    </w:div>
    <w:div w:id="1361279141">
      <w:marLeft w:val="0"/>
      <w:marRight w:val="0"/>
      <w:marTop w:val="0"/>
      <w:marBottom w:val="0"/>
      <w:divBdr>
        <w:top w:val="none" w:sz="0" w:space="0" w:color="auto"/>
        <w:left w:val="none" w:sz="0" w:space="0" w:color="auto"/>
        <w:bottom w:val="none" w:sz="0" w:space="0" w:color="auto"/>
        <w:right w:val="none" w:sz="0" w:space="0" w:color="auto"/>
      </w:divBdr>
    </w:div>
    <w:div w:id="1375278576">
      <w:marLeft w:val="0"/>
      <w:marRight w:val="0"/>
      <w:marTop w:val="0"/>
      <w:marBottom w:val="0"/>
      <w:divBdr>
        <w:top w:val="none" w:sz="0" w:space="0" w:color="auto"/>
        <w:left w:val="none" w:sz="0" w:space="0" w:color="auto"/>
        <w:bottom w:val="none" w:sz="0" w:space="0" w:color="auto"/>
        <w:right w:val="none" w:sz="0" w:space="0" w:color="auto"/>
      </w:divBdr>
    </w:div>
    <w:div w:id="1378310994">
      <w:marLeft w:val="0"/>
      <w:marRight w:val="0"/>
      <w:marTop w:val="0"/>
      <w:marBottom w:val="0"/>
      <w:divBdr>
        <w:top w:val="none" w:sz="0" w:space="0" w:color="auto"/>
        <w:left w:val="none" w:sz="0" w:space="0" w:color="auto"/>
        <w:bottom w:val="none" w:sz="0" w:space="0" w:color="auto"/>
        <w:right w:val="none" w:sz="0" w:space="0" w:color="auto"/>
      </w:divBdr>
    </w:div>
    <w:div w:id="1380741968">
      <w:marLeft w:val="0"/>
      <w:marRight w:val="0"/>
      <w:marTop w:val="0"/>
      <w:marBottom w:val="0"/>
      <w:divBdr>
        <w:top w:val="none" w:sz="0" w:space="0" w:color="auto"/>
        <w:left w:val="none" w:sz="0" w:space="0" w:color="auto"/>
        <w:bottom w:val="none" w:sz="0" w:space="0" w:color="auto"/>
        <w:right w:val="none" w:sz="0" w:space="0" w:color="auto"/>
      </w:divBdr>
    </w:div>
    <w:div w:id="1496260802">
      <w:marLeft w:val="0"/>
      <w:marRight w:val="0"/>
      <w:marTop w:val="0"/>
      <w:marBottom w:val="0"/>
      <w:divBdr>
        <w:top w:val="none" w:sz="0" w:space="0" w:color="auto"/>
        <w:left w:val="none" w:sz="0" w:space="0" w:color="auto"/>
        <w:bottom w:val="none" w:sz="0" w:space="0" w:color="auto"/>
        <w:right w:val="none" w:sz="0" w:space="0" w:color="auto"/>
      </w:divBdr>
    </w:div>
    <w:div w:id="1517695909">
      <w:marLeft w:val="0"/>
      <w:marRight w:val="0"/>
      <w:marTop w:val="0"/>
      <w:marBottom w:val="0"/>
      <w:divBdr>
        <w:top w:val="none" w:sz="0" w:space="0" w:color="auto"/>
        <w:left w:val="none" w:sz="0" w:space="0" w:color="auto"/>
        <w:bottom w:val="none" w:sz="0" w:space="0" w:color="auto"/>
        <w:right w:val="none" w:sz="0" w:space="0" w:color="auto"/>
      </w:divBdr>
    </w:div>
    <w:div w:id="1543518559">
      <w:marLeft w:val="0"/>
      <w:marRight w:val="0"/>
      <w:marTop w:val="0"/>
      <w:marBottom w:val="0"/>
      <w:divBdr>
        <w:top w:val="none" w:sz="0" w:space="0" w:color="auto"/>
        <w:left w:val="none" w:sz="0" w:space="0" w:color="auto"/>
        <w:bottom w:val="none" w:sz="0" w:space="0" w:color="auto"/>
        <w:right w:val="none" w:sz="0" w:space="0" w:color="auto"/>
      </w:divBdr>
    </w:div>
    <w:div w:id="1546795361">
      <w:marLeft w:val="0"/>
      <w:marRight w:val="0"/>
      <w:marTop w:val="0"/>
      <w:marBottom w:val="0"/>
      <w:divBdr>
        <w:top w:val="none" w:sz="0" w:space="0" w:color="auto"/>
        <w:left w:val="none" w:sz="0" w:space="0" w:color="auto"/>
        <w:bottom w:val="none" w:sz="0" w:space="0" w:color="auto"/>
        <w:right w:val="none" w:sz="0" w:space="0" w:color="auto"/>
      </w:divBdr>
    </w:div>
    <w:div w:id="1551259144">
      <w:marLeft w:val="0"/>
      <w:marRight w:val="0"/>
      <w:marTop w:val="0"/>
      <w:marBottom w:val="0"/>
      <w:divBdr>
        <w:top w:val="none" w:sz="0" w:space="0" w:color="auto"/>
        <w:left w:val="none" w:sz="0" w:space="0" w:color="auto"/>
        <w:bottom w:val="none" w:sz="0" w:space="0" w:color="auto"/>
        <w:right w:val="none" w:sz="0" w:space="0" w:color="auto"/>
      </w:divBdr>
    </w:div>
    <w:div w:id="1553493167">
      <w:marLeft w:val="0"/>
      <w:marRight w:val="0"/>
      <w:marTop w:val="0"/>
      <w:marBottom w:val="0"/>
      <w:divBdr>
        <w:top w:val="none" w:sz="0" w:space="0" w:color="auto"/>
        <w:left w:val="none" w:sz="0" w:space="0" w:color="auto"/>
        <w:bottom w:val="none" w:sz="0" w:space="0" w:color="auto"/>
        <w:right w:val="none" w:sz="0" w:space="0" w:color="auto"/>
      </w:divBdr>
    </w:div>
    <w:div w:id="1567179811">
      <w:marLeft w:val="0"/>
      <w:marRight w:val="0"/>
      <w:marTop w:val="0"/>
      <w:marBottom w:val="0"/>
      <w:divBdr>
        <w:top w:val="none" w:sz="0" w:space="0" w:color="auto"/>
        <w:left w:val="none" w:sz="0" w:space="0" w:color="auto"/>
        <w:bottom w:val="none" w:sz="0" w:space="0" w:color="auto"/>
        <w:right w:val="none" w:sz="0" w:space="0" w:color="auto"/>
      </w:divBdr>
    </w:div>
    <w:div w:id="1570725216">
      <w:marLeft w:val="0"/>
      <w:marRight w:val="0"/>
      <w:marTop w:val="0"/>
      <w:marBottom w:val="0"/>
      <w:divBdr>
        <w:top w:val="none" w:sz="0" w:space="0" w:color="auto"/>
        <w:left w:val="none" w:sz="0" w:space="0" w:color="auto"/>
        <w:bottom w:val="none" w:sz="0" w:space="0" w:color="auto"/>
        <w:right w:val="none" w:sz="0" w:space="0" w:color="auto"/>
      </w:divBdr>
    </w:div>
    <w:div w:id="1577668635">
      <w:marLeft w:val="0"/>
      <w:marRight w:val="0"/>
      <w:marTop w:val="0"/>
      <w:marBottom w:val="0"/>
      <w:divBdr>
        <w:top w:val="none" w:sz="0" w:space="0" w:color="auto"/>
        <w:left w:val="none" w:sz="0" w:space="0" w:color="auto"/>
        <w:bottom w:val="none" w:sz="0" w:space="0" w:color="auto"/>
        <w:right w:val="none" w:sz="0" w:space="0" w:color="auto"/>
      </w:divBdr>
    </w:div>
    <w:div w:id="1586457851">
      <w:marLeft w:val="0"/>
      <w:marRight w:val="0"/>
      <w:marTop w:val="0"/>
      <w:marBottom w:val="0"/>
      <w:divBdr>
        <w:top w:val="none" w:sz="0" w:space="0" w:color="auto"/>
        <w:left w:val="none" w:sz="0" w:space="0" w:color="auto"/>
        <w:bottom w:val="none" w:sz="0" w:space="0" w:color="auto"/>
        <w:right w:val="none" w:sz="0" w:space="0" w:color="auto"/>
      </w:divBdr>
    </w:div>
    <w:div w:id="1591430315">
      <w:marLeft w:val="0"/>
      <w:marRight w:val="0"/>
      <w:marTop w:val="0"/>
      <w:marBottom w:val="0"/>
      <w:divBdr>
        <w:top w:val="none" w:sz="0" w:space="0" w:color="auto"/>
        <w:left w:val="none" w:sz="0" w:space="0" w:color="auto"/>
        <w:bottom w:val="none" w:sz="0" w:space="0" w:color="auto"/>
        <w:right w:val="none" w:sz="0" w:space="0" w:color="auto"/>
      </w:divBdr>
    </w:div>
    <w:div w:id="1596281254">
      <w:marLeft w:val="0"/>
      <w:marRight w:val="0"/>
      <w:marTop w:val="0"/>
      <w:marBottom w:val="0"/>
      <w:divBdr>
        <w:top w:val="none" w:sz="0" w:space="0" w:color="auto"/>
        <w:left w:val="none" w:sz="0" w:space="0" w:color="auto"/>
        <w:bottom w:val="none" w:sz="0" w:space="0" w:color="auto"/>
        <w:right w:val="none" w:sz="0" w:space="0" w:color="auto"/>
      </w:divBdr>
    </w:div>
    <w:div w:id="1610970022">
      <w:marLeft w:val="0"/>
      <w:marRight w:val="0"/>
      <w:marTop w:val="0"/>
      <w:marBottom w:val="0"/>
      <w:divBdr>
        <w:top w:val="none" w:sz="0" w:space="0" w:color="auto"/>
        <w:left w:val="none" w:sz="0" w:space="0" w:color="auto"/>
        <w:bottom w:val="none" w:sz="0" w:space="0" w:color="auto"/>
        <w:right w:val="none" w:sz="0" w:space="0" w:color="auto"/>
      </w:divBdr>
    </w:div>
    <w:div w:id="1640526791">
      <w:marLeft w:val="0"/>
      <w:marRight w:val="0"/>
      <w:marTop w:val="0"/>
      <w:marBottom w:val="0"/>
      <w:divBdr>
        <w:top w:val="none" w:sz="0" w:space="0" w:color="auto"/>
        <w:left w:val="none" w:sz="0" w:space="0" w:color="auto"/>
        <w:bottom w:val="none" w:sz="0" w:space="0" w:color="auto"/>
        <w:right w:val="none" w:sz="0" w:space="0" w:color="auto"/>
      </w:divBdr>
    </w:div>
    <w:div w:id="1646469430">
      <w:marLeft w:val="0"/>
      <w:marRight w:val="0"/>
      <w:marTop w:val="0"/>
      <w:marBottom w:val="0"/>
      <w:divBdr>
        <w:top w:val="none" w:sz="0" w:space="0" w:color="auto"/>
        <w:left w:val="none" w:sz="0" w:space="0" w:color="auto"/>
        <w:bottom w:val="none" w:sz="0" w:space="0" w:color="auto"/>
        <w:right w:val="none" w:sz="0" w:space="0" w:color="auto"/>
      </w:divBdr>
    </w:div>
    <w:div w:id="1649482638">
      <w:marLeft w:val="0"/>
      <w:marRight w:val="0"/>
      <w:marTop w:val="0"/>
      <w:marBottom w:val="0"/>
      <w:divBdr>
        <w:top w:val="none" w:sz="0" w:space="0" w:color="auto"/>
        <w:left w:val="none" w:sz="0" w:space="0" w:color="auto"/>
        <w:bottom w:val="none" w:sz="0" w:space="0" w:color="auto"/>
        <w:right w:val="none" w:sz="0" w:space="0" w:color="auto"/>
      </w:divBdr>
    </w:div>
    <w:div w:id="1662348308">
      <w:marLeft w:val="0"/>
      <w:marRight w:val="0"/>
      <w:marTop w:val="0"/>
      <w:marBottom w:val="0"/>
      <w:divBdr>
        <w:top w:val="none" w:sz="0" w:space="0" w:color="auto"/>
        <w:left w:val="none" w:sz="0" w:space="0" w:color="auto"/>
        <w:bottom w:val="none" w:sz="0" w:space="0" w:color="auto"/>
        <w:right w:val="none" w:sz="0" w:space="0" w:color="auto"/>
      </w:divBdr>
    </w:div>
    <w:div w:id="1669164840">
      <w:marLeft w:val="0"/>
      <w:marRight w:val="0"/>
      <w:marTop w:val="0"/>
      <w:marBottom w:val="0"/>
      <w:divBdr>
        <w:top w:val="none" w:sz="0" w:space="0" w:color="auto"/>
        <w:left w:val="none" w:sz="0" w:space="0" w:color="auto"/>
        <w:bottom w:val="none" w:sz="0" w:space="0" w:color="auto"/>
        <w:right w:val="none" w:sz="0" w:space="0" w:color="auto"/>
      </w:divBdr>
    </w:div>
    <w:div w:id="1684478545">
      <w:marLeft w:val="0"/>
      <w:marRight w:val="0"/>
      <w:marTop w:val="0"/>
      <w:marBottom w:val="0"/>
      <w:divBdr>
        <w:top w:val="none" w:sz="0" w:space="0" w:color="auto"/>
        <w:left w:val="none" w:sz="0" w:space="0" w:color="auto"/>
        <w:bottom w:val="none" w:sz="0" w:space="0" w:color="auto"/>
        <w:right w:val="none" w:sz="0" w:space="0" w:color="auto"/>
      </w:divBdr>
    </w:div>
    <w:div w:id="1685591233">
      <w:marLeft w:val="0"/>
      <w:marRight w:val="0"/>
      <w:marTop w:val="0"/>
      <w:marBottom w:val="0"/>
      <w:divBdr>
        <w:top w:val="none" w:sz="0" w:space="0" w:color="auto"/>
        <w:left w:val="none" w:sz="0" w:space="0" w:color="auto"/>
        <w:bottom w:val="none" w:sz="0" w:space="0" w:color="auto"/>
        <w:right w:val="none" w:sz="0" w:space="0" w:color="auto"/>
      </w:divBdr>
    </w:div>
    <w:div w:id="1700079861">
      <w:marLeft w:val="0"/>
      <w:marRight w:val="0"/>
      <w:marTop w:val="0"/>
      <w:marBottom w:val="0"/>
      <w:divBdr>
        <w:top w:val="none" w:sz="0" w:space="0" w:color="auto"/>
        <w:left w:val="none" w:sz="0" w:space="0" w:color="auto"/>
        <w:bottom w:val="none" w:sz="0" w:space="0" w:color="auto"/>
        <w:right w:val="none" w:sz="0" w:space="0" w:color="auto"/>
      </w:divBdr>
    </w:div>
    <w:div w:id="1704744019">
      <w:marLeft w:val="0"/>
      <w:marRight w:val="0"/>
      <w:marTop w:val="0"/>
      <w:marBottom w:val="0"/>
      <w:divBdr>
        <w:top w:val="none" w:sz="0" w:space="0" w:color="auto"/>
        <w:left w:val="none" w:sz="0" w:space="0" w:color="auto"/>
        <w:bottom w:val="none" w:sz="0" w:space="0" w:color="auto"/>
        <w:right w:val="none" w:sz="0" w:space="0" w:color="auto"/>
      </w:divBdr>
    </w:div>
    <w:div w:id="1732539747">
      <w:marLeft w:val="0"/>
      <w:marRight w:val="0"/>
      <w:marTop w:val="0"/>
      <w:marBottom w:val="0"/>
      <w:divBdr>
        <w:top w:val="none" w:sz="0" w:space="0" w:color="auto"/>
        <w:left w:val="none" w:sz="0" w:space="0" w:color="auto"/>
        <w:bottom w:val="none" w:sz="0" w:space="0" w:color="auto"/>
        <w:right w:val="none" w:sz="0" w:space="0" w:color="auto"/>
      </w:divBdr>
    </w:div>
    <w:div w:id="1791437039">
      <w:marLeft w:val="0"/>
      <w:marRight w:val="0"/>
      <w:marTop w:val="0"/>
      <w:marBottom w:val="0"/>
      <w:divBdr>
        <w:top w:val="none" w:sz="0" w:space="0" w:color="auto"/>
        <w:left w:val="none" w:sz="0" w:space="0" w:color="auto"/>
        <w:bottom w:val="none" w:sz="0" w:space="0" w:color="auto"/>
        <w:right w:val="none" w:sz="0" w:space="0" w:color="auto"/>
      </w:divBdr>
    </w:div>
    <w:div w:id="1815830577">
      <w:marLeft w:val="0"/>
      <w:marRight w:val="0"/>
      <w:marTop w:val="0"/>
      <w:marBottom w:val="0"/>
      <w:divBdr>
        <w:top w:val="none" w:sz="0" w:space="0" w:color="auto"/>
        <w:left w:val="none" w:sz="0" w:space="0" w:color="auto"/>
        <w:bottom w:val="none" w:sz="0" w:space="0" w:color="auto"/>
        <w:right w:val="none" w:sz="0" w:space="0" w:color="auto"/>
      </w:divBdr>
    </w:div>
    <w:div w:id="1821382298">
      <w:marLeft w:val="0"/>
      <w:marRight w:val="0"/>
      <w:marTop w:val="0"/>
      <w:marBottom w:val="0"/>
      <w:divBdr>
        <w:top w:val="none" w:sz="0" w:space="0" w:color="auto"/>
        <w:left w:val="none" w:sz="0" w:space="0" w:color="auto"/>
        <w:bottom w:val="none" w:sz="0" w:space="0" w:color="auto"/>
        <w:right w:val="none" w:sz="0" w:space="0" w:color="auto"/>
      </w:divBdr>
    </w:div>
    <w:div w:id="1823040579">
      <w:marLeft w:val="0"/>
      <w:marRight w:val="0"/>
      <w:marTop w:val="0"/>
      <w:marBottom w:val="0"/>
      <w:divBdr>
        <w:top w:val="none" w:sz="0" w:space="0" w:color="auto"/>
        <w:left w:val="none" w:sz="0" w:space="0" w:color="auto"/>
        <w:bottom w:val="none" w:sz="0" w:space="0" w:color="auto"/>
        <w:right w:val="none" w:sz="0" w:space="0" w:color="auto"/>
      </w:divBdr>
    </w:div>
    <w:div w:id="1823765582">
      <w:marLeft w:val="0"/>
      <w:marRight w:val="0"/>
      <w:marTop w:val="0"/>
      <w:marBottom w:val="0"/>
      <w:divBdr>
        <w:top w:val="none" w:sz="0" w:space="0" w:color="auto"/>
        <w:left w:val="none" w:sz="0" w:space="0" w:color="auto"/>
        <w:bottom w:val="none" w:sz="0" w:space="0" w:color="auto"/>
        <w:right w:val="none" w:sz="0" w:space="0" w:color="auto"/>
      </w:divBdr>
    </w:div>
    <w:div w:id="1836802828">
      <w:marLeft w:val="0"/>
      <w:marRight w:val="0"/>
      <w:marTop w:val="0"/>
      <w:marBottom w:val="0"/>
      <w:divBdr>
        <w:top w:val="none" w:sz="0" w:space="0" w:color="auto"/>
        <w:left w:val="none" w:sz="0" w:space="0" w:color="auto"/>
        <w:bottom w:val="none" w:sz="0" w:space="0" w:color="auto"/>
        <w:right w:val="none" w:sz="0" w:space="0" w:color="auto"/>
      </w:divBdr>
    </w:div>
    <w:div w:id="1847941042">
      <w:marLeft w:val="0"/>
      <w:marRight w:val="0"/>
      <w:marTop w:val="0"/>
      <w:marBottom w:val="0"/>
      <w:divBdr>
        <w:top w:val="none" w:sz="0" w:space="0" w:color="auto"/>
        <w:left w:val="none" w:sz="0" w:space="0" w:color="auto"/>
        <w:bottom w:val="none" w:sz="0" w:space="0" w:color="auto"/>
        <w:right w:val="none" w:sz="0" w:space="0" w:color="auto"/>
      </w:divBdr>
    </w:div>
    <w:div w:id="1870609130">
      <w:marLeft w:val="0"/>
      <w:marRight w:val="0"/>
      <w:marTop w:val="0"/>
      <w:marBottom w:val="0"/>
      <w:divBdr>
        <w:top w:val="none" w:sz="0" w:space="0" w:color="auto"/>
        <w:left w:val="none" w:sz="0" w:space="0" w:color="auto"/>
        <w:bottom w:val="none" w:sz="0" w:space="0" w:color="auto"/>
        <w:right w:val="none" w:sz="0" w:space="0" w:color="auto"/>
      </w:divBdr>
    </w:div>
    <w:div w:id="1894078101">
      <w:marLeft w:val="0"/>
      <w:marRight w:val="0"/>
      <w:marTop w:val="0"/>
      <w:marBottom w:val="0"/>
      <w:divBdr>
        <w:top w:val="none" w:sz="0" w:space="0" w:color="auto"/>
        <w:left w:val="none" w:sz="0" w:space="0" w:color="auto"/>
        <w:bottom w:val="none" w:sz="0" w:space="0" w:color="auto"/>
        <w:right w:val="none" w:sz="0" w:space="0" w:color="auto"/>
      </w:divBdr>
    </w:div>
    <w:div w:id="1933590001">
      <w:marLeft w:val="0"/>
      <w:marRight w:val="0"/>
      <w:marTop w:val="0"/>
      <w:marBottom w:val="0"/>
      <w:divBdr>
        <w:top w:val="none" w:sz="0" w:space="0" w:color="auto"/>
        <w:left w:val="none" w:sz="0" w:space="0" w:color="auto"/>
        <w:bottom w:val="none" w:sz="0" w:space="0" w:color="auto"/>
        <w:right w:val="none" w:sz="0" w:space="0" w:color="auto"/>
      </w:divBdr>
    </w:div>
    <w:div w:id="1964843787">
      <w:marLeft w:val="0"/>
      <w:marRight w:val="0"/>
      <w:marTop w:val="0"/>
      <w:marBottom w:val="0"/>
      <w:divBdr>
        <w:top w:val="none" w:sz="0" w:space="0" w:color="auto"/>
        <w:left w:val="none" w:sz="0" w:space="0" w:color="auto"/>
        <w:bottom w:val="none" w:sz="0" w:space="0" w:color="auto"/>
        <w:right w:val="none" w:sz="0" w:space="0" w:color="auto"/>
      </w:divBdr>
    </w:div>
    <w:div w:id="1987978129">
      <w:marLeft w:val="0"/>
      <w:marRight w:val="0"/>
      <w:marTop w:val="0"/>
      <w:marBottom w:val="0"/>
      <w:divBdr>
        <w:top w:val="none" w:sz="0" w:space="0" w:color="auto"/>
        <w:left w:val="none" w:sz="0" w:space="0" w:color="auto"/>
        <w:bottom w:val="none" w:sz="0" w:space="0" w:color="auto"/>
        <w:right w:val="none" w:sz="0" w:space="0" w:color="auto"/>
      </w:divBdr>
    </w:div>
    <w:div w:id="1997878341">
      <w:marLeft w:val="0"/>
      <w:marRight w:val="0"/>
      <w:marTop w:val="0"/>
      <w:marBottom w:val="0"/>
      <w:divBdr>
        <w:top w:val="none" w:sz="0" w:space="0" w:color="auto"/>
        <w:left w:val="none" w:sz="0" w:space="0" w:color="auto"/>
        <w:bottom w:val="none" w:sz="0" w:space="0" w:color="auto"/>
        <w:right w:val="none" w:sz="0" w:space="0" w:color="auto"/>
      </w:divBdr>
    </w:div>
    <w:div w:id="2009823934">
      <w:marLeft w:val="0"/>
      <w:marRight w:val="0"/>
      <w:marTop w:val="0"/>
      <w:marBottom w:val="0"/>
      <w:divBdr>
        <w:top w:val="none" w:sz="0" w:space="0" w:color="auto"/>
        <w:left w:val="none" w:sz="0" w:space="0" w:color="auto"/>
        <w:bottom w:val="none" w:sz="0" w:space="0" w:color="auto"/>
        <w:right w:val="none" w:sz="0" w:space="0" w:color="auto"/>
      </w:divBdr>
    </w:div>
    <w:div w:id="2010281188">
      <w:marLeft w:val="0"/>
      <w:marRight w:val="0"/>
      <w:marTop w:val="0"/>
      <w:marBottom w:val="0"/>
      <w:divBdr>
        <w:top w:val="none" w:sz="0" w:space="0" w:color="auto"/>
        <w:left w:val="none" w:sz="0" w:space="0" w:color="auto"/>
        <w:bottom w:val="none" w:sz="0" w:space="0" w:color="auto"/>
        <w:right w:val="none" w:sz="0" w:space="0" w:color="auto"/>
      </w:divBdr>
    </w:div>
    <w:div w:id="2011712476">
      <w:marLeft w:val="0"/>
      <w:marRight w:val="0"/>
      <w:marTop w:val="0"/>
      <w:marBottom w:val="0"/>
      <w:divBdr>
        <w:top w:val="none" w:sz="0" w:space="0" w:color="auto"/>
        <w:left w:val="none" w:sz="0" w:space="0" w:color="auto"/>
        <w:bottom w:val="none" w:sz="0" w:space="0" w:color="auto"/>
        <w:right w:val="none" w:sz="0" w:space="0" w:color="auto"/>
      </w:divBdr>
    </w:div>
    <w:div w:id="2022849827">
      <w:marLeft w:val="0"/>
      <w:marRight w:val="0"/>
      <w:marTop w:val="0"/>
      <w:marBottom w:val="0"/>
      <w:divBdr>
        <w:top w:val="none" w:sz="0" w:space="0" w:color="auto"/>
        <w:left w:val="none" w:sz="0" w:space="0" w:color="auto"/>
        <w:bottom w:val="none" w:sz="0" w:space="0" w:color="auto"/>
        <w:right w:val="none" w:sz="0" w:space="0" w:color="auto"/>
      </w:divBdr>
    </w:div>
    <w:div w:id="2047681167">
      <w:marLeft w:val="0"/>
      <w:marRight w:val="0"/>
      <w:marTop w:val="0"/>
      <w:marBottom w:val="0"/>
      <w:divBdr>
        <w:top w:val="none" w:sz="0" w:space="0" w:color="auto"/>
        <w:left w:val="none" w:sz="0" w:space="0" w:color="auto"/>
        <w:bottom w:val="none" w:sz="0" w:space="0" w:color="auto"/>
        <w:right w:val="none" w:sz="0" w:space="0" w:color="auto"/>
      </w:divBdr>
    </w:div>
    <w:div w:id="2057391093">
      <w:marLeft w:val="0"/>
      <w:marRight w:val="0"/>
      <w:marTop w:val="0"/>
      <w:marBottom w:val="0"/>
      <w:divBdr>
        <w:top w:val="none" w:sz="0" w:space="0" w:color="auto"/>
        <w:left w:val="none" w:sz="0" w:space="0" w:color="auto"/>
        <w:bottom w:val="none" w:sz="0" w:space="0" w:color="auto"/>
        <w:right w:val="none" w:sz="0" w:space="0" w:color="auto"/>
      </w:divBdr>
    </w:div>
    <w:div w:id="2076584404">
      <w:marLeft w:val="0"/>
      <w:marRight w:val="0"/>
      <w:marTop w:val="0"/>
      <w:marBottom w:val="0"/>
      <w:divBdr>
        <w:top w:val="none" w:sz="0" w:space="0" w:color="auto"/>
        <w:left w:val="none" w:sz="0" w:space="0" w:color="auto"/>
        <w:bottom w:val="none" w:sz="0" w:space="0" w:color="auto"/>
        <w:right w:val="none" w:sz="0" w:space="0" w:color="auto"/>
      </w:divBdr>
    </w:div>
    <w:div w:id="2084796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21943</Words>
  <Characters>148021</Characters>
  <Application>Microsoft Office Word</Application>
  <DocSecurity>4</DocSecurity>
  <Lines>1233</Lines>
  <Paragraphs>339</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169625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Test</dc:creator>
  <cp:lastModifiedBy>Jill Laptosky</cp:lastModifiedBy>
  <cp:revision>2</cp:revision>
  <dcterms:created xsi:type="dcterms:W3CDTF">2014-09-15T20:36:00Z</dcterms:created>
  <dcterms:modified xsi:type="dcterms:W3CDTF">2014-09-15T20:36:00Z</dcterms:modified>
</cp:coreProperties>
</file>