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2DF" w:rsidRDefault="00D92F9A">
      <w:pPr>
        <w:pStyle w:val="Heading1"/>
        <w:jc w:val="center"/>
        <w:rPr>
          <w:rFonts w:eastAsia="Times New Roman"/>
        </w:rPr>
      </w:pPr>
      <w:bookmarkStart w:id="0" w:name="_GoBack"/>
      <w:bookmarkEnd w:id="0"/>
      <w:r>
        <w:rPr>
          <w:rFonts w:eastAsia="Times New Roman"/>
        </w:rPr>
        <w:t>Report on DOT Significant Rulemakings</w:t>
      </w:r>
    </w:p>
    <w:p w:rsidR="002C02DF" w:rsidRDefault="00D92F9A">
      <w:pPr>
        <w:jc w:val="center"/>
        <w:rPr>
          <w:rFonts w:ascii="Times" w:eastAsia="Times New Roman" w:hAnsi="Times" w:cs="Times"/>
          <w:sz w:val="36"/>
          <w:szCs w:val="36"/>
        </w:rPr>
      </w:pPr>
      <w:r>
        <w:rPr>
          <w:rFonts w:ascii="Times" w:eastAsia="Times New Roman" w:hAnsi="Times" w:cs="Times"/>
          <w:sz w:val="36"/>
          <w:szCs w:val="36"/>
        </w:rPr>
        <w:t>Table of Contents</w:t>
      </w:r>
    </w:p>
    <w:p w:rsidR="002C02DF" w:rsidRDefault="00D92F9A">
      <w:pPr>
        <w:rPr>
          <w:rFonts w:ascii="Times" w:eastAsia="Times New Roman" w:hAnsi="Times" w:cs="Times"/>
        </w:rPr>
      </w:pPr>
      <w:r>
        <w:rPr>
          <w:rFonts w:ascii="Times" w:eastAsia="Times New Roman" w:hAnsi="Times" w:cs="Times"/>
          <w:b/>
          <w:bCs/>
        </w:rPr>
        <w:t>Federal Aviation Administration</w:t>
      </w:r>
    </w:p>
    <w:p w:rsidR="002C02DF" w:rsidRDefault="00D92F9A">
      <w:pPr>
        <w:divId w:val="329333313"/>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rsidR="002C02DF" w:rsidRDefault="002C02DF">
      <w:pPr>
        <w:rPr>
          <w:rFonts w:ascii="Times" w:eastAsia="Times New Roman" w:hAnsi="Times" w:cs="Times"/>
          <w:sz w:val="20"/>
          <w:szCs w:val="20"/>
        </w:rPr>
      </w:pPr>
    </w:p>
    <w:p w:rsidR="002C02DF" w:rsidRDefault="00D92F9A">
      <w:pPr>
        <w:divId w:val="2079326767"/>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Student Pilot Application Requirements (formerly Photo Requirements for Pilot Certificates)</w:t>
        </w:r>
      </w:hyperlink>
    </w:p>
    <w:p w:rsidR="002C02DF" w:rsidRDefault="002C02DF">
      <w:pPr>
        <w:rPr>
          <w:rFonts w:ascii="Times" w:eastAsia="Times New Roman" w:hAnsi="Times" w:cs="Times"/>
          <w:sz w:val="20"/>
          <w:szCs w:val="20"/>
        </w:rPr>
      </w:pPr>
    </w:p>
    <w:p w:rsidR="002C02DF" w:rsidRDefault="00D92F9A">
      <w:pPr>
        <w:divId w:val="1509447726"/>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Operation and Certification of Small Unmanned Aircraft Systems</w:t>
        </w:r>
      </w:hyperlink>
    </w:p>
    <w:p w:rsidR="002C02DF" w:rsidRDefault="002C02DF">
      <w:pPr>
        <w:rPr>
          <w:rFonts w:ascii="Times" w:eastAsia="Times New Roman" w:hAnsi="Times" w:cs="Times"/>
          <w:sz w:val="20"/>
          <w:szCs w:val="20"/>
        </w:rPr>
      </w:pPr>
    </w:p>
    <w:p w:rsidR="002C02DF" w:rsidRDefault="00D92F9A">
      <w:pPr>
        <w:divId w:val="2003048426"/>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Prohibition Against Certain Flights Within the Territory and Airspace of Afghanistan</w:t>
        </w:r>
      </w:hyperlink>
    </w:p>
    <w:p w:rsidR="002C02DF" w:rsidRDefault="002C02DF">
      <w:pPr>
        <w:rPr>
          <w:rFonts w:ascii="Times" w:eastAsia="Times New Roman" w:hAnsi="Times" w:cs="Times"/>
          <w:sz w:val="20"/>
          <w:szCs w:val="20"/>
        </w:rPr>
      </w:pPr>
    </w:p>
    <w:p w:rsidR="002C02DF" w:rsidRDefault="00D92F9A">
      <w:pPr>
        <w:divId w:val="8341564"/>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Requirement for Wildlife Assessments at Certificated Airports</w:t>
        </w:r>
      </w:hyperlink>
    </w:p>
    <w:p w:rsidR="002C02DF" w:rsidRDefault="002C02DF">
      <w:pPr>
        <w:rPr>
          <w:rFonts w:ascii="Times" w:eastAsia="Times New Roman" w:hAnsi="Times" w:cs="Times"/>
          <w:sz w:val="20"/>
          <w:szCs w:val="20"/>
        </w:rPr>
      </w:pPr>
    </w:p>
    <w:p w:rsidR="002C02DF" w:rsidRDefault="00D92F9A">
      <w:pPr>
        <w:divId w:val="842278224"/>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Regulation Of Flight Operations Conducted By Alaska Guide Pilots</w:t>
        </w:r>
      </w:hyperlink>
    </w:p>
    <w:p w:rsidR="002C02DF" w:rsidRDefault="002C02DF">
      <w:pPr>
        <w:rPr>
          <w:rFonts w:ascii="Times" w:eastAsia="Times New Roman" w:hAnsi="Times" w:cs="Times"/>
          <w:sz w:val="20"/>
          <w:szCs w:val="20"/>
        </w:rPr>
      </w:pPr>
    </w:p>
    <w:p w:rsidR="002C02DF" w:rsidRDefault="00D92F9A">
      <w:pPr>
        <w:divId w:val="283271141"/>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Air Carrier Maintenance Training Program</w:t>
        </w:r>
      </w:hyperlink>
    </w:p>
    <w:p w:rsidR="002C02DF" w:rsidRDefault="002C02DF">
      <w:pPr>
        <w:rPr>
          <w:rFonts w:ascii="Times" w:eastAsia="Times New Roman" w:hAnsi="Times" w:cs="Times"/>
          <w:sz w:val="20"/>
          <w:szCs w:val="20"/>
        </w:rPr>
      </w:pPr>
    </w:p>
    <w:p w:rsidR="002C02DF" w:rsidRDefault="00D92F9A">
      <w:pPr>
        <w:divId w:val="14885470"/>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Pilot Professional Development</w:t>
        </w:r>
      </w:hyperlink>
    </w:p>
    <w:p w:rsidR="002C02DF" w:rsidRDefault="002C02DF">
      <w:pPr>
        <w:rPr>
          <w:rFonts w:ascii="Times" w:eastAsia="Times New Roman" w:hAnsi="Times" w:cs="Times"/>
          <w:sz w:val="20"/>
          <w:szCs w:val="20"/>
        </w:rPr>
      </w:pPr>
    </w:p>
    <w:p w:rsidR="002C02DF" w:rsidRDefault="00D92F9A">
      <w:pPr>
        <w:divId w:val="51931027"/>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Slot Management and Transparency for LaGuardia Airport, John F. Kennedy International Airport, and Newark Liberty International Airport</w:t>
        </w:r>
      </w:hyperlink>
    </w:p>
    <w:p w:rsidR="002C02DF" w:rsidRDefault="002C02DF">
      <w:pPr>
        <w:rPr>
          <w:rFonts w:ascii="Times" w:eastAsia="Times New Roman" w:hAnsi="Times" w:cs="Times"/>
          <w:sz w:val="20"/>
          <w:szCs w:val="20"/>
        </w:rPr>
      </w:pPr>
    </w:p>
    <w:p w:rsidR="002C02DF" w:rsidRDefault="00D92F9A">
      <w:pPr>
        <w:divId w:val="339699741"/>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Drug and Alcohol Testing of Certain Maintenance Provider Employees Located Outside of the United States</w:t>
        </w:r>
      </w:hyperlink>
    </w:p>
    <w:p w:rsidR="002C02DF" w:rsidRDefault="002C02DF">
      <w:pPr>
        <w:rPr>
          <w:rFonts w:ascii="Times" w:eastAsia="Times New Roman" w:hAnsi="Times" w:cs="Times"/>
          <w:sz w:val="20"/>
          <w:szCs w:val="20"/>
        </w:rPr>
      </w:pPr>
    </w:p>
    <w:p w:rsidR="002C02DF" w:rsidRDefault="00D92F9A">
      <w:pPr>
        <w:divId w:val="1190489290"/>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Applying the Flight, Duty, and Rest requirements to Ferry Flights that Follow Domestic, Flag, or Supplemental All-Cargo Operations (Reauthorization)</w:t>
        </w:r>
      </w:hyperlink>
    </w:p>
    <w:p w:rsidR="002C02DF" w:rsidRDefault="002C02DF">
      <w:pPr>
        <w:rPr>
          <w:rFonts w:ascii="Times" w:eastAsia="Times New Roman" w:hAnsi="Times" w:cs="Times"/>
          <w:sz w:val="20"/>
          <w:szCs w:val="20"/>
        </w:rPr>
      </w:pPr>
    </w:p>
    <w:p w:rsidR="002C02DF" w:rsidRDefault="00D92F9A">
      <w:pPr>
        <w:divId w:val="543248695"/>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Applying the Flight, Duty, and Rest Rules of 14 CFR part 135 to Tail-End Ferry Operations (FAA Reauthorization</w:t>
        </w:r>
      </w:hyperlink>
    </w:p>
    <w:p w:rsidR="002C02DF" w:rsidRDefault="002C02DF">
      <w:pPr>
        <w:rPr>
          <w:rFonts w:ascii="Times" w:eastAsia="Times New Roman" w:hAnsi="Times" w:cs="Times"/>
          <w:sz w:val="20"/>
          <w:szCs w:val="20"/>
        </w:rPr>
      </w:pPr>
    </w:p>
    <w:p w:rsidR="002C02DF" w:rsidRDefault="00D92F9A">
      <w:pPr>
        <w:divId w:val="1433356447"/>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Pilot Records Database (HR 5900)</w:t>
        </w:r>
      </w:hyperlink>
    </w:p>
    <w:p w:rsidR="002C02DF" w:rsidRDefault="002C02DF">
      <w:pPr>
        <w:rPr>
          <w:rFonts w:ascii="Times" w:eastAsia="Times New Roman" w:hAnsi="Times" w:cs="Times"/>
          <w:sz w:val="20"/>
          <w:szCs w:val="20"/>
        </w:rPr>
      </w:pPr>
    </w:p>
    <w:p w:rsidR="002C02DF" w:rsidRDefault="00D92F9A">
      <w:pPr>
        <w:divId w:val="535626075"/>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Pilot Biometric Certificates (FAA Reauthorization)</w:t>
        </w:r>
      </w:hyperlink>
    </w:p>
    <w:p w:rsidR="002C02DF" w:rsidRDefault="002C02DF">
      <w:pPr>
        <w:rPr>
          <w:rFonts w:ascii="Times" w:eastAsia="Times New Roman" w:hAnsi="Times" w:cs="Times"/>
          <w:sz w:val="20"/>
          <w:szCs w:val="20"/>
        </w:rPr>
      </w:pPr>
    </w:p>
    <w:p w:rsidR="002C02DF" w:rsidRDefault="00D92F9A">
      <w:pPr>
        <w:divId w:val="27997728"/>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Aircraft Registration and Airmen Certification Fees</w:t>
        </w:r>
      </w:hyperlink>
    </w:p>
    <w:p w:rsidR="002C02DF" w:rsidRDefault="002C02DF">
      <w:pPr>
        <w:rPr>
          <w:rFonts w:ascii="Times" w:eastAsia="Times New Roman" w:hAnsi="Times" w:cs="Times"/>
          <w:sz w:val="20"/>
          <w:szCs w:val="20"/>
        </w:rPr>
      </w:pPr>
    </w:p>
    <w:p w:rsidR="002C02DF" w:rsidRDefault="00D92F9A">
      <w:pPr>
        <w:divId w:val="270018732"/>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 xml:space="preserve">Permanent Requirement for Helicopters to use the New York North Shore Helicopter Route </w:t>
        </w:r>
      </w:hyperlink>
    </w:p>
    <w:p w:rsidR="002C02DF" w:rsidRDefault="002C02DF">
      <w:pPr>
        <w:rPr>
          <w:rFonts w:ascii="Times" w:eastAsia="Times New Roman" w:hAnsi="Times" w:cs="Times"/>
          <w:sz w:val="20"/>
          <w:szCs w:val="20"/>
        </w:rPr>
      </w:pPr>
    </w:p>
    <w:p w:rsidR="002C02DF" w:rsidRDefault="00D92F9A">
      <w:pPr>
        <w:divId w:val="1426924977"/>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Medical Self-Evaluation for Certain Noncommercial Operations in Lieu of Airman Medical Certification</w:t>
        </w:r>
      </w:hyperlink>
    </w:p>
    <w:p w:rsidR="002C02DF" w:rsidRDefault="002C02DF">
      <w:pPr>
        <w:rPr>
          <w:rFonts w:ascii="Times" w:eastAsia="Times New Roman" w:hAnsi="Times" w:cs="Times"/>
          <w:sz w:val="20"/>
          <w:szCs w:val="20"/>
        </w:rPr>
      </w:pPr>
    </w:p>
    <w:p w:rsidR="002C02DF" w:rsidRDefault="00D92F9A">
      <w:pPr>
        <w:divId w:val="154417554"/>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Helicopter Air Ambulance Pilot Training and Operational Requirements (HAA II) (FAA Reauthorization)</w:t>
        </w:r>
      </w:hyperlink>
    </w:p>
    <w:p w:rsidR="002C02DF" w:rsidRDefault="002C02DF">
      <w:pPr>
        <w:rPr>
          <w:rFonts w:ascii="Times" w:eastAsia="Times New Roman" w:hAnsi="Times" w:cs="Times"/>
          <w:sz w:val="20"/>
          <w:szCs w:val="20"/>
        </w:rPr>
      </w:pPr>
    </w:p>
    <w:p w:rsidR="002C02DF" w:rsidRDefault="00D92F9A">
      <w:pPr>
        <w:divId w:val="492644325"/>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Revision of Airworthiness Standards for Normal, Utility, Acrobatic, and Commuter Category Airplanes</w:t>
        </w:r>
      </w:hyperlink>
    </w:p>
    <w:p w:rsidR="002C02DF" w:rsidRDefault="002C02DF">
      <w:pPr>
        <w:rPr>
          <w:rFonts w:ascii="Times" w:eastAsia="Times New Roman" w:hAnsi="Times" w:cs="Times"/>
          <w:sz w:val="20"/>
          <w:szCs w:val="20"/>
        </w:rPr>
      </w:pPr>
    </w:p>
    <w:p w:rsidR="002C02DF" w:rsidRDefault="00D92F9A">
      <w:pPr>
        <w:rPr>
          <w:rFonts w:ascii="Times" w:eastAsia="Times New Roman" w:hAnsi="Times" w:cs="Times"/>
        </w:rPr>
      </w:pPr>
      <w:r>
        <w:rPr>
          <w:rFonts w:ascii="Times" w:eastAsia="Times New Roman" w:hAnsi="Times" w:cs="Times"/>
          <w:b/>
          <w:bCs/>
        </w:rPr>
        <w:t>Federal Highway Administration</w:t>
      </w:r>
    </w:p>
    <w:p w:rsidR="002C02DF" w:rsidRDefault="00D92F9A">
      <w:pPr>
        <w:divId w:val="381439971"/>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Pavement Markings</w:t>
        </w:r>
      </w:hyperlink>
    </w:p>
    <w:p w:rsidR="002C02DF" w:rsidRDefault="002C02DF">
      <w:pPr>
        <w:rPr>
          <w:rFonts w:ascii="Times" w:eastAsia="Times New Roman" w:hAnsi="Times" w:cs="Times"/>
          <w:sz w:val="20"/>
          <w:szCs w:val="20"/>
        </w:rPr>
      </w:pPr>
    </w:p>
    <w:p w:rsidR="002C02DF" w:rsidRDefault="00D92F9A">
      <w:pPr>
        <w:divId w:val="1556887414"/>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National Goals and Performance Management Measures (MAP-21)</w:t>
        </w:r>
      </w:hyperlink>
    </w:p>
    <w:p w:rsidR="002C02DF" w:rsidRDefault="002C02DF">
      <w:pPr>
        <w:rPr>
          <w:rFonts w:ascii="Times" w:eastAsia="Times New Roman" w:hAnsi="Times" w:cs="Times"/>
          <w:sz w:val="20"/>
          <w:szCs w:val="20"/>
        </w:rPr>
      </w:pPr>
    </w:p>
    <w:p w:rsidR="002C02DF" w:rsidRDefault="00D92F9A">
      <w:pPr>
        <w:divId w:val="1111128190"/>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Highway Worker Safety (MAP-21)</w:t>
        </w:r>
      </w:hyperlink>
    </w:p>
    <w:p w:rsidR="002C02DF" w:rsidRDefault="002C02DF">
      <w:pPr>
        <w:rPr>
          <w:rFonts w:ascii="Times" w:eastAsia="Times New Roman" w:hAnsi="Times" w:cs="Times"/>
          <w:sz w:val="20"/>
          <w:szCs w:val="20"/>
        </w:rPr>
      </w:pPr>
    </w:p>
    <w:p w:rsidR="002C02DF" w:rsidRDefault="00D92F9A">
      <w:pPr>
        <w:divId w:val="868883601"/>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Statewide and Nonmetropolitan Transportation Planning; Metropolitan Transportation Planning (MAP-21)</w:t>
        </w:r>
      </w:hyperlink>
    </w:p>
    <w:p w:rsidR="002C02DF" w:rsidRDefault="002C02DF">
      <w:pPr>
        <w:rPr>
          <w:rFonts w:ascii="Times" w:eastAsia="Times New Roman" w:hAnsi="Times" w:cs="Times"/>
          <w:sz w:val="20"/>
          <w:szCs w:val="20"/>
        </w:rPr>
      </w:pPr>
    </w:p>
    <w:p w:rsidR="002C02DF" w:rsidRDefault="00D92F9A">
      <w:pPr>
        <w:divId w:val="1698774932"/>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National Goals and Performance Management Measures (MAP-21)</w:t>
        </w:r>
      </w:hyperlink>
    </w:p>
    <w:p w:rsidR="002C02DF" w:rsidRDefault="002C02DF">
      <w:pPr>
        <w:rPr>
          <w:rFonts w:ascii="Times" w:eastAsia="Times New Roman" w:hAnsi="Times" w:cs="Times"/>
          <w:sz w:val="20"/>
          <w:szCs w:val="20"/>
        </w:rPr>
      </w:pPr>
    </w:p>
    <w:p w:rsidR="002C02DF" w:rsidRDefault="00D92F9A">
      <w:pPr>
        <w:divId w:val="794368052"/>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National Goals and Performance Management Measures (MAP-21)</w:t>
        </w:r>
      </w:hyperlink>
    </w:p>
    <w:p w:rsidR="002C02DF" w:rsidRDefault="002C02DF">
      <w:pPr>
        <w:rPr>
          <w:rFonts w:ascii="Times" w:eastAsia="Times New Roman" w:hAnsi="Times" w:cs="Times"/>
          <w:sz w:val="20"/>
          <w:szCs w:val="20"/>
        </w:rPr>
      </w:pPr>
    </w:p>
    <w:p w:rsidR="002C02DF" w:rsidRDefault="00D92F9A">
      <w:pPr>
        <w:divId w:val="49572495"/>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National Bridge Inspection Standards (MAP-21)</w:t>
        </w:r>
      </w:hyperlink>
    </w:p>
    <w:p w:rsidR="002C02DF" w:rsidRDefault="002C02DF">
      <w:pPr>
        <w:rPr>
          <w:rFonts w:ascii="Times" w:eastAsia="Times New Roman" w:hAnsi="Times" w:cs="Times"/>
          <w:sz w:val="20"/>
          <w:szCs w:val="20"/>
        </w:rPr>
      </w:pPr>
    </w:p>
    <w:p w:rsidR="002C02DF" w:rsidRDefault="00D92F9A">
      <w:pPr>
        <w:divId w:val="133378876"/>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Highway Safety Improvement Program (MAP-21)</w:t>
        </w:r>
      </w:hyperlink>
    </w:p>
    <w:p w:rsidR="002C02DF" w:rsidRDefault="002C02DF">
      <w:pPr>
        <w:rPr>
          <w:rFonts w:ascii="Times" w:eastAsia="Times New Roman" w:hAnsi="Times" w:cs="Times"/>
          <w:sz w:val="20"/>
          <w:szCs w:val="20"/>
        </w:rPr>
      </w:pPr>
    </w:p>
    <w:p w:rsidR="002C02DF" w:rsidRDefault="00D92F9A">
      <w:pPr>
        <w:divId w:val="218715938"/>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Asset Management Plan (MAP-21)</w:t>
        </w:r>
      </w:hyperlink>
    </w:p>
    <w:p w:rsidR="002C02DF" w:rsidRDefault="002C02DF">
      <w:pPr>
        <w:rPr>
          <w:rFonts w:ascii="Times" w:eastAsia="Times New Roman" w:hAnsi="Times" w:cs="Times"/>
          <w:sz w:val="20"/>
          <w:szCs w:val="20"/>
        </w:rPr>
      </w:pPr>
    </w:p>
    <w:p w:rsidR="002C02DF" w:rsidRDefault="00D92F9A">
      <w:pPr>
        <w:divId w:val="1556769436"/>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Congestion Mitigation and Air Quality Improvement Program (MAP-21)</w:t>
        </w:r>
      </w:hyperlink>
    </w:p>
    <w:p w:rsidR="002C02DF" w:rsidRDefault="002C02DF">
      <w:pPr>
        <w:rPr>
          <w:rFonts w:ascii="Times" w:eastAsia="Times New Roman" w:hAnsi="Times" w:cs="Times"/>
          <w:sz w:val="20"/>
          <w:szCs w:val="20"/>
        </w:rPr>
      </w:pPr>
    </w:p>
    <w:p w:rsidR="002C02DF" w:rsidRDefault="00D92F9A">
      <w:pPr>
        <w:divId w:val="228536274"/>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Buy America (RRR)</w:t>
        </w:r>
      </w:hyperlink>
    </w:p>
    <w:p w:rsidR="002C02DF" w:rsidRDefault="002C02DF">
      <w:pPr>
        <w:rPr>
          <w:rFonts w:ascii="Times" w:eastAsia="Times New Roman" w:hAnsi="Times" w:cs="Times"/>
          <w:sz w:val="20"/>
          <w:szCs w:val="20"/>
        </w:rPr>
      </w:pPr>
    </w:p>
    <w:p w:rsidR="002C02DF" w:rsidRDefault="00D92F9A">
      <w:pPr>
        <w:rPr>
          <w:rFonts w:ascii="Times" w:eastAsia="Times New Roman" w:hAnsi="Times" w:cs="Times"/>
        </w:rPr>
      </w:pPr>
      <w:r>
        <w:rPr>
          <w:rFonts w:ascii="Times" w:eastAsia="Times New Roman" w:hAnsi="Times" w:cs="Times"/>
          <w:b/>
          <w:bCs/>
        </w:rPr>
        <w:t>Federal Motor Carrier Safety Administration</w:t>
      </w:r>
    </w:p>
    <w:p w:rsidR="002C02DF" w:rsidRDefault="00D92F9A">
      <w:pPr>
        <w:divId w:val="772945756"/>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Application by Certain Mexico-Domiciled Motor Carriers to Operate Beyond U.S. Municipalities and Commercial Zones on the U.S.-Mexico Border</w:t>
        </w:r>
      </w:hyperlink>
    </w:p>
    <w:p w:rsidR="002C02DF" w:rsidRDefault="002C02DF">
      <w:pPr>
        <w:rPr>
          <w:rFonts w:ascii="Times" w:eastAsia="Times New Roman" w:hAnsi="Times" w:cs="Times"/>
          <w:sz w:val="20"/>
          <w:szCs w:val="20"/>
        </w:rPr>
      </w:pPr>
    </w:p>
    <w:p w:rsidR="002C02DF" w:rsidRDefault="00D92F9A">
      <w:pPr>
        <w:divId w:val="1626810174"/>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Safety Monitoring System and Compliance Initiative for Mexico-Domiciled Motor Carriers Operating in the United States</w:t>
        </w:r>
      </w:hyperlink>
    </w:p>
    <w:p w:rsidR="002C02DF" w:rsidRDefault="002C02DF">
      <w:pPr>
        <w:rPr>
          <w:rFonts w:ascii="Times" w:eastAsia="Times New Roman" w:hAnsi="Times" w:cs="Times"/>
          <w:sz w:val="20"/>
          <w:szCs w:val="20"/>
        </w:rPr>
      </w:pPr>
    </w:p>
    <w:p w:rsidR="002C02DF" w:rsidRDefault="00D92F9A">
      <w:pPr>
        <w:divId w:val="92937978"/>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Certification of Safety Auditors, Safety Investigators, and Safety Inspectors</w:t>
        </w:r>
      </w:hyperlink>
    </w:p>
    <w:p w:rsidR="002C02DF" w:rsidRDefault="002C02DF">
      <w:pPr>
        <w:rPr>
          <w:rFonts w:ascii="Times" w:eastAsia="Times New Roman" w:hAnsi="Times" w:cs="Times"/>
          <w:sz w:val="20"/>
          <w:szCs w:val="20"/>
        </w:rPr>
      </w:pPr>
    </w:p>
    <w:p w:rsidR="002C02DF" w:rsidRDefault="00D92F9A">
      <w:pPr>
        <w:divId w:val="1582450655"/>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Limitations on the Issuance of Commercial Driver Licenses with a Hazardous Materials Endorsement</w:t>
        </w:r>
      </w:hyperlink>
    </w:p>
    <w:p w:rsidR="002C02DF" w:rsidRDefault="002C02DF">
      <w:pPr>
        <w:rPr>
          <w:rFonts w:ascii="Times" w:eastAsia="Times New Roman" w:hAnsi="Times" w:cs="Times"/>
          <w:sz w:val="20"/>
          <w:szCs w:val="20"/>
        </w:rPr>
      </w:pPr>
    </w:p>
    <w:p w:rsidR="002C02DF" w:rsidRDefault="00D92F9A">
      <w:pPr>
        <w:divId w:val="1586724677"/>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Consumer Complaint Information</w:t>
        </w:r>
      </w:hyperlink>
    </w:p>
    <w:p w:rsidR="002C02DF" w:rsidRDefault="002C02DF">
      <w:pPr>
        <w:rPr>
          <w:rFonts w:ascii="Times" w:eastAsia="Times New Roman" w:hAnsi="Times" w:cs="Times"/>
          <w:sz w:val="20"/>
          <w:szCs w:val="20"/>
        </w:rPr>
      </w:pPr>
    </w:p>
    <w:p w:rsidR="002C02DF" w:rsidRDefault="00D92F9A">
      <w:pPr>
        <w:divId w:val="630213318"/>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Carrier Safety Fitness Determination</w:t>
        </w:r>
      </w:hyperlink>
    </w:p>
    <w:p w:rsidR="002C02DF" w:rsidRDefault="002C02DF">
      <w:pPr>
        <w:rPr>
          <w:rFonts w:ascii="Times" w:eastAsia="Times New Roman" w:hAnsi="Times" w:cs="Times"/>
          <w:sz w:val="20"/>
          <w:szCs w:val="20"/>
        </w:rPr>
      </w:pPr>
    </w:p>
    <w:p w:rsidR="002C02DF" w:rsidRDefault="00D92F9A">
      <w:pPr>
        <w:divId w:val="1018778570"/>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New Entrant Safety Assurance Process: Implementation of Section 210(b) of the Motor Carrier Safety Improvement Act of 1999</w:t>
        </w:r>
      </w:hyperlink>
    </w:p>
    <w:p w:rsidR="002C02DF" w:rsidRDefault="002C02DF">
      <w:pPr>
        <w:rPr>
          <w:rFonts w:ascii="Times" w:eastAsia="Times New Roman" w:hAnsi="Times" w:cs="Times"/>
          <w:sz w:val="20"/>
          <w:szCs w:val="20"/>
        </w:rPr>
      </w:pPr>
    </w:p>
    <w:p w:rsidR="002C02DF" w:rsidRDefault="00D92F9A">
      <w:pPr>
        <w:divId w:val="439421148"/>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Commercial Driver's License Drug and Alcohol Clearinghouse (MAP-21)</w:t>
        </w:r>
      </w:hyperlink>
    </w:p>
    <w:p w:rsidR="002C02DF" w:rsidRDefault="002C02DF">
      <w:pPr>
        <w:rPr>
          <w:rFonts w:ascii="Times" w:eastAsia="Times New Roman" w:hAnsi="Times" w:cs="Times"/>
          <w:sz w:val="20"/>
          <w:szCs w:val="20"/>
        </w:rPr>
      </w:pPr>
    </w:p>
    <w:p w:rsidR="002C02DF" w:rsidRDefault="00D92F9A">
      <w:pPr>
        <w:divId w:val="1991211227"/>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Electronic Logging Devices and Hours of Service Supporting Documents (MAP-21) (RRR)</w:t>
        </w:r>
      </w:hyperlink>
    </w:p>
    <w:p w:rsidR="002C02DF" w:rsidRDefault="002C02DF">
      <w:pPr>
        <w:rPr>
          <w:rFonts w:ascii="Times" w:eastAsia="Times New Roman" w:hAnsi="Times" w:cs="Times"/>
          <w:sz w:val="20"/>
          <w:szCs w:val="20"/>
        </w:rPr>
      </w:pPr>
    </w:p>
    <w:p w:rsidR="002C02DF" w:rsidRDefault="00D92F9A">
      <w:pPr>
        <w:divId w:val="380373737"/>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MAP-21 Enhancements and Other Updates to the Unified Registration System</w:t>
        </w:r>
      </w:hyperlink>
    </w:p>
    <w:p w:rsidR="002C02DF" w:rsidRDefault="002C02DF">
      <w:pPr>
        <w:rPr>
          <w:rFonts w:ascii="Times" w:eastAsia="Times New Roman" w:hAnsi="Times" w:cs="Times"/>
          <w:sz w:val="20"/>
          <w:szCs w:val="20"/>
        </w:rPr>
      </w:pPr>
    </w:p>
    <w:p w:rsidR="002C02DF" w:rsidRDefault="00D92F9A">
      <w:pPr>
        <w:divId w:val="125008202"/>
        <w:rPr>
          <w:rFonts w:ascii="Times" w:eastAsia="Times New Roman" w:hAnsi="Times" w:cs="Times"/>
        </w:rPr>
      </w:pPr>
      <w:r>
        <w:rPr>
          <w:rFonts w:ascii="Times" w:eastAsia="Times New Roman" w:hAnsi="Times" w:cs="Times"/>
        </w:rPr>
        <w:lastRenderedPageBreak/>
        <w:t>41. </w:t>
      </w:r>
      <w:hyperlink w:anchor="41" w:history="1">
        <w:r>
          <w:rPr>
            <w:rStyle w:val="Hyperlink"/>
            <w:rFonts w:ascii="Times" w:eastAsia="Times New Roman" w:hAnsi="Times" w:cs="Times"/>
          </w:rPr>
          <w:t>Prohibition of Coercion (MAP-21)</w:t>
        </w:r>
      </w:hyperlink>
    </w:p>
    <w:p w:rsidR="002C02DF" w:rsidRDefault="002C02DF">
      <w:pPr>
        <w:rPr>
          <w:rFonts w:ascii="Times" w:eastAsia="Times New Roman" w:hAnsi="Times" w:cs="Times"/>
          <w:sz w:val="20"/>
          <w:szCs w:val="20"/>
        </w:rPr>
      </w:pPr>
    </w:p>
    <w:p w:rsidR="002C02DF" w:rsidRDefault="00D92F9A">
      <w:pPr>
        <w:divId w:val="829323673"/>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Heavy Vehicle Speed Limiters</w:t>
        </w:r>
      </w:hyperlink>
    </w:p>
    <w:p w:rsidR="002C02DF" w:rsidRDefault="002C02DF">
      <w:pPr>
        <w:rPr>
          <w:rFonts w:ascii="Times" w:eastAsia="Times New Roman" w:hAnsi="Times" w:cs="Times"/>
          <w:sz w:val="20"/>
          <w:szCs w:val="20"/>
        </w:rPr>
      </w:pPr>
    </w:p>
    <w:p w:rsidR="002C02DF" w:rsidRDefault="00D92F9A">
      <w:pPr>
        <w:divId w:val="132260583"/>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Entry-Level Driver Training</w:t>
        </w:r>
      </w:hyperlink>
    </w:p>
    <w:p w:rsidR="002C02DF" w:rsidRDefault="002C02DF">
      <w:pPr>
        <w:rPr>
          <w:rFonts w:ascii="Times" w:eastAsia="Times New Roman" w:hAnsi="Times" w:cs="Times"/>
          <w:sz w:val="20"/>
          <w:szCs w:val="20"/>
        </w:rPr>
      </w:pPr>
    </w:p>
    <w:p w:rsidR="002C02DF" w:rsidRDefault="00D92F9A">
      <w:pPr>
        <w:divId w:val="2043051422"/>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Commercial Driver's License Requirements of MAP-21 and the Military Commercial Driver's License Act of 2012</w:t>
        </w:r>
      </w:hyperlink>
    </w:p>
    <w:p w:rsidR="002C02DF" w:rsidRDefault="002C02DF">
      <w:pPr>
        <w:rPr>
          <w:rFonts w:ascii="Times" w:eastAsia="Times New Roman" w:hAnsi="Times" w:cs="Times"/>
          <w:sz w:val="20"/>
          <w:szCs w:val="20"/>
        </w:rPr>
      </w:pPr>
    </w:p>
    <w:p w:rsidR="002C02DF" w:rsidRDefault="00D92F9A">
      <w:pPr>
        <w:divId w:val="1443913263"/>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Financial Responsibility for Motor Carriers, Freight Forwarders, and Brokers</w:t>
        </w:r>
      </w:hyperlink>
    </w:p>
    <w:p w:rsidR="002C02DF" w:rsidRDefault="002C02DF">
      <w:pPr>
        <w:rPr>
          <w:rFonts w:ascii="Times" w:eastAsia="Times New Roman" w:hAnsi="Times" w:cs="Times"/>
          <w:sz w:val="20"/>
          <w:szCs w:val="20"/>
        </w:rPr>
      </w:pPr>
    </w:p>
    <w:p w:rsidR="002C02DF" w:rsidRDefault="00D92F9A">
      <w:pPr>
        <w:divId w:val="1727561289"/>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State Inspection Programs for Passenger Carrier Vehicles</w:t>
        </w:r>
      </w:hyperlink>
    </w:p>
    <w:p w:rsidR="002C02DF" w:rsidRDefault="002C02DF">
      <w:pPr>
        <w:rPr>
          <w:rFonts w:ascii="Times" w:eastAsia="Times New Roman" w:hAnsi="Times" w:cs="Times"/>
          <w:sz w:val="20"/>
          <w:szCs w:val="20"/>
        </w:rPr>
      </w:pPr>
    </w:p>
    <w:p w:rsidR="002C02DF" w:rsidRDefault="00D92F9A">
      <w:pPr>
        <w:rPr>
          <w:rFonts w:ascii="Times" w:eastAsia="Times New Roman" w:hAnsi="Times" w:cs="Times"/>
        </w:rPr>
      </w:pPr>
      <w:r>
        <w:rPr>
          <w:rFonts w:ascii="Times" w:eastAsia="Times New Roman" w:hAnsi="Times" w:cs="Times"/>
          <w:b/>
          <w:bCs/>
        </w:rPr>
        <w:t>Federal Railroad Administration</w:t>
      </w:r>
    </w:p>
    <w:p w:rsidR="002C02DF" w:rsidRDefault="00D92F9A">
      <w:pPr>
        <w:divId w:val="1373073026"/>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Risk Reduction Program</w:t>
        </w:r>
      </w:hyperlink>
    </w:p>
    <w:p w:rsidR="002C02DF" w:rsidRDefault="002C02DF">
      <w:pPr>
        <w:rPr>
          <w:rFonts w:ascii="Times" w:eastAsia="Times New Roman" w:hAnsi="Times" w:cs="Times"/>
          <w:sz w:val="20"/>
          <w:szCs w:val="20"/>
        </w:rPr>
      </w:pPr>
    </w:p>
    <w:p w:rsidR="002C02DF" w:rsidRDefault="00D92F9A">
      <w:pPr>
        <w:divId w:val="565920730"/>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Emergency Escape Breathing Apparatus</w:t>
        </w:r>
      </w:hyperlink>
    </w:p>
    <w:p w:rsidR="002C02DF" w:rsidRDefault="002C02DF">
      <w:pPr>
        <w:rPr>
          <w:rFonts w:ascii="Times" w:eastAsia="Times New Roman" w:hAnsi="Times" w:cs="Times"/>
          <w:sz w:val="20"/>
          <w:szCs w:val="20"/>
        </w:rPr>
      </w:pPr>
    </w:p>
    <w:p w:rsidR="002C02DF" w:rsidRDefault="00D92F9A">
      <w:pPr>
        <w:divId w:val="727801168"/>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High-Speed Rail Corridor Development and Capital Investment Grants to Support Intercity Passenger Rail Service</w:t>
        </w:r>
      </w:hyperlink>
    </w:p>
    <w:p w:rsidR="002C02DF" w:rsidRDefault="002C02DF">
      <w:pPr>
        <w:rPr>
          <w:rFonts w:ascii="Times" w:eastAsia="Times New Roman" w:hAnsi="Times" w:cs="Times"/>
          <w:sz w:val="20"/>
          <w:szCs w:val="20"/>
        </w:rPr>
      </w:pPr>
    </w:p>
    <w:p w:rsidR="002C02DF" w:rsidRDefault="00D92F9A">
      <w:pPr>
        <w:divId w:val="1575165763"/>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High-Speed Intercity Passenger Rail (HSIPR) Program; Buy America Program Requirements</w:t>
        </w:r>
      </w:hyperlink>
    </w:p>
    <w:p w:rsidR="002C02DF" w:rsidRDefault="002C02DF">
      <w:pPr>
        <w:rPr>
          <w:rFonts w:ascii="Times" w:eastAsia="Times New Roman" w:hAnsi="Times" w:cs="Times"/>
          <w:sz w:val="20"/>
          <w:szCs w:val="20"/>
        </w:rPr>
      </w:pPr>
    </w:p>
    <w:p w:rsidR="002C02DF" w:rsidRDefault="00D92F9A">
      <w:pPr>
        <w:divId w:val="1556312628"/>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Railroad System Safety Program</w:t>
        </w:r>
      </w:hyperlink>
    </w:p>
    <w:p w:rsidR="002C02DF" w:rsidRDefault="002C02DF">
      <w:pPr>
        <w:rPr>
          <w:rFonts w:ascii="Times" w:eastAsia="Times New Roman" w:hAnsi="Times" w:cs="Times"/>
          <w:sz w:val="20"/>
          <w:szCs w:val="20"/>
        </w:rPr>
      </w:pPr>
    </w:p>
    <w:p w:rsidR="002C02DF" w:rsidRDefault="00D92F9A">
      <w:pPr>
        <w:divId w:val="1509979874"/>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Passenger Equipment Safety Standards Amendments</w:t>
        </w:r>
      </w:hyperlink>
    </w:p>
    <w:p w:rsidR="002C02DF" w:rsidRDefault="002C02DF">
      <w:pPr>
        <w:rPr>
          <w:rFonts w:ascii="Times" w:eastAsia="Times New Roman" w:hAnsi="Times" w:cs="Times"/>
          <w:sz w:val="20"/>
          <w:szCs w:val="20"/>
        </w:rPr>
      </w:pPr>
    </w:p>
    <w:p w:rsidR="002C02DF" w:rsidRDefault="00D92F9A">
      <w:pPr>
        <w:divId w:val="1891916601"/>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Train Crew Staffing and Location</w:t>
        </w:r>
      </w:hyperlink>
    </w:p>
    <w:p w:rsidR="002C02DF" w:rsidRDefault="002C02DF">
      <w:pPr>
        <w:rPr>
          <w:rFonts w:ascii="Times" w:eastAsia="Times New Roman" w:hAnsi="Times" w:cs="Times"/>
          <w:sz w:val="20"/>
          <w:szCs w:val="20"/>
        </w:rPr>
      </w:pPr>
    </w:p>
    <w:p w:rsidR="002C02DF" w:rsidRDefault="00D92F9A">
      <w:pPr>
        <w:rPr>
          <w:rFonts w:ascii="Times" w:eastAsia="Times New Roman" w:hAnsi="Times" w:cs="Times"/>
        </w:rPr>
      </w:pPr>
      <w:r>
        <w:rPr>
          <w:rFonts w:ascii="Times" w:eastAsia="Times New Roman" w:hAnsi="Times" w:cs="Times"/>
          <w:b/>
          <w:bCs/>
        </w:rPr>
        <w:t>Federal Transit Administration</w:t>
      </w:r>
    </w:p>
    <w:p w:rsidR="002C02DF" w:rsidRDefault="00D92F9A">
      <w:pPr>
        <w:divId w:val="1003512922"/>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Private Sector Participation</w:t>
        </w:r>
      </w:hyperlink>
    </w:p>
    <w:p w:rsidR="002C02DF" w:rsidRDefault="002C02DF">
      <w:pPr>
        <w:rPr>
          <w:rFonts w:ascii="Times" w:eastAsia="Times New Roman" w:hAnsi="Times" w:cs="Times"/>
          <w:sz w:val="20"/>
          <w:szCs w:val="20"/>
        </w:rPr>
      </w:pPr>
    </w:p>
    <w:p w:rsidR="002C02DF" w:rsidRDefault="00D92F9A">
      <w:pPr>
        <w:divId w:val="1719163886"/>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Transit Asset Management</w:t>
        </w:r>
      </w:hyperlink>
    </w:p>
    <w:p w:rsidR="002C02DF" w:rsidRDefault="002C02DF">
      <w:pPr>
        <w:rPr>
          <w:rFonts w:ascii="Times" w:eastAsia="Times New Roman" w:hAnsi="Times" w:cs="Times"/>
          <w:sz w:val="20"/>
          <w:szCs w:val="20"/>
        </w:rPr>
      </w:pPr>
    </w:p>
    <w:p w:rsidR="002C02DF" w:rsidRDefault="00D92F9A">
      <w:pPr>
        <w:divId w:val="1543441509"/>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Statewide and Nonmetropolitan Transportation Planning; Metropolitan Transportation Planning (MAP-21)</w:t>
        </w:r>
      </w:hyperlink>
    </w:p>
    <w:p w:rsidR="002C02DF" w:rsidRDefault="002C02DF">
      <w:pPr>
        <w:rPr>
          <w:rFonts w:ascii="Times" w:eastAsia="Times New Roman" w:hAnsi="Times" w:cs="Times"/>
          <w:sz w:val="20"/>
          <w:szCs w:val="20"/>
        </w:rPr>
      </w:pPr>
    </w:p>
    <w:p w:rsidR="002C02DF" w:rsidRDefault="00D92F9A">
      <w:pPr>
        <w:divId w:val="199827326"/>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Bus Testing: Pass/Fail and Safety Criteria (MAP-21)</w:t>
        </w:r>
      </w:hyperlink>
    </w:p>
    <w:p w:rsidR="002C02DF" w:rsidRDefault="002C02DF">
      <w:pPr>
        <w:rPr>
          <w:rFonts w:ascii="Times" w:eastAsia="Times New Roman" w:hAnsi="Times" w:cs="Times"/>
          <w:sz w:val="20"/>
          <w:szCs w:val="20"/>
        </w:rPr>
      </w:pPr>
    </w:p>
    <w:p w:rsidR="002C02DF" w:rsidRDefault="00D92F9A">
      <w:pPr>
        <w:divId w:val="1010716946"/>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Buy America: Amendments (MAP-21)</w:t>
        </w:r>
      </w:hyperlink>
    </w:p>
    <w:p w:rsidR="002C02DF" w:rsidRDefault="002C02DF">
      <w:pPr>
        <w:rPr>
          <w:rFonts w:ascii="Times" w:eastAsia="Times New Roman" w:hAnsi="Times" w:cs="Times"/>
          <w:sz w:val="20"/>
          <w:szCs w:val="20"/>
        </w:rPr>
      </w:pPr>
    </w:p>
    <w:p w:rsidR="002C02DF" w:rsidRDefault="00D92F9A">
      <w:pPr>
        <w:divId w:val="1261914496"/>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Core Capacity Projects (MAP-21)</w:t>
        </w:r>
      </w:hyperlink>
    </w:p>
    <w:p w:rsidR="002C02DF" w:rsidRDefault="002C02DF">
      <w:pPr>
        <w:rPr>
          <w:rFonts w:ascii="Times" w:eastAsia="Times New Roman" w:hAnsi="Times" w:cs="Times"/>
          <w:sz w:val="20"/>
          <w:szCs w:val="20"/>
        </w:rPr>
      </w:pPr>
    </w:p>
    <w:p w:rsidR="002C02DF" w:rsidRDefault="00D92F9A">
      <w:pPr>
        <w:divId w:val="1189873277"/>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New and Small Start Projects (MAP-21)</w:t>
        </w:r>
      </w:hyperlink>
    </w:p>
    <w:p w:rsidR="002C02DF" w:rsidRDefault="002C02DF">
      <w:pPr>
        <w:rPr>
          <w:rFonts w:ascii="Times" w:eastAsia="Times New Roman" w:hAnsi="Times" w:cs="Times"/>
          <w:sz w:val="20"/>
          <w:szCs w:val="20"/>
        </w:rPr>
      </w:pPr>
    </w:p>
    <w:p w:rsidR="002C02DF" w:rsidRDefault="00D92F9A">
      <w:pPr>
        <w:divId w:val="1614366359"/>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National and Public Transportation Safety Plans (MAP-21) and Transit Asset Management</w:t>
        </w:r>
      </w:hyperlink>
    </w:p>
    <w:p w:rsidR="002C02DF" w:rsidRDefault="002C02DF">
      <w:pPr>
        <w:rPr>
          <w:rFonts w:ascii="Times" w:eastAsia="Times New Roman" w:hAnsi="Times" w:cs="Times"/>
          <w:sz w:val="20"/>
          <w:szCs w:val="20"/>
        </w:rPr>
      </w:pPr>
    </w:p>
    <w:p w:rsidR="002C02DF" w:rsidRDefault="00D92F9A">
      <w:pPr>
        <w:divId w:val="1027753389"/>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Public Transportation Safety Program</w:t>
        </w:r>
      </w:hyperlink>
    </w:p>
    <w:p w:rsidR="002C02DF" w:rsidRDefault="002C02DF">
      <w:pPr>
        <w:rPr>
          <w:rFonts w:ascii="Times" w:eastAsia="Times New Roman" w:hAnsi="Times" w:cs="Times"/>
          <w:sz w:val="20"/>
          <w:szCs w:val="20"/>
        </w:rPr>
      </w:pPr>
    </w:p>
    <w:p w:rsidR="002C02DF" w:rsidRDefault="00D92F9A">
      <w:pPr>
        <w:divId w:val="545221903"/>
        <w:rPr>
          <w:rFonts w:ascii="Times" w:eastAsia="Times New Roman" w:hAnsi="Times" w:cs="Times"/>
        </w:rPr>
      </w:pPr>
      <w:r>
        <w:rPr>
          <w:rFonts w:ascii="Times" w:eastAsia="Times New Roman" w:hAnsi="Times" w:cs="Times"/>
        </w:rPr>
        <w:t>63. </w:t>
      </w:r>
      <w:hyperlink w:anchor="63" w:history="1">
        <w:r>
          <w:rPr>
            <w:rStyle w:val="Hyperlink"/>
            <w:rFonts w:ascii="Times" w:eastAsia="Times New Roman" w:hAnsi="Times" w:cs="Times"/>
          </w:rPr>
          <w:t>Public Transportation Agency Safety Plans</w:t>
        </w:r>
      </w:hyperlink>
    </w:p>
    <w:p w:rsidR="002C02DF" w:rsidRDefault="002C02DF">
      <w:pPr>
        <w:rPr>
          <w:rFonts w:ascii="Times" w:eastAsia="Times New Roman" w:hAnsi="Times" w:cs="Times"/>
          <w:sz w:val="20"/>
          <w:szCs w:val="20"/>
        </w:rPr>
      </w:pPr>
    </w:p>
    <w:p w:rsidR="002C02DF" w:rsidRDefault="00D92F9A">
      <w:pPr>
        <w:divId w:val="1885023939"/>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Proposed Interim Policy Guidance: Federal Transit Administration Capital Investment Grant Program</w:t>
        </w:r>
      </w:hyperlink>
    </w:p>
    <w:p w:rsidR="002C02DF" w:rsidRDefault="002C02DF">
      <w:pPr>
        <w:rPr>
          <w:rFonts w:ascii="Times" w:eastAsia="Times New Roman" w:hAnsi="Times" w:cs="Times"/>
          <w:sz w:val="20"/>
          <w:szCs w:val="20"/>
        </w:rPr>
      </w:pPr>
    </w:p>
    <w:p w:rsidR="002C02DF" w:rsidRDefault="00D92F9A">
      <w:pPr>
        <w:rPr>
          <w:rFonts w:ascii="Times" w:eastAsia="Times New Roman" w:hAnsi="Times" w:cs="Times"/>
        </w:rPr>
      </w:pPr>
      <w:r>
        <w:rPr>
          <w:rFonts w:ascii="Times" w:eastAsia="Times New Roman" w:hAnsi="Times" w:cs="Times"/>
          <w:b/>
          <w:bCs/>
        </w:rPr>
        <w:t>Maritime Administration</w:t>
      </w:r>
    </w:p>
    <w:p w:rsidR="002C02DF" w:rsidRDefault="00D92F9A">
      <w:pPr>
        <w:divId w:val="249973923"/>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Cargo Preference</w:t>
        </w:r>
      </w:hyperlink>
    </w:p>
    <w:p w:rsidR="002C02DF" w:rsidRDefault="002C02DF">
      <w:pPr>
        <w:rPr>
          <w:rFonts w:ascii="Times" w:eastAsia="Times New Roman" w:hAnsi="Times" w:cs="Times"/>
          <w:sz w:val="20"/>
          <w:szCs w:val="20"/>
        </w:rPr>
      </w:pPr>
    </w:p>
    <w:p w:rsidR="002C02DF" w:rsidRDefault="00D92F9A">
      <w:pPr>
        <w:rPr>
          <w:rFonts w:ascii="Times" w:eastAsia="Times New Roman" w:hAnsi="Times" w:cs="Times"/>
        </w:rPr>
      </w:pPr>
      <w:r>
        <w:rPr>
          <w:rFonts w:ascii="Times" w:eastAsia="Times New Roman" w:hAnsi="Times" w:cs="Times"/>
          <w:b/>
          <w:bCs/>
        </w:rPr>
        <w:t>National Highway Traffic Safety Administration</w:t>
      </w:r>
    </w:p>
    <w:p w:rsidR="002C02DF" w:rsidRDefault="00D92F9A">
      <w:pPr>
        <w:divId w:val="779421576"/>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Tire Fuel Efficiency Consumer Information - Part 2</w:t>
        </w:r>
      </w:hyperlink>
    </w:p>
    <w:p w:rsidR="002C02DF" w:rsidRDefault="002C02DF">
      <w:pPr>
        <w:rPr>
          <w:rFonts w:ascii="Times" w:eastAsia="Times New Roman" w:hAnsi="Times" w:cs="Times"/>
          <w:sz w:val="20"/>
          <w:szCs w:val="20"/>
        </w:rPr>
      </w:pPr>
    </w:p>
    <w:p w:rsidR="002C02DF" w:rsidRDefault="00D92F9A">
      <w:pPr>
        <w:divId w:val="1740057137"/>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Mandatory Event Data Recorder Requirements</w:t>
        </w:r>
      </w:hyperlink>
    </w:p>
    <w:p w:rsidR="002C02DF" w:rsidRDefault="002C02DF">
      <w:pPr>
        <w:rPr>
          <w:rFonts w:ascii="Times" w:eastAsia="Times New Roman" w:hAnsi="Times" w:cs="Times"/>
          <w:sz w:val="20"/>
          <w:szCs w:val="20"/>
        </w:rPr>
      </w:pPr>
    </w:p>
    <w:p w:rsidR="002C02DF" w:rsidRDefault="00D92F9A">
      <w:pPr>
        <w:divId w:val="916671159"/>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Heavy Vehicle Speed Limiters</w:t>
        </w:r>
      </w:hyperlink>
    </w:p>
    <w:p w:rsidR="002C02DF" w:rsidRDefault="002C02DF">
      <w:pPr>
        <w:rPr>
          <w:rFonts w:ascii="Times" w:eastAsia="Times New Roman" w:hAnsi="Times" w:cs="Times"/>
          <w:sz w:val="20"/>
          <w:szCs w:val="20"/>
        </w:rPr>
      </w:pPr>
    </w:p>
    <w:p w:rsidR="002C02DF" w:rsidRDefault="00D92F9A">
      <w:pPr>
        <w:divId w:val="2055616966"/>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Sound for Hybrid and Electric Vehicles</w:t>
        </w:r>
      </w:hyperlink>
    </w:p>
    <w:p w:rsidR="002C02DF" w:rsidRDefault="002C02DF">
      <w:pPr>
        <w:rPr>
          <w:rFonts w:ascii="Times" w:eastAsia="Times New Roman" w:hAnsi="Times" w:cs="Times"/>
          <w:sz w:val="20"/>
          <w:szCs w:val="20"/>
        </w:rPr>
      </w:pPr>
    </w:p>
    <w:p w:rsidR="002C02DF" w:rsidRDefault="00D92F9A">
      <w:pPr>
        <w:divId w:val="2087606095"/>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Establish Side Impact Performance Requirements for Child Restraint Systems (MAP-21)</w:t>
        </w:r>
      </w:hyperlink>
    </w:p>
    <w:p w:rsidR="002C02DF" w:rsidRDefault="002C02DF">
      <w:pPr>
        <w:rPr>
          <w:rFonts w:ascii="Times" w:eastAsia="Times New Roman" w:hAnsi="Times" w:cs="Times"/>
          <w:sz w:val="20"/>
          <w:szCs w:val="20"/>
        </w:rPr>
      </w:pPr>
    </w:p>
    <w:p w:rsidR="002C02DF" w:rsidRDefault="00D92F9A">
      <w:pPr>
        <w:divId w:val="387996280"/>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Motorcoach Rollover Structural Integrity (MAP-21)</w:t>
        </w:r>
      </w:hyperlink>
    </w:p>
    <w:p w:rsidR="002C02DF" w:rsidRDefault="002C02DF">
      <w:pPr>
        <w:rPr>
          <w:rFonts w:ascii="Times" w:eastAsia="Times New Roman" w:hAnsi="Times" w:cs="Times"/>
          <w:sz w:val="20"/>
          <w:szCs w:val="20"/>
        </w:rPr>
      </w:pPr>
    </w:p>
    <w:p w:rsidR="002C02DF" w:rsidRDefault="00D92F9A">
      <w:pPr>
        <w:divId w:val="1382093083"/>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FMVSS No. 218 and Enforcement Policy Concerning Novelty Helmets</w:t>
        </w:r>
      </w:hyperlink>
    </w:p>
    <w:p w:rsidR="002C02DF" w:rsidRDefault="002C02DF">
      <w:pPr>
        <w:rPr>
          <w:rFonts w:ascii="Times" w:eastAsia="Times New Roman" w:hAnsi="Times" w:cs="Times"/>
          <w:sz w:val="20"/>
          <w:szCs w:val="20"/>
        </w:rPr>
      </w:pPr>
    </w:p>
    <w:p w:rsidR="002C02DF" w:rsidRDefault="00D92F9A">
      <w:pPr>
        <w:divId w:val="1159882026"/>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Uniform Procedures for State Highway Safety Programs (MAP-21)</w:t>
        </w:r>
      </w:hyperlink>
    </w:p>
    <w:p w:rsidR="002C02DF" w:rsidRDefault="002C02DF">
      <w:pPr>
        <w:rPr>
          <w:rFonts w:ascii="Times" w:eastAsia="Times New Roman" w:hAnsi="Times" w:cs="Times"/>
          <w:sz w:val="20"/>
          <w:szCs w:val="20"/>
        </w:rPr>
      </w:pPr>
    </w:p>
    <w:p w:rsidR="002C02DF" w:rsidRDefault="00D92F9A">
      <w:pPr>
        <w:divId w:val="803694374"/>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Rear Seat Belt Reminder System</w:t>
        </w:r>
      </w:hyperlink>
    </w:p>
    <w:p w:rsidR="002C02DF" w:rsidRDefault="002C02DF">
      <w:pPr>
        <w:rPr>
          <w:rFonts w:ascii="Times" w:eastAsia="Times New Roman" w:hAnsi="Times" w:cs="Times"/>
          <w:sz w:val="20"/>
          <w:szCs w:val="20"/>
        </w:rPr>
      </w:pPr>
    </w:p>
    <w:p w:rsidR="002C02DF" w:rsidRDefault="00D92F9A">
      <w:pPr>
        <w:divId w:val="1434856122"/>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Fuel Efficiency Standards for Medium- and Heavy-Duty Vehicles and Work Trucks: Phase 2</w:t>
        </w:r>
      </w:hyperlink>
    </w:p>
    <w:p w:rsidR="002C02DF" w:rsidRDefault="002C02DF">
      <w:pPr>
        <w:rPr>
          <w:rFonts w:ascii="Times" w:eastAsia="Times New Roman" w:hAnsi="Times" w:cs="Times"/>
          <w:sz w:val="20"/>
          <w:szCs w:val="20"/>
        </w:rPr>
      </w:pPr>
    </w:p>
    <w:p w:rsidR="002C02DF" w:rsidRDefault="00D92F9A">
      <w:pPr>
        <w:divId w:val="700976950"/>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Federal Motor Vehicle Safety Standard (FMVSS) 150 - Vehicle to Vehicle (V2V) Communication</w:t>
        </w:r>
      </w:hyperlink>
    </w:p>
    <w:p w:rsidR="002C02DF" w:rsidRDefault="002C02DF">
      <w:pPr>
        <w:rPr>
          <w:rFonts w:ascii="Times" w:eastAsia="Times New Roman" w:hAnsi="Times" w:cs="Times"/>
          <w:sz w:val="20"/>
          <w:szCs w:val="20"/>
        </w:rPr>
      </w:pPr>
    </w:p>
    <w:p w:rsidR="002C02DF" w:rsidRDefault="00D92F9A">
      <w:pPr>
        <w:divId w:val="519857259"/>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Rear Impact Guards and Other Safety Strategies for Single Unit Trucks</w:t>
        </w:r>
      </w:hyperlink>
    </w:p>
    <w:p w:rsidR="002C02DF" w:rsidRDefault="002C02DF">
      <w:pPr>
        <w:rPr>
          <w:rFonts w:ascii="Times" w:eastAsia="Times New Roman" w:hAnsi="Times" w:cs="Times"/>
          <w:sz w:val="20"/>
          <w:szCs w:val="20"/>
        </w:rPr>
      </w:pPr>
    </w:p>
    <w:p w:rsidR="002C02DF" w:rsidRDefault="00D92F9A">
      <w:pPr>
        <w:rPr>
          <w:rFonts w:ascii="Times" w:eastAsia="Times New Roman" w:hAnsi="Times" w:cs="Times"/>
        </w:rPr>
      </w:pPr>
      <w:r>
        <w:rPr>
          <w:rFonts w:ascii="Times" w:eastAsia="Times New Roman" w:hAnsi="Times" w:cs="Times"/>
          <w:b/>
          <w:bCs/>
        </w:rPr>
        <w:t>Office of the Secretary</w:t>
      </w:r>
    </w:p>
    <w:p w:rsidR="002C02DF" w:rsidRDefault="00D92F9A">
      <w:pPr>
        <w:divId w:val="1921325724"/>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Smoking of Electronic Cigarettes On Commercial Aircraft</w:t>
        </w:r>
      </w:hyperlink>
    </w:p>
    <w:p w:rsidR="002C02DF" w:rsidRDefault="002C02DF">
      <w:pPr>
        <w:rPr>
          <w:rFonts w:ascii="Times" w:eastAsia="Times New Roman" w:hAnsi="Times" w:cs="Times"/>
          <w:sz w:val="20"/>
          <w:szCs w:val="20"/>
        </w:rPr>
      </w:pPr>
    </w:p>
    <w:p w:rsidR="002C02DF" w:rsidRDefault="00D92F9A">
      <w:pPr>
        <w:divId w:val="1936555993"/>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Airline Pricing Transparency and Other Consumer Protection Issues</w:t>
        </w:r>
      </w:hyperlink>
    </w:p>
    <w:p w:rsidR="002C02DF" w:rsidRDefault="002C02DF">
      <w:pPr>
        <w:rPr>
          <w:rFonts w:ascii="Times" w:eastAsia="Times New Roman" w:hAnsi="Times" w:cs="Times"/>
          <w:sz w:val="20"/>
          <w:szCs w:val="20"/>
        </w:rPr>
      </w:pPr>
    </w:p>
    <w:p w:rsidR="002C02DF" w:rsidRDefault="00D92F9A">
      <w:pPr>
        <w:divId w:val="1386831145"/>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Carrier-Supplied Medical Oxygen, Service Animals, Accessible Lavatories on Single-Aisle Aircraft, Service Request Reporting, and Seating Accommodations with Extra Legroom</w:t>
        </w:r>
      </w:hyperlink>
    </w:p>
    <w:p w:rsidR="002C02DF" w:rsidRDefault="002C02DF">
      <w:pPr>
        <w:rPr>
          <w:rFonts w:ascii="Times" w:eastAsia="Times New Roman" w:hAnsi="Times" w:cs="Times"/>
          <w:sz w:val="20"/>
          <w:szCs w:val="20"/>
        </w:rPr>
      </w:pPr>
    </w:p>
    <w:p w:rsidR="002C02DF" w:rsidRDefault="00D92F9A">
      <w:pPr>
        <w:divId w:val="257061514"/>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Transportation Services for Individuals with Disabilities: Over-the-Road Buses (RRR)</w:t>
        </w:r>
      </w:hyperlink>
    </w:p>
    <w:p w:rsidR="002C02DF" w:rsidRDefault="002C02DF">
      <w:pPr>
        <w:rPr>
          <w:rFonts w:ascii="Times" w:eastAsia="Times New Roman" w:hAnsi="Times" w:cs="Times"/>
          <w:sz w:val="20"/>
          <w:szCs w:val="20"/>
        </w:rPr>
      </w:pPr>
    </w:p>
    <w:p w:rsidR="002C02DF" w:rsidRDefault="00D92F9A">
      <w:pPr>
        <w:divId w:val="995301787"/>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Use of Mobile Wireless Devices for Voice Calls on Aircraft</w:t>
        </w:r>
      </w:hyperlink>
    </w:p>
    <w:p w:rsidR="002C02DF" w:rsidRDefault="002C02DF">
      <w:pPr>
        <w:rPr>
          <w:rFonts w:ascii="Times" w:eastAsia="Times New Roman" w:hAnsi="Times" w:cs="Times"/>
          <w:sz w:val="20"/>
          <w:szCs w:val="20"/>
        </w:rPr>
      </w:pPr>
    </w:p>
    <w:p w:rsidR="002C02DF" w:rsidRDefault="00D92F9A">
      <w:pPr>
        <w:divId w:val="1527450257"/>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Reporting Ancillary Airline Passenger Revenues</w:t>
        </w:r>
      </w:hyperlink>
    </w:p>
    <w:p w:rsidR="002C02DF" w:rsidRDefault="002C02DF">
      <w:pPr>
        <w:rPr>
          <w:rFonts w:ascii="Times" w:eastAsia="Times New Roman" w:hAnsi="Times" w:cs="Times"/>
          <w:sz w:val="20"/>
          <w:szCs w:val="20"/>
        </w:rPr>
      </w:pPr>
    </w:p>
    <w:p w:rsidR="002C02DF" w:rsidRDefault="00D92F9A">
      <w:pPr>
        <w:divId w:val="1836604732"/>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Accessible In-Flight Entertainment</w:t>
        </w:r>
      </w:hyperlink>
    </w:p>
    <w:p w:rsidR="002C02DF" w:rsidRDefault="002C02DF">
      <w:pPr>
        <w:rPr>
          <w:rFonts w:ascii="Times" w:eastAsia="Times New Roman" w:hAnsi="Times" w:cs="Times"/>
          <w:sz w:val="20"/>
          <w:szCs w:val="20"/>
        </w:rPr>
      </w:pPr>
    </w:p>
    <w:p w:rsidR="002C02DF" w:rsidRDefault="00D92F9A">
      <w:pPr>
        <w:divId w:val="1577478196"/>
        <w:rPr>
          <w:rFonts w:ascii="Times" w:eastAsia="Times New Roman" w:hAnsi="Times" w:cs="Times"/>
        </w:rPr>
      </w:pPr>
      <w:r>
        <w:rPr>
          <w:rFonts w:ascii="Times" w:eastAsia="Times New Roman" w:hAnsi="Times" w:cs="Times"/>
        </w:rPr>
        <w:lastRenderedPageBreak/>
        <w:t>85. </w:t>
      </w:r>
      <w:hyperlink w:anchor="85" w:history="1">
        <w:r>
          <w:rPr>
            <w:rStyle w:val="Hyperlink"/>
            <w:rFonts w:ascii="Times" w:eastAsia="Times New Roman" w:hAnsi="Times" w:cs="Times"/>
          </w:rPr>
          <w:t>Adoption of Governmentwide Uniform Administrative Requirements, Cost Principles, and Audit Requirements for Federal Awards</w:t>
        </w:r>
      </w:hyperlink>
    </w:p>
    <w:p w:rsidR="002C02DF" w:rsidRDefault="002C02DF">
      <w:pPr>
        <w:rPr>
          <w:rFonts w:ascii="Times" w:eastAsia="Times New Roman" w:hAnsi="Times" w:cs="Times"/>
          <w:sz w:val="20"/>
          <w:szCs w:val="20"/>
        </w:rPr>
      </w:pPr>
    </w:p>
    <w:p w:rsidR="002C02DF" w:rsidRDefault="00D92F9A">
      <w:pPr>
        <w:divId w:val="731578952"/>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Reporting of Statistics For Mishandled Baggage and Wheelchairs</w:t>
        </w:r>
      </w:hyperlink>
    </w:p>
    <w:p w:rsidR="002C02DF" w:rsidRDefault="002C02DF">
      <w:pPr>
        <w:rPr>
          <w:rFonts w:ascii="Times" w:eastAsia="Times New Roman" w:hAnsi="Times" w:cs="Times"/>
          <w:sz w:val="20"/>
          <w:szCs w:val="20"/>
        </w:rPr>
      </w:pPr>
    </w:p>
    <w:p w:rsidR="002C02DF" w:rsidRDefault="00D92F9A">
      <w:pPr>
        <w:rPr>
          <w:rFonts w:ascii="Times" w:eastAsia="Times New Roman" w:hAnsi="Times" w:cs="Times"/>
        </w:rPr>
      </w:pPr>
      <w:r>
        <w:rPr>
          <w:rFonts w:ascii="Times" w:eastAsia="Times New Roman" w:hAnsi="Times" w:cs="Times"/>
          <w:b/>
          <w:bCs/>
        </w:rPr>
        <w:t>Pipeline and Hazardous Materials Safety Administration</w:t>
      </w:r>
    </w:p>
    <w:p w:rsidR="002C02DF" w:rsidRDefault="00D92F9A">
      <w:pPr>
        <w:divId w:val="125701107"/>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Hazardous Materials: Safety Requirements for External Product Piping on Cargo Tanks Transporting Flammable Liquids (Wetlines) (MAP-21)</w:t>
        </w:r>
      </w:hyperlink>
    </w:p>
    <w:p w:rsidR="002C02DF" w:rsidRDefault="002C02DF">
      <w:pPr>
        <w:rPr>
          <w:rFonts w:ascii="Times" w:eastAsia="Times New Roman" w:hAnsi="Times" w:cs="Times"/>
          <w:sz w:val="20"/>
          <w:szCs w:val="20"/>
        </w:rPr>
      </w:pPr>
    </w:p>
    <w:p w:rsidR="002C02DF" w:rsidRDefault="00D92F9A">
      <w:pPr>
        <w:divId w:val="37096007"/>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Pipeline Safety: Safety of On-Shore Liquid Hazardous Pipelines</w:t>
        </w:r>
      </w:hyperlink>
    </w:p>
    <w:p w:rsidR="002C02DF" w:rsidRDefault="002C02DF">
      <w:pPr>
        <w:rPr>
          <w:rFonts w:ascii="Times" w:eastAsia="Times New Roman" w:hAnsi="Times" w:cs="Times"/>
          <w:sz w:val="20"/>
          <w:szCs w:val="20"/>
        </w:rPr>
      </w:pPr>
    </w:p>
    <w:p w:rsidR="002C02DF" w:rsidRDefault="00D92F9A">
      <w:pPr>
        <w:divId w:val="1486894120"/>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Pipeline Safety: Excess Flow Valves In Applications Other Than Single-Family Residences in Gas Distribution Systems</w:t>
        </w:r>
      </w:hyperlink>
    </w:p>
    <w:p w:rsidR="002C02DF" w:rsidRDefault="002C02DF">
      <w:pPr>
        <w:rPr>
          <w:rFonts w:ascii="Times" w:eastAsia="Times New Roman" w:hAnsi="Times" w:cs="Times"/>
          <w:sz w:val="20"/>
          <w:szCs w:val="20"/>
        </w:rPr>
      </w:pPr>
    </w:p>
    <w:p w:rsidR="002C02DF" w:rsidRDefault="00D92F9A">
      <w:pPr>
        <w:divId w:val="174157442"/>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Pipeline Safety: Gas Transmission</w:t>
        </w:r>
      </w:hyperlink>
    </w:p>
    <w:p w:rsidR="002C02DF" w:rsidRDefault="002C02DF">
      <w:pPr>
        <w:rPr>
          <w:rFonts w:ascii="Times" w:eastAsia="Times New Roman" w:hAnsi="Times" w:cs="Times"/>
          <w:sz w:val="20"/>
          <w:szCs w:val="20"/>
        </w:rPr>
      </w:pPr>
    </w:p>
    <w:p w:rsidR="002C02DF" w:rsidRDefault="00D92F9A">
      <w:pPr>
        <w:divId w:val="329990438"/>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Pipeline Safety: Amendments to Parts 192 and 195 to require Valve installation and Minimum Rupture Detection Standards</w:t>
        </w:r>
      </w:hyperlink>
    </w:p>
    <w:p w:rsidR="002C02DF" w:rsidRDefault="002C02DF">
      <w:pPr>
        <w:rPr>
          <w:rFonts w:ascii="Times" w:eastAsia="Times New Roman" w:hAnsi="Times" w:cs="Times"/>
          <w:sz w:val="20"/>
          <w:szCs w:val="20"/>
        </w:rPr>
      </w:pPr>
    </w:p>
    <w:p w:rsidR="002C02DF" w:rsidRDefault="00D92F9A">
      <w:pPr>
        <w:divId w:val="1863664396"/>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Hazardous Materials: Review and Update of Rail Carrier Regulations in Part 174</w:t>
        </w:r>
      </w:hyperlink>
    </w:p>
    <w:p w:rsidR="002C02DF" w:rsidRDefault="002C02DF">
      <w:pPr>
        <w:rPr>
          <w:rFonts w:ascii="Times" w:eastAsia="Times New Roman" w:hAnsi="Times" w:cs="Times"/>
          <w:sz w:val="20"/>
          <w:szCs w:val="20"/>
        </w:rPr>
      </w:pPr>
    </w:p>
    <w:p w:rsidR="002C02DF" w:rsidRDefault="00D92F9A">
      <w:pPr>
        <w:divId w:val="870142051"/>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Hazardous Materials: Oil Spill Response Plans and Information Sharing for High-Hazard Flammable Trains</w:t>
        </w:r>
      </w:hyperlink>
    </w:p>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2C02DF">
        <w:trPr>
          <w:tblCellSpacing w:w="24" w:type="dxa"/>
        </w:trPr>
        <w:tc>
          <w:tcPr>
            <w:tcW w:w="0" w:type="auto"/>
            <w:gridSpan w:val="2"/>
            <w:vAlign w:val="center"/>
            <w:hideMark/>
          </w:tcPr>
          <w:p w:rsidR="002C02DF" w:rsidRDefault="00D23290">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2120-AJ38</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certain airport certificate holders to develop, implement, maintain, and adhere to a safety management system (SMS) for its aviation related activities. An SMS is a formalized approach to managing safety by developing an organization-wide safety policy, developing formal methods of identifying hazards, analyzing and mitigating risk, developing methods for ensuring continuous safety improvement, and creating organization-wide safety promotion strategies.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Peer Review</w:t>
                  </w:r>
                  <w:r>
                    <w:rPr>
                      <w:rFonts w:ascii="Times" w:eastAsia="Times New Roman" w:hAnsi="Times" w:cs="Times"/>
                      <w:sz w:val="20"/>
                      <w:szCs w:val="20"/>
                    </w:rPr>
                    <w:br/>
                    <w:t>Foreign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11/05/2015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01/16/2016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Student Pilot Application Requirements (formerly 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Student Pilot Application Requirements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2120-AJ42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applicants to apply for a student pilot certificate through a Flight Standards District Office, designated pilot examiner, airman certification representative associated with a pilot school, or certified flight instructor. This rulemaking would respond to section 4012 of the Intelligence Reform and Terrorism Prevention Act and facilitates security vetting by the Transportation Security Administration of student pilot applicants prior to certificate issuance. Section 321 of the FAA Modernization and Reform Act of 2012 supersedes section 4022 of the Intelligence Reform and Terrorism Prevention Act, which provided the basis for the proposed rule. The FAA has initiated a new rulemaking (RIN 2120-AK33) to address the new requirements for pilot certificates set forth in section 321.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78"/>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Final : 06/17/2012</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01/11/2012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05/20/2014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02/13/2012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05/29/2012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09/23/2015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UAS Final Rule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2120-AJ60</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02/23/2015; C/P End: 04/24/2015</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allow the commercial operation of small unmanned aircraft systems (small UAS) in the National Airspace System (NAS). These changes would address the operation of small unmanned aircraft systems, certification of their operators, registration of the small unmanned aircraft, and display of registration markings. This action would also find airworthiness certification is not required for small unmanned aircraft system operations subject to this rulemaking.</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04"/>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2120-AJ69</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2120-AJ71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require certificated airports to complete a wildlife hazard assessment (WHA) and a wildlife hazard management plan (WHMP). It also would require periodic completion of a WHA, provide an option for continuous wildlife monitoring as an alternative to a periodic WHA, and clarify the requirements for airport wildlife biologists conducting a WHA or implementing a WHMP. This action would improve safety at airports through proactive identification and mitigation of wildlife hazards.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2120-AJ78</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2120-AJ79</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 The FAA has terminated this rulemaking due to concerns regarding the accidents used for its cost-benefit analysis, including whether some of the accidents would have been mitigated by the rule, and how far back the FAA should go to claim benefits to support the rule. In 2011, the FAA expected the proposed training requirements to mitigate 35 past accidents. In 2014, a reevaluation revealed that only 2 past accidents would be mitigated by the proposed training requirements, and further, these 2 accidents occurred outside the regulated community. In light of this re-evaluation, the FAA has terminated this rulemaking.</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Pilot Professional Development</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2120-AJ87</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;Publication Date ;End of Comment Period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04/20/2015</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OST/2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OMB/2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09/18/2015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Publication Approved</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12/29/2015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03/01/2016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2120-AJ89</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01/08/2015; Comments End 04/08/2015; Comment Period Extended 04/13/2015; End of Extended Comment Period 05/08/2015.</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Foreign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FAA-2014-1073</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06/22/2011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06/22/2011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04/25/2011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03/09/2013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07/25/2011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12/12/2014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01/08/2015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04/08/2015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1273</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2120-AK09</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03/17/2014; Comment Period Ends 05/16/2014; Extended Comment Period 05/01/2014; Extended Comment Period End 07/17/2014. ANPRM: Publication Approved 03/05/2014;Publication Date 03/17/2014;End of Comment Period 05/16/2014;Extension of Comment Period 05/01/2014;End of Extended of Comment Period 07/17/2014.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Reform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This rulemaking is required by the FAA Modernization and Reform Act of 2012.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FAA-2012-1058</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2C02D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Applying the Flight, Duty, and Rest requirements to Ferry Flights that Follow Domestic, Flag, or Supplemental All-Cargo Operations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Green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2120-AK22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04/23/2014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11/07/2014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02/29/2016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2C02D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Black</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2120-AK26</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02/29/2016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2C02D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Black</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2120-AK31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01/28/2016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2C02D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Green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2120-AK33</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2C02D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Black</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2120-AK37</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04/07/2016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07/06/2016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10/19/2016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2C02D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 xml:space="preserve">Permanent Requirement for Helicopters to use the New York North Shore Helicopter Route </w:t>
                  </w:r>
                </w:p>
              </w:tc>
              <w:tc>
                <w:tcPr>
                  <w:tcW w:w="360" w:type="dxa"/>
                  <w:tcBorders>
                    <w:top w:val="outset" w:sz="6" w:space="0" w:color="000000"/>
                    <w:left w:val="outset" w:sz="6" w:space="0" w:color="000000"/>
                    <w:bottom w:val="outset" w:sz="6" w:space="0" w:color="000000"/>
                    <w:right w:val="outset" w:sz="6" w:space="0" w:color="00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Black</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2120-AK39</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 will protect and enhance public welfare by making the current rule permanent, thereby continuing to reduce helicopter overflights and attendant noise disturbance over nearby communities.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2C02D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Medical Self-Evaluation for Certain Noncommercial Operations in Lieu of Airman Medical Certification</w:t>
                  </w:r>
                </w:p>
              </w:tc>
              <w:tc>
                <w:tcPr>
                  <w:tcW w:w="360" w:type="dxa"/>
                  <w:tcBorders>
                    <w:top w:val="outset" w:sz="6" w:space="0" w:color="000000"/>
                    <w:left w:val="outset" w:sz="6" w:space="0" w:color="000000"/>
                    <w:bottom w:val="outset" w:sz="6" w:space="0" w:color="000000"/>
                    <w:right w:val="outset" w:sz="6" w:space="0" w:color="00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Black</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Self-Certification</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2120-AK45</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allowing certain operations to be conducted by individuals exercising private-pilot privileges without holding a current FAA airman medical certificate. The intended effect of this action is to provide relief from having to obtain a medical certificate for pilots engaged in low-risk flying, such as private pilots operating a small, general aviation aircraft.</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02/04/2014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08/14/2014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07/24/2014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01/15/2016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01/21/2016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2C02D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Black</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Air Ambulance II</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2120-AK57</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08/18/2014</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10/28/2015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02/29/2016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03/17/2016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2C02D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Revision of Airworthiness Standards for Normal, Utility, Acrobatic, and Commuter Category Airplanes</w:t>
                  </w:r>
                </w:p>
              </w:tc>
              <w:tc>
                <w:tcPr>
                  <w:tcW w:w="360" w:type="dxa"/>
                  <w:tcBorders>
                    <w:top w:val="outset" w:sz="6" w:space="0" w:color="000000"/>
                    <w:left w:val="outset" w:sz="6" w:space="0" w:color="000000"/>
                    <w:bottom w:val="outset" w:sz="6" w:space="0" w:color="000000"/>
                    <w:right w:val="outset" w:sz="6" w:space="0" w:color="00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Black</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23 Reorganization</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2120-AK65</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Title 14, Code of Federal Regulations (14 CFR) part 23 as a set of performance based regulations for the design and certification of small transport category aircraft. This rulemaking would: (1) Reorganize part 23 into performance-based requirements by removing the detailed design requirements from part 23. The detailed design provisions that would assist applicants in complying with the new performance-based requirements would be identified in means of compliance (MOC) documents to support this effort; (2) Promote the adoption of the newly created performance-based airworthiness design standard as an internationally accepted standard by the majority of other civil aviation authorities; (3) Re-align the part 23 requirements to promote the development of entry-level airplanes similar to those certified under Certification Specification for Very Light Aircraft (CS-VLA); (4) enhance the FAA's ability to address new technology; (5) Increase the general aviation (GA) level of safety provided by new and modified airplanes; (6) Amend the stall, stall warning, and spin requirements to reduce fatal accidents and increase crashworthiness by allowing new methods for occupant protection; (7) Address icing conditions that are currently not included in part 23 regulations.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017"/>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NPRM (Pub. L. 113-53) : 12/15/2015</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11/27/2013</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08/27/2015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09/28/2015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01/14/2016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04/01/2016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20" w:name="20"/>
            <w:r>
              <w:rPr>
                <w:rFonts w:ascii="Times" w:eastAsia="Times New Roman" w:hAnsi="Times" w:cs="Times"/>
                <w:b/>
                <w:bCs/>
                <w:sz w:val="20"/>
                <w:szCs w:val="20"/>
              </w:rPr>
              <w:lastRenderedPageBreak/>
              <w:t>Federal Highway Administration</w:t>
            </w:r>
          </w:p>
        </w:tc>
      </w:tr>
      <w:tr w:rsidR="002C02DF">
        <w:trPr>
          <w:tblCellSpacing w:w="24" w:type="dxa"/>
        </w:trPr>
        <w:tc>
          <w:tcPr>
            <w:tcW w:w="0" w:type="auto"/>
            <w:gridSpan w:val="2"/>
            <w:vAlign w:val="center"/>
            <w:hideMark/>
          </w:tcPr>
          <w:p w:rsidR="002C02DF" w:rsidRDefault="00D23290">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0"/>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2125-AF34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retroreflectivity for pavement markings on all roads open to public travel.</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02/23/2016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21" w:name="21"/>
            <w:r>
              <w:rPr>
                <w:rFonts w:ascii="Times" w:eastAsia="Times New Roman" w:hAnsi="Times" w:cs="Times"/>
                <w:sz w:val="20"/>
                <w:szCs w:val="20"/>
              </w:rPr>
              <w:lastRenderedPageBreak/>
              <w:t>Federal Highway Administration</w:t>
            </w:r>
            <w:bookmarkEnd w:id="21"/>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2C02D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Green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2125-AF49</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3/11/14; End of C/P: 6/30/14.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publishing up to three separate rulemakings to address the different areas covered by this section. This rulemaking, the first, will cover safety.</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FHWA-2013-0020</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05/01/2015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07/23/2015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09/18/2015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22" w:name="22"/>
            <w:r>
              <w:rPr>
                <w:rFonts w:ascii="Times" w:eastAsia="Times New Roman" w:hAnsi="Times" w:cs="Times"/>
                <w:sz w:val="20"/>
                <w:szCs w:val="20"/>
              </w:rPr>
              <w:lastRenderedPageBreak/>
              <w:t>Federal Highway Administration</w:t>
            </w:r>
            <w:bookmarkEnd w:id="22"/>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2C02D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Green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2125-AF51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23" w:name="23"/>
            <w:r>
              <w:rPr>
                <w:rFonts w:ascii="Times" w:eastAsia="Times New Roman" w:hAnsi="Times" w:cs="Times"/>
                <w:sz w:val="20"/>
                <w:szCs w:val="20"/>
              </w:rPr>
              <w:lastRenderedPageBreak/>
              <w:t>Federal Highway Administration</w:t>
            </w:r>
            <w:bookmarkEnd w:id="23"/>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2C02D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Green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2125-AF52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6/2/14; End of C/P: 9/2/14.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 23 USC 134 and 135, to require a continuing, comprehensive, and coordinated transportation planning and programming process in metropolitan areas, nonmetropolitan areas, and Statewide. The NPRM on Planning and Environmental Linkages (2125-AF66) has been merged with this rulemaking at the final rule stage. These provisions add an additional authority for the use of planning products in the environmental review process required under NEPA. Specifically, through this rulemaking FHWA and FTA would interpret and implement MAP-21´s additional authority for FHWA and FTA to use planning products developed by States, MPOs, and other agencies during the transportation planning process in the environmental review process for a project.</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FHWA-2013-0037</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10/16/2015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24" w:name="24"/>
            <w:r>
              <w:rPr>
                <w:rFonts w:ascii="Times" w:eastAsia="Times New Roman" w:hAnsi="Times" w:cs="Times"/>
                <w:sz w:val="20"/>
                <w:szCs w:val="20"/>
              </w:rPr>
              <w:lastRenderedPageBreak/>
              <w:t>Federal Highway Administration</w:t>
            </w:r>
            <w:bookmarkEnd w:id="24"/>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2C02D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Green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2125-AF53</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1/5/15; End of C/P: 4/6/15; End of Extended C/P: 5/8/15.</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FHWA-2013-0053</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07/19/2014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07/14/2014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12/15/2014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01/05/2015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04/06/2015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326</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25" w:name="25"/>
            <w:r>
              <w:rPr>
                <w:rFonts w:ascii="Times" w:eastAsia="Times New Roman" w:hAnsi="Times" w:cs="Times"/>
                <w:sz w:val="20"/>
                <w:szCs w:val="20"/>
              </w:rPr>
              <w:lastRenderedPageBreak/>
              <w:t>Federal Highway Administration</w:t>
            </w:r>
            <w:bookmarkEnd w:id="25"/>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2C02D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Green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2125-AF54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11/18/2014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02/29/2016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26" w:name="26"/>
            <w:r>
              <w:rPr>
                <w:rFonts w:ascii="Times" w:eastAsia="Times New Roman" w:hAnsi="Times" w:cs="Times"/>
                <w:sz w:val="20"/>
                <w:szCs w:val="20"/>
              </w:rPr>
              <w:lastRenderedPageBreak/>
              <w:t>Federal Highway Administration</w:t>
            </w:r>
            <w:bookmarkEnd w:id="26"/>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2C02D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Green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2125-AF55</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02/01/2016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04/12/2016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Highway Administration</w:t>
            </w:r>
            <w:bookmarkEnd w:id="27"/>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2C02D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Highway Safety Improvement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Green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HSIP</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2125-AF56</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03/28/2014; End of C/P: 05/27/2014; End of Extended C/P: 06/30/2014.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924 to incorporate changes made by MAP-21. Specifically, MAP-21 removed the requirement for States to prepare a Transparency Report, removed the High Risk Rural Roads set-aside, and removed the 10% flexibility provision for States to use safety funding in accordance with 23 U.S.C. 148(e). MAP-21 also adds data system and improvement requirements, State Strategic Highway Safety Plan update requirements, special rules, and State performance targets.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FHWA-2013-0019</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03/13/2015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04/08/2015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11/19/2015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08/03/2015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28" w:name="28"/>
            <w:r>
              <w:rPr>
                <w:rFonts w:ascii="Times" w:eastAsia="Times New Roman" w:hAnsi="Times" w:cs="Times"/>
                <w:sz w:val="20"/>
                <w:szCs w:val="20"/>
              </w:rPr>
              <w:lastRenderedPageBreak/>
              <w:t>Federal Highway Administration</w:t>
            </w:r>
            <w:bookmarkEnd w:id="28"/>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2C02D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Green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Asset Management Plan</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2125-AF57</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2/20/15; End of C/P: 4/21/15; End of Extended C/P: 5/29/15.</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01/10/2014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10/09/2014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10/22/2014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01/27/2015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01/28/2015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02/20/2015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04/21/2015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9231</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29" w:name="29"/>
            <w:r>
              <w:rPr>
                <w:rFonts w:ascii="Times" w:eastAsia="Times New Roman" w:hAnsi="Times" w:cs="Times"/>
                <w:sz w:val="20"/>
                <w:szCs w:val="20"/>
              </w:rPr>
              <w:lastRenderedPageBreak/>
              <w:t>Federal Highway Administration</w:t>
            </w:r>
            <w:bookmarkEnd w:id="29"/>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2C02D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Black</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2125-AF63</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8/4/14; End of C/P: 10/3/14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10/02/2015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03/04/2016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03/11/2016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30" w:name="30"/>
            <w:r>
              <w:rPr>
                <w:rFonts w:ascii="Times" w:eastAsia="Times New Roman" w:hAnsi="Times" w:cs="Times"/>
                <w:sz w:val="20"/>
                <w:szCs w:val="20"/>
              </w:rPr>
              <w:lastRenderedPageBreak/>
              <w:t>Federal Highway Administration</w:t>
            </w:r>
            <w:bookmarkEnd w:id="30"/>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2C02D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Buy America (RRR)</w:t>
                  </w:r>
                </w:p>
              </w:tc>
              <w:tc>
                <w:tcPr>
                  <w:tcW w:w="360" w:type="dxa"/>
                  <w:tcBorders>
                    <w:top w:val="outset" w:sz="6" w:space="0" w:color="000000"/>
                    <w:left w:val="outset" w:sz="6" w:space="0" w:color="000000"/>
                    <w:bottom w:val="outset" w:sz="6" w:space="0" w:color="000000"/>
                    <w:right w:val="outset" w:sz="6" w:space="0" w:color="00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Black</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(RRR)</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2125-AF65</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31" w:name="31"/>
            <w:r>
              <w:rPr>
                <w:rFonts w:ascii="Times" w:eastAsia="Times New Roman" w:hAnsi="Times" w:cs="Times"/>
                <w:b/>
                <w:bCs/>
                <w:sz w:val="20"/>
                <w:szCs w:val="20"/>
              </w:rPr>
              <w:lastRenderedPageBreak/>
              <w:t>Federal Motor Carrier Safety Administration</w:t>
            </w:r>
          </w:p>
        </w:tc>
      </w:tr>
      <w:tr w:rsidR="002C02DF">
        <w:trPr>
          <w:tblCellSpacing w:w="24" w:type="dxa"/>
        </w:trPr>
        <w:tc>
          <w:tcPr>
            <w:tcW w:w="0" w:type="auto"/>
            <w:gridSpan w:val="2"/>
            <w:vAlign w:val="center"/>
            <w:hideMark/>
          </w:tcPr>
          <w:p w:rsidR="002C02DF" w:rsidRDefault="00D23290">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1"/>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Mexico-Domiciled Motor Carriers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2126-AA34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32" w:name="32"/>
            <w:r>
              <w:rPr>
                <w:rFonts w:ascii="Times" w:eastAsia="Times New Roman" w:hAnsi="Times" w:cs="Times"/>
                <w:sz w:val="20"/>
                <w:szCs w:val="20"/>
              </w:rPr>
              <w:lastRenderedPageBreak/>
              <w:t>Federal Motor Carrier Safety Administration</w:t>
            </w:r>
            <w:bookmarkEnd w:id="32"/>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2126-AA35</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33" w:name="33"/>
            <w:r>
              <w:rPr>
                <w:rFonts w:ascii="Times" w:eastAsia="Times New Roman" w:hAnsi="Times" w:cs="Times"/>
                <w:sz w:val="20"/>
                <w:szCs w:val="20"/>
              </w:rPr>
              <w:lastRenderedPageBreak/>
              <w:t>Federal Motor Carrier Safety Administration</w:t>
            </w:r>
            <w:bookmarkEnd w:id="33"/>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2126-AA64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Motor Carrier Safety Administration</w:t>
            </w:r>
            <w:bookmarkEnd w:id="34"/>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Limitations on the Issuance of Commercial Driver Licenses with a Hazardous Materials Endorsement</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USA PATRIOT Act Rule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2126-AA70</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35" w:name="35"/>
            <w:r>
              <w:rPr>
                <w:rFonts w:ascii="Times" w:eastAsia="Times New Roman" w:hAnsi="Times" w:cs="Times"/>
                <w:sz w:val="20"/>
                <w:szCs w:val="20"/>
              </w:rPr>
              <w:lastRenderedPageBreak/>
              <w:t>Federal Motor Carrier Safety Administration</w:t>
            </w:r>
            <w:bookmarkEnd w:id="35"/>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2126-AB01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36" w:name="36"/>
            <w:r>
              <w:rPr>
                <w:rFonts w:ascii="Times" w:eastAsia="Times New Roman" w:hAnsi="Times" w:cs="Times"/>
                <w:sz w:val="20"/>
                <w:szCs w:val="20"/>
              </w:rPr>
              <w:lastRenderedPageBreak/>
              <w:t>Federal Motor Carrier Safety Administration</w:t>
            </w:r>
            <w:bookmarkEnd w:id="36"/>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Carrier Safety Fitness Determination</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2126-AB11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carrier's on-road safety performance in relation to five of the Agency's seven Behavioral Analysis and Safety Improvement Categories (BASICs); (2) an investigation; or (3) a combination of on-road safety data and investigation information. The intended effect of this action is to more effectively use FMCSA data and resources to identify unfit motor carriers and to remove them from the Nation's roadways.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12/29/2015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Unanticipated issues requiring further analysis</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37" w:name="37"/>
            <w:r>
              <w:rPr>
                <w:rFonts w:ascii="Times" w:eastAsia="Times New Roman" w:hAnsi="Times" w:cs="Times"/>
                <w:sz w:val="20"/>
                <w:szCs w:val="20"/>
              </w:rPr>
              <w:lastRenderedPageBreak/>
              <w:t>Federal Motor Carrier Safety Administration</w:t>
            </w:r>
            <w:bookmarkEnd w:id="37"/>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2126-AB17</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Motor Carrier Safety Administration</w:t>
            </w:r>
            <w:bookmarkEnd w:id="38"/>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2126-AB18</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2/20/14, End of C/P 5/21/14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requires creation of the Clearinghouse by 10/1/14.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583"/>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Clearinghouse required to be established by 10/01/2014. : 10/01/2014</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11/24/2015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Motor Carrier Safety Administration</w:t>
            </w:r>
            <w:bookmarkEnd w:id="39"/>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Electronic Logging Devices and Hours of Service Supporting Documents (MAP-21) (RRR)</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ELDs and HOS supporting documents (RRR)</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2126-AB20</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 Date 02/01/11; End of C/P 04/04/2011, Extension of C/P 04/13/2011; End of Extended C/P 05/23/11; Notice of Intent 02/13/2012. SNPRM Pub 3/28/14, Ext of C/P 5/16/14, End of Extended C/P 6/26/14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(1) minimum performance and design standards for hours-of-service (HOS) electronic logging devices (ELDs); (2) requirements for the mandatory use of these devices by drivers currently required to prepare HOS records of duty status (RODS); (3) requirements concerning HOS supporting documents; and (4) measures to address concerns about harassment resulting from the mandatory use of ELDs.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01/31/2011</w:t>
                  </w:r>
                  <w:r>
                    <w:rPr>
                      <w:rFonts w:ascii="Times" w:eastAsia="Times New Roman" w:hAnsi="Times" w:cs="Times"/>
                      <w:sz w:val="20"/>
                      <w:szCs w:val="20"/>
                    </w:rPr>
                    <w:br/>
                    <w:t>MAP-21 requires FMCSA to issue a final rule by October 1, 2013, a deadline that FMCSA will not be able to meet, due to the need for notice and comment on these proposals. : 10/01/2013</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06/01/2015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07/28/2015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Motor Carrier Safety Administration</w:t>
            </w:r>
            <w:bookmarkEnd w:id="40"/>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2C02D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Green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2126-AB56</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32106 of MAP-21, FMCSA proposes to: 1) adjust the URS registration fee for new interstate motor carriers, freight forwarders, brokers, intermodal equipment providers (IEPs), hazardous materials safety permit (HMSP) applicants, and cargo tank facilities under FMCSA jurisdiction that must register with the Agency to operate in interstate commerce; 2) implement several MAP-21 provisions that require changes to the URS regulations, the online Application for USDOT Number/Operating Authority Registration (Form MCSA-1) and MCSA-1 Instructions; 3) prohibit transfers of operating authority registration; 4) and make several technical amendments to the MCSA-1 Form and Instructions for purposes of clarification.</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02/05/2016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03/10/2016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06/09/2016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06/20/2016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Motor Carrier Safety Administration</w:t>
            </w:r>
            <w:bookmarkEnd w:id="41"/>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2C02D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Prohibition of Coercion (MAP-21)</w:t>
                  </w:r>
                </w:p>
              </w:tc>
              <w:tc>
                <w:tcPr>
                  <w:tcW w:w="360" w:type="dxa"/>
                  <w:tcBorders>
                    <w:top w:val="outset" w:sz="6" w:space="0" w:color="008000"/>
                    <w:left w:val="outset" w:sz="6" w:space="0" w:color="008000"/>
                    <w:bottom w:val="outset" w:sz="6" w:space="0" w:color="008000"/>
                    <w:right w:val="outset" w:sz="6" w:space="0" w:color="008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Green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Coercion</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2126-AB57</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5/13/14, C/P Ends 8/11/14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Congress authorized and required FMCSA to ensure that the regulations adopted pursuant to the Motor Carrier Safety Act of 1984 (MCSA), as amended by the Moving Ahead for Progress in the 21st Century Act (MAP-21), do not result in coercion of drivers by motor carriers, shippers, receivers, or transportation intermediaries to operate CMVs in violation of certain provisions of the FMCSRs and the HMRs. That part of the rulemaking is authorized by sec. 32911 of MAP-21. FMCSA has also utilized the broad authority of the MCSA [49 U.S.C. 31136(A)(1)-(4)] and authorities transferred from the former Interstate Commerce Commission (ICC) under the ICC Termination Act [49 U.S.C. 13301(a)] to prohibit operators of CMVs from coercing drivers to violate certain provisions of the Agency's commercial regulations. The major provisions of this rule include prohibitions of coercion, procedures for drivers to report incidents of coercion to FMCSA, and rules of practice that the Agency will follow in response to reports of coercion.</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05/06/2015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07/28/2015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09/10/2015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353"/>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staffing</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2C02D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Black</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2126-AB63</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petitions, NHTSA requested public comment on the subject and received thousands of comments supporting the petitioner´s request.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43" w:name="43"/>
            <w:r>
              <w:rPr>
                <w:rFonts w:ascii="Times" w:eastAsia="Times New Roman" w:hAnsi="Times" w:cs="Times"/>
                <w:sz w:val="20"/>
                <w:szCs w:val="20"/>
              </w:rPr>
              <w:lastRenderedPageBreak/>
              <w:t>Federal Motor Carrier Safety Administration</w:t>
            </w:r>
            <w:bookmarkEnd w:id="43"/>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2C02D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Entry-Level Driver Training</w:t>
                  </w:r>
                </w:p>
              </w:tc>
              <w:tc>
                <w:tcPr>
                  <w:tcW w:w="360" w:type="dxa"/>
                  <w:tcBorders>
                    <w:top w:val="outset" w:sz="6" w:space="0" w:color="000000"/>
                    <w:left w:val="outset" w:sz="6" w:space="0" w:color="000000"/>
                    <w:bottom w:val="outset" w:sz="6" w:space="0" w:color="000000"/>
                    <w:right w:val="outset" w:sz="6" w:space="0" w:color="00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Black</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ELDT</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2126-AB66</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adopt new standards for mandatory training requirements for entry-level operators of commercial motor vehicles (CMVs) that are required to complete a skills test prior to obtaining a commercial driver's license (CDL). FMCSA is conducting a negotiated rulemaking (Reg-Neg) proceeding to implement the new entry-level driver training (ELDT) provisions in the Moving Ahead for Progress in the 21st Century Act (MAP-21) and other relevant laws. Therefore, FMCSA proposes to require persons applying for new or upgraded CDLs to complete classroom, range, and behind-the-wheel training from a training provider listed on a National Registry. Training modules for those individuals applying for a Hazardous Materials (HM), Passenger (P), or School Bus (S) Endorsement may also be proposed. This notice of proposed rulemaking would strengthen the Agency's ELDT requirements, which would enhance the safety of CMV operations on our Nation's highways.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Negotiated Rulemaking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10/24/2013</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09/18/2015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10/06/2015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01/16/2016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44" w:name="44"/>
            <w:r>
              <w:rPr>
                <w:rFonts w:ascii="Times" w:eastAsia="Times New Roman" w:hAnsi="Times" w:cs="Times"/>
                <w:sz w:val="20"/>
                <w:szCs w:val="20"/>
              </w:rPr>
              <w:lastRenderedPageBreak/>
              <w:t>Federal Motor Carrier Safety Administration</w:t>
            </w:r>
            <w:bookmarkEnd w:id="44"/>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2C02D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Commercial Driver's License Requirements of MAP-21 and the Military Commercial Driver's License Act of 2012</w:t>
                  </w:r>
                </w:p>
              </w:tc>
              <w:tc>
                <w:tcPr>
                  <w:tcW w:w="360" w:type="dxa"/>
                  <w:tcBorders>
                    <w:top w:val="outset" w:sz="6" w:space="0" w:color="000000"/>
                    <w:left w:val="outset" w:sz="6" w:space="0" w:color="000000"/>
                    <w:bottom w:val="outset" w:sz="6" w:space="0" w:color="000000"/>
                    <w:right w:val="outset" w:sz="6" w:space="0" w:color="00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Black</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MAP-21 CDL Requirements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2126-AB68</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is intended to ease the transition of military members into civilian careers by reducing onerous paperwork and simplifying the licensing process. This rule proposes to extend the time period for applying for a skills test waiver from 90 days to 1 year for recently separated military. Another component of this proposal would be to require States to accept the military commercial vehicle license of certain military personnel in exchange for a Commercial Driver's License (CDL). This rulemaking also proposes that active duty military members may apply for their Commercial Learner's Permits (CLPs) and CDLs in their current State of Residence with the CLP and CDL being issued by their State of Domicile.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11/01/2013</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02/09/2016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07/15/2015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353"/>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staffing</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45" w:name="45"/>
            <w:r>
              <w:rPr>
                <w:rFonts w:ascii="Times" w:eastAsia="Times New Roman" w:hAnsi="Times" w:cs="Times"/>
                <w:sz w:val="20"/>
                <w:szCs w:val="20"/>
              </w:rPr>
              <w:lastRenderedPageBreak/>
              <w:t>Federal Motor Carrier Safety Administration</w:t>
            </w:r>
            <w:bookmarkEnd w:id="45"/>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2C02D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Financial Responsibility for Motor Carriers, Freight Forwarders, and Brokers</w:t>
                  </w:r>
                </w:p>
              </w:tc>
              <w:tc>
                <w:tcPr>
                  <w:tcW w:w="360" w:type="dxa"/>
                  <w:tcBorders>
                    <w:top w:val="outset" w:sz="6" w:space="0" w:color="000000"/>
                    <w:left w:val="outset" w:sz="6" w:space="0" w:color="000000"/>
                    <w:bottom w:val="outset" w:sz="6" w:space="0" w:color="000000"/>
                    <w:right w:val="outset" w:sz="6" w:space="0" w:color="00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Black</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Minimum Levels of Financial Responsibility</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2126-AB74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11/28/2014;End of Comment Period 02/26/2015.</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FMCSA is proposing a rulemaking to increase the minimum levels of financial responsibility for motor carriers, including liability coverage for bodily injury or property damage in the case of freight and passenger motor carriers. The legislative history of the Federal minimum insurance requirements strongly suggests that Congress recognized that crash costs would change and that DOT would regularly examine the levels and make adjustments as necessary. In completing the report Congress required under section 32104 of the Moving Ahead for Progress in the 21st Century Act (MAP-21), FMCSA has determined that the current financial responsibility minimums are inadequate to fully cover the costs of some crashes in light of increased medical costs and DOT´s revised value of statistical life estimates. The FMCSA is also considering proposing to extend the financial responsibility requirements to private motor carriers, as authorized by section 4120 of the Safe, Accountable, Flexible, Efficient, Transportation Equity Act: A Legacy for Users (SAFETEA-LU). In addition, FMCSA is considering financial responsibility requirements for passenger carrier brokers, implementation of certain MAP-21 provisions concerning broker and freight forwarder financial responsibility, revisions of the rules concerning self-insurance and trip insurance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04/14/2014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46" w:name="46"/>
            <w:r>
              <w:rPr>
                <w:rFonts w:ascii="Times" w:eastAsia="Times New Roman" w:hAnsi="Times" w:cs="Times"/>
                <w:sz w:val="20"/>
                <w:szCs w:val="20"/>
              </w:rPr>
              <w:lastRenderedPageBreak/>
              <w:t>Federal Motor Carrier Safety Administration</w:t>
            </w:r>
            <w:bookmarkEnd w:id="46"/>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2C02D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State Inspection Programs for Passenger Carrier Vehicles</w:t>
                  </w:r>
                </w:p>
              </w:tc>
              <w:tc>
                <w:tcPr>
                  <w:tcW w:w="360" w:type="dxa"/>
                  <w:tcBorders>
                    <w:top w:val="outset" w:sz="6" w:space="0" w:color="000000"/>
                    <w:left w:val="outset" w:sz="6" w:space="0" w:color="000000"/>
                    <w:bottom w:val="outset" w:sz="6" w:space="0" w:color="000000"/>
                    <w:right w:val="outset" w:sz="6" w:space="0" w:color="00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Black</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Carrier Inspections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2126-AB84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is considering a rulemaking that would require States to establish a program for annual inspections of commercial motor vehicles designed or used to transport passengers as required by the provision from section 32710 of the Moving Ahead for Progress in the 21st Century Act (Pub. L. 112-141, MAP-21).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04/29/2015</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47" w:name="47"/>
            <w:r>
              <w:rPr>
                <w:rFonts w:ascii="Times" w:eastAsia="Times New Roman" w:hAnsi="Times" w:cs="Times"/>
                <w:b/>
                <w:bCs/>
                <w:sz w:val="20"/>
                <w:szCs w:val="20"/>
              </w:rPr>
              <w:lastRenderedPageBreak/>
              <w:t>Federal Railroad Administration</w:t>
            </w:r>
          </w:p>
        </w:tc>
      </w:tr>
      <w:tr w:rsidR="002C02DF">
        <w:trPr>
          <w:tblCellSpacing w:w="24" w:type="dxa"/>
        </w:trPr>
        <w:tc>
          <w:tcPr>
            <w:tcW w:w="0" w:type="auto"/>
            <w:gridSpan w:val="2"/>
            <w:vAlign w:val="center"/>
            <w:hideMark/>
          </w:tcPr>
          <w:p w:rsidR="002C02DF" w:rsidRDefault="00D23290">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7"/>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2130-AC11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 NPRM: Publication Date 02/27/14; End of Comment Period 04/27/15.</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12/29/2015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03/28/2016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48" w:name="48"/>
            <w:r>
              <w:rPr>
                <w:rFonts w:ascii="Times" w:eastAsia="Times New Roman" w:hAnsi="Times" w:cs="Times"/>
                <w:sz w:val="20"/>
                <w:szCs w:val="20"/>
              </w:rPr>
              <w:lastRenderedPageBreak/>
              <w:t>Federal Railroad Administration</w:t>
            </w:r>
            <w:bookmarkEnd w:id="48"/>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2130-AC14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01/28/2016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05/05/2016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49" w:name="49"/>
            <w:r>
              <w:rPr>
                <w:rFonts w:ascii="Times" w:eastAsia="Times New Roman" w:hAnsi="Times" w:cs="Times"/>
                <w:sz w:val="20"/>
                <w:szCs w:val="20"/>
              </w:rPr>
              <w:lastRenderedPageBreak/>
              <w:t>Federal Railroad Administration</w:t>
            </w:r>
            <w:bookmarkEnd w:id="49"/>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2130-AC17</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3"/>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50" w:name="50"/>
            <w:r>
              <w:rPr>
                <w:rFonts w:ascii="Times" w:eastAsia="Times New Roman" w:hAnsi="Times" w:cs="Times"/>
                <w:sz w:val="20"/>
                <w:szCs w:val="20"/>
              </w:rPr>
              <w:lastRenderedPageBreak/>
              <w:t>Federal Railroad Administration</w:t>
            </w:r>
            <w:bookmarkEnd w:id="50"/>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2130-AC23</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51" w:name="51"/>
            <w:r>
              <w:rPr>
                <w:rFonts w:ascii="Times" w:eastAsia="Times New Roman" w:hAnsi="Times" w:cs="Times"/>
                <w:sz w:val="20"/>
                <w:szCs w:val="20"/>
              </w:rPr>
              <w:lastRenderedPageBreak/>
              <w:t>Federal Railroad Administration</w:t>
            </w:r>
            <w:bookmarkEnd w:id="51"/>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Railroad System Safety Program</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Railroad System Safety Program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2130-AC31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9/07/12; End of Comment Period: 11/06/12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improve passenger railroad safety through structured, proactive processes and procedures developed by passenger railroad operators. It would require passenger railroads to establish a System Safety Program that would systematically evaluate and manage risks in order to reduce the number and rates of railroad accidents, incidents, injuries and fatalities. This rulemaking was bifurcated from 2130-AC11.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519"/>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FRA-2011-0060</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12/09/2015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52" w:name="52"/>
            <w:r>
              <w:rPr>
                <w:rFonts w:ascii="Times" w:eastAsia="Times New Roman" w:hAnsi="Times" w:cs="Times"/>
                <w:sz w:val="20"/>
                <w:szCs w:val="20"/>
              </w:rPr>
              <w:lastRenderedPageBreak/>
              <w:t>Federal Railroad Administration</w:t>
            </w:r>
            <w:bookmarkEnd w:id="52"/>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2C02D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Passenger Equipment Safety Standards Amendments</w:t>
                  </w:r>
                </w:p>
              </w:tc>
              <w:tc>
                <w:tcPr>
                  <w:tcW w:w="360" w:type="dxa"/>
                  <w:tcBorders>
                    <w:top w:val="outset" w:sz="6" w:space="0" w:color="000000"/>
                    <w:left w:val="outset" w:sz="6" w:space="0" w:color="000000"/>
                    <w:bottom w:val="outset" w:sz="6" w:space="0" w:color="000000"/>
                    <w:right w:val="outset" w:sz="6" w:space="0" w:color="00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Black</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Safety Standards Amendments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2130-AC46</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10/05/2015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01/05/2016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01/15/2016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53" w:name="53"/>
            <w:r>
              <w:rPr>
                <w:rFonts w:ascii="Times" w:eastAsia="Times New Roman" w:hAnsi="Times" w:cs="Times"/>
                <w:sz w:val="20"/>
                <w:szCs w:val="20"/>
              </w:rPr>
              <w:lastRenderedPageBreak/>
              <w:t>Federal Railroad Administration</w:t>
            </w:r>
            <w:bookmarkEnd w:id="53"/>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2C02D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Black</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2130-AC48</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minimum requirements for the size of different train crew staffs depending on the type of operation. The minimum crew staffing requirements would reflect the safety risks posed to railroad employees, the general public, and the environment. This rulemaking would also establish minimum requirements for the roles and responsibilities of the second train crew member on a moving train, and promote safe and effective teamwork. Additionally, this rulemaking would permit a railroad to submit information to FRA and seek approval if it wants to continue an existing operation with a one-person train crew or start up an operation with less than two crew members.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09/09/2014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12/17/2014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01/05/2015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09/18/2015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54" w:name="54"/>
            <w:r>
              <w:rPr>
                <w:rFonts w:ascii="Times" w:eastAsia="Times New Roman" w:hAnsi="Times" w:cs="Times"/>
                <w:b/>
                <w:bCs/>
                <w:sz w:val="20"/>
                <w:szCs w:val="20"/>
              </w:rPr>
              <w:lastRenderedPageBreak/>
              <w:t>Federal Transit Administration</w:t>
            </w:r>
          </w:p>
        </w:tc>
      </w:tr>
      <w:tr w:rsidR="002C02DF">
        <w:trPr>
          <w:tblCellSpacing w:w="24" w:type="dxa"/>
        </w:trPr>
        <w:tc>
          <w:tcPr>
            <w:tcW w:w="0" w:type="auto"/>
            <w:gridSpan w:val="2"/>
            <w:vAlign w:val="center"/>
            <w:hideMark/>
          </w:tcPr>
          <w:p w:rsidR="002C02DF" w:rsidRDefault="00D23290">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4"/>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2C02D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Private Sector Participation</w:t>
                  </w:r>
                </w:p>
              </w:tc>
              <w:tc>
                <w:tcPr>
                  <w:tcW w:w="360" w:type="dxa"/>
                  <w:tcBorders>
                    <w:top w:val="outset" w:sz="6" w:space="0" w:color="008000"/>
                    <w:left w:val="outset" w:sz="6" w:space="0" w:color="008000"/>
                    <w:bottom w:val="outset" w:sz="6" w:space="0" w:color="008000"/>
                    <w:right w:val="outset" w:sz="6" w:space="0" w:color="008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Green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Sector Participation</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2132-AB06</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develop procedures to address the impediments to the private sector's participation in public transportation capital projects through public private partnerships (P3s) and private investment. It will also include procedures to ensure the protection of the public interest and public investment in public transportation projects involving private participants.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The Secretary shall issue a rule including procedures and approaches regarding private sector participation in public transportation projects : 10/01/2013</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09/23/2015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10/23/2015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01/27/2016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55" w:name="55"/>
            <w:r>
              <w:rPr>
                <w:rFonts w:ascii="Times" w:eastAsia="Times New Roman" w:hAnsi="Times" w:cs="Times"/>
                <w:sz w:val="20"/>
                <w:szCs w:val="20"/>
              </w:rPr>
              <w:lastRenderedPageBreak/>
              <w:t>Federal Transit Administration</w:t>
            </w:r>
            <w:bookmarkEnd w:id="55"/>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2C02D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Green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2132-AB07</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ANPRM has been consolidated with the ANPRM for the National and Public Transportation Agency Safety Plans. See 2132-AB20. This rule will establish a system for Transit Asset Management (TAM) for all operators of public transportation, for all modes of transportation throughout the United States. This national system will be based on the term ´State of Good Repair,´ to be developed through rulemaking, which will generate accurate data about the condition of the transit agencies´ assets, and performance measures for improving the conditions of those assets.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02/02/2015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03/11/2015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03/03/2015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06/18/2015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10/02/2015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08/10/2015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12/02/2015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56" w:name="56"/>
            <w:r>
              <w:rPr>
                <w:rFonts w:ascii="Times" w:eastAsia="Times New Roman" w:hAnsi="Times" w:cs="Times"/>
                <w:sz w:val="20"/>
                <w:szCs w:val="20"/>
              </w:rPr>
              <w:lastRenderedPageBreak/>
              <w:t>Federal Transit Administration</w:t>
            </w:r>
            <w:bookmarkEnd w:id="56"/>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2C02D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Green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2132-AB10</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05/23/2014;Publication Date 06/02/2014;End of Comment Period 09/02/2014.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replaced 49 USC 5303 and 5304, to require a continuing, comprehensive, and coordinated transportation planning and programming process in metropolitan areas, nonmetropolitan areas, and Statewide. The NPRM on Planning and Environmental Linkages (2132-AB21) has been merged with this rulemaking at the final rule stage. These provisions add an additional authority for the use of planning products in the environmental review process required under NEPA. Specifically, through this rulemaking, FHWA and FTA would interpret and implement MAP-21´s additional authority for FHWA and FTA to use planning products developed by States, MPOs, and other agencies during the transportation planning process in the environmental review process for a project.</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10/16/2015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57" w:name="57"/>
            <w:r>
              <w:rPr>
                <w:rFonts w:ascii="Times" w:eastAsia="Times New Roman" w:hAnsi="Times" w:cs="Times"/>
                <w:sz w:val="20"/>
                <w:szCs w:val="20"/>
              </w:rPr>
              <w:lastRenderedPageBreak/>
              <w:t>Federal Transit Administration</w:t>
            </w:r>
            <w:bookmarkEnd w:id="57"/>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2C02D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Black</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2132-AB11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FTA´s Bus Testing regulation (49 CFR part 665) to implement 49 USC section 5318, as amended by MAP-21, specifically, to establish a pass/fail standard and minimum safety performance standards pursuant to 49 USC 5329(b).</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11/06/2014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06/04/2015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06/04/2015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06/16/2015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02/16/2014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08/25/2015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7"/>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Federal Transit Administration</w:t>
            </w:r>
            <w:bookmarkEnd w:id="58"/>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2C02D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Black</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2132-AB16</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10/19/2015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59" w:name="59"/>
            <w:r>
              <w:rPr>
                <w:rFonts w:ascii="Times" w:eastAsia="Times New Roman" w:hAnsi="Times" w:cs="Times"/>
                <w:sz w:val="20"/>
                <w:szCs w:val="20"/>
              </w:rPr>
              <w:lastRenderedPageBreak/>
              <w:t>Federal Transit Administration</w:t>
            </w:r>
            <w:bookmarkEnd w:id="59"/>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2C02D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Green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2132-AB17</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;Publication Date ;End of Comment Period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60" w:name="60"/>
            <w:r>
              <w:rPr>
                <w:rFonts w:ascii="Times" w:eastAsia="Times New Roman" w:hAnsi="Times" w:cs="Times"/>
                <w:sz w:val="20"/>
                <w:szCs w:val="20"/>
              </w:rPr>
              <w:lastRenderedPageBreak/>
              <w:t>Federal Transit Administration</w:t>
            </w:r>
            <w:bookmarkEnd w:id="60"/>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2C02D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Green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2132-AB18</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61" w:name="61"/>
            <w:r>
              <w:rPr>
                <w:rFonts w:ascii="Times" w:eastAsia="Times New Roman" w:hAnsi="Times" w:cs="Times"/>
                <w:sz w:val="20"/>
                <w:szCs w:val="20"/>
              </w:rPr>
              <w:lastRenderedPageBreak/>
              <w:t>Federal Transit Administration</w:t>
            </w:r>
            <w:bookmarkEnd w:id="61"/>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2C02D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Green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2132-AB20</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will ultimately be broken into three separate rulemakings for the National Plan and the Agency Plans, and the training certification program. Transit Asset Management: See 2132-AB07.</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62" w:name="62"/>
            <w:r>
              <w:rPr>
                <w:rFonts w:ascii="Times" w:eastAsia="Times New Roman" w:hAnsi="Times" w:cs="Times"/>
                <w:sz w:val="20"/>
                <w:szCs w:val="20"/>
              </w:rPr>
              <w:lastRenderedPageBreak/>
              <w:t>Federal Transit Administration</w:t>
            </w:r>
            <w:bookmarkEnd w:id="62"/>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2C02D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Public Transportation Safety Program</w:t>
                  </w:r>
                </w:p>
              </w:tc>
              <w:tc>
                <w:tcPr>
                  <w:tcW w:w="360" w:type="dxa"/>
                  <w:tcBorders>
                    <w:top w:val="outset" w:sz="6" w:space="0" w:color="000000"/>
                    <w:left w:val="outset" w:sz="6" w:space="0" w:color="000000"/>
                    <w:bottom w:val="outset" w:sz="6" w:space="0" w:color="000000"/>
                    <w:right w:val="outset" w:sz="6" w:space="0" w:color="00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Black</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Public Transportation Safety Program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2132-AB22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National Public Transportation Safety Program (National Safety Program). The National Safety Program will serve as the umbrella rule for the several other safety rulemakings, including the Safety Certification Training Program, Transit Agency Safety Plan, and State Safety Oversight. This rule will also set out the rules of practice for enforcement and adjudication under the National Safety Program. This rule has been downgraded to nonsignificant and will not appear in next month's report.</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05/04/2015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10/16/2015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01/21/2016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63" w:name="63"/>
            <w:r>
              <w:rPr>
                <w:rFonts w:ascii="Times" w:eastAsia="Times New Roman" w:hAnsi="Times" w:cs="Times"/>
                <w:sz w:val="20"/>
                <w:szCs w:val="20"/>
              </w:rPr>
              <w:lastRenderedPageBreak/>
              <w:t>Federal Transit Administration</w:t>
            </w:r>
            <w:bookmarkEnd w:id="63"/>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2C02D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Public Transportation Agency Safety Plans</w:t>
                  </w:r>
                </w:p>
              </w:tc>
              <w:tc>
                <w:tcPr>
                  <w:tcW w:w="360" w:type="dxa"/>
                  <w:tcBorders>
                    <w:top w:val="outset" w:sz="6" w:space="0" w:color="000000"/>
                    <w:left w:val="outset" w:sz="6" w:space="0" w:color="000000"/>
                    <w:bottom w:val="outset" w:sz="6" w:space="0" w:color="000000"/>
                    <w:right w:val="outset" w:sz="6" w:space="0" w:color="00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Black</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Public Transportation Agency Safety Plans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2132-AB23</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 :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requirements for States or recipients to develop and implement individual agency safety plans. The requirements of this rulemaking will be based on the principles and concepts of Safety Management Systems (SMS). SMS is the formal, top-down, organization-wide approach to managing safety risks and assuring the effectiveness of a transit agency´s safety risk controls. SMS includes systematic procedures, practices, and policies for managing hazards and risks.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05/12/2015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09/11/2015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12/17/2015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64" w:name="64"/>
            <w:r>
              <w:rPr>
                <w:rFonts w:ascii="Times" w:eastAsia="Times New Roman" w:hAnsi="Times" w:cs="Times"/>
                <w:sz w:val="20"/>
                <w:szCs w:val="20"/>
              </w:rPr>
              <w:lastRenderedPageBreak/>
              <w:t>Federal Transit Administration</w:t>
            </w:r>
            <w:bookmarkEnd w:id="64"/>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2C02D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Proposed Interim Policy Guidance: Federal Transit Administration Capital Investment Grant Program</w:t>
                  </w:r>
                </w:p>
              </w:tc>
              <w:tc>
                <w:tcPr>
                  <w:tcW w:w="360" w:type="dxa"/>
                  <w:tcBorders>
                    <w:top w:val="outset" w:sz="6" w:space="0" w:color="000000"/>
                    <w:left w:val="outset" w:sz="6" w:space="0" w:color="000000"/>
                    <w:bottom w:val="outset" w:sz="6" w:space="0" w:color="000000"/>
                    <w:right w:val="outset" w:sz="6" w:space="0" w:color="00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Black</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CIG</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2132-ZA03</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Request for Comments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49 U.S.C. § 5309(g)(5) requires FTA to issue policy guidance regarding the review and evaluation process and criteria for the discretionary capital investment grant program each time FTA "makes significant changes to the process and criteria, but not less frequently than once every 2 years." Also, 49 U.S.C. § 5334(k) requires FTA to provide an opportunity for public notice-and-comment before issuing a substantive policy statement or guidance document that "effects a significant change in existing policy." This proposed interim policy guidance complies with both statutory mandates, and specifically, it provides guidance on the project development process for New Starts, Small Starts, and Core Capacity Improvement projects; the measures and breakpoints for the congestion relief criterion for New and Small Starts projects; the new evaluation and rating process for Core Capacity Improvement projects; and ways in which all types of capital investment projects can qualify for automatic ratings on various evaluation criteria through "warrants." This guidance is significant.</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02/12/2015</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Request for Comments: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Request for Comments:</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65" w:name="65"/>
            <w:r>
              <w:rPr>
                <w:rFonts w:ascii="Times" w:eastAsia="Times New Roman" w:hAnsi="Times" w:cs="Times"/>
                <w:b/>
                <w:bCs/>
                <w:sz w:val="20"/>
                <w:szCs w:val="20"/>
              </w:rPr>
              <w:lastRenderedPageBreak/>
              <w:t>Maritime Administration</w:t>
            </w:r>
          </w:p>
        </w:tc>
      </w:tr>
      <w:tr w:rsidR="002C02DF">
        <w:trPr>
          <w:tblCellSpacing w:w="24" w:type="dxa"/>
        </w:trPr>
        <w:tc>
          <w:tcPr>
            <w:tcW w:w="0" w:type="auto"/>
            <w:gridSpan w:val="2"/>
            <w:vAlign w:val="center"/>
            <w:hideMark/>
          </w:tcPr>
          <w:p w:rsidR="002C02DF" w:rsidRDefault="00D23290">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65"/>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Cargo Preference</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Cargo Preference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2133-AB74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regulations that have not been revised substantially since 1971. The rulemaking would also implement statutory changes, including Section 3511, P.L. 110-417, of The National Defense Authorization Act for FY 2009, which provides enforcement authority.</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10/16/2015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7"/>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r>
                    <w:rPr>
                      <w:rFonts w:ascii="Times" w:eastAsia="Times New Roman" w:hAnsi="Times" w:cs="Times"/>
                      <w:sz w:val="20"/>
                      <w:szCs w:val="20"/>
                    </w:rPr>
                    <w:br/>
                    <w:t>Awaiting development of additional data</w:t>
                  </w:r>
                  <w:r>
                    <w:rPr>
                      <w:rFonts w:ascii="Times" w:eastAsia="Times New Roman" w:hAnsi="Times" w:cs="Times"/>
                      <w:sz w:val="20"/>
                      <w:szCs w:val="20"/>
                    </w:rPr>
                    <w:br/>
                    <w:t>Additional coordination necessary</w:t>
                  </w:r>
                  <w:r>
                    <w:rPr>
                      <w:rFonts w:ascii="Times" w:eastAsia="Times New Roman" w:hAnsi="Times" w:cs="Times"/>
                      <w:sz w:val="20"/>
                      <w:szCs w:val="20"/>
                    </w:rPr>
                    <w:br/>
                    <w:t>Additional coordination needed for regulatory evaluation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66" w:name="66"/>
            <w:r>
              <w:rPr>
                <w:rFonts w:ascii="Times" w:eastAsia="Times New Roman" w:hAnsi="Times" w:cs="Times"/>
                <w:b/>
                <w:bCs/>
                <w:sz w:val="20"/>
                <w:szCs w:val="20"/>
              </w:rPr>
              <w:lastRenderedPageBreak/>
              <w:t>National Highway Traffic Safety Administration</w:t>
            </w:r>
          </w:p>
        </w:tc>
      </w:tr>
      <w:tr w:rsidR="002C02DF">
        <w:trPr>
          <w:tblCellSpacing w:w="24" w:type="dxa"/>
        </w:trPr>
        <w:tc>
          <w:tcPr>
            <w:tcW w:w="0" w:type="auto"/>
            <w:gridSpan w:val="2"/>
            <w:vAlign w:val="center"/>
            <w:hideMark/>
          </w:tcPr>
          <w:p w:rsidR="002C02DF" w:rsidRDefault="00D23290">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66"/>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2127-AK76</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67" w:name="67"/>
            <w:r>
              <w:rPr>
                <w:rFonts w:ascii="Times" w:eastAsia="Times New Roman" w:hAnsi="Times" w:cs="Times"/>
                <w:sz w:val="20"/>
                <w:szCs w:val="20"/>
              </w:rPr>
              <w:lastRenderedPageBreak/>
              <w:t>National Highway Traffic Safety Administration</w:t>
            </w:r>
            <w:bookmarkEnd w:id="67"/>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Mandatory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2127-AK86</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03/20/2016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09/29/2016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68" w:name="68"/>
            <w:r>
              <w:rPr>
                <w:rFonts w:ascii="Times" w:eastAsia="Times New Roman" w:hAnsi="Times" w:cs="Times"/>
                <w:sz w:val="20"/>
                <w:szCs w:val="20"/>
              </w:rPr>
              <w:lastRenderedPageBreak/>
              <w:t>National Highway Traffic Safety Administration</w:t>
            </w:r>
            <w:bookmarkEnd w:id="68"/>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2127-AK92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69" w:name="69"/>
            <w:r>
              <w:rPr>
                <w:rFonts w:ascii="Times" w:eastAsia="Times New Roman" w:hAnsi="Times" w:cs="Times"/>
                <w:sz w:val="20"/>
                <w:szCs w:val="20"/>
              </w:rPr>
              <w:lastRenderedPageBreak/>
              <w:t>National Highway Traffic Safety Administration</w:t>
            </w:r>
            <w:bookmarkEnd w:id="69"/>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Sound for Hybrid and Electric Vehicles</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2127-AK93</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5"/>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12/17/2015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70" w:name="70"/>
            <w:r>
              <w:rPr>
                <w:rFonts w:ascii="Times" w:eastAsia="Times New Roman" w:hAnsi="Times" w:cs="Times"/>
                <w:sz w:val="20"/>
                <w:szCs w:val="20"/>
              </w:rPr>
              <w:lastRenderedPageBreak/>
              <w:t>National Highway Traffic Safety Administration</w:t>
            </w:r>
            <w:bookmarkEnd w:id="70"/>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Establish Side Impact Performance Requirements for Child Restraint Systems (MAP-21)</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2127-AK95</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04/20/2016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01/26/2017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04/25/2017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04/30/2017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06/30/2017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71" w:name="71"/>
            <w:r>
              <w:rPr>
                <w:rFonts w:ascii="Times" w:eastAsia="Times New Roman" w:hAnsi="Times" w:cs="Times"/>
                <w:sz w:val="20"/>
                <w:szCs w:val="20"/>
              </w:rPr>
              <w:lastRenderedPageBreak/>
              <w:t>National Highway Traffic Safety Administration</w:t>
            </w:r>
            <w:bookmarkEnd w:id="71"/>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Motorcoach Rollover Structural Integrity (MAP-21)</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Motorcoach Rollover Structural Integrity</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2127-AK96</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01/24/2016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02/28/2016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05/27/2016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72" w:name="72"/>
            <w:r>
              <w:rPr>
                <w:rFonts w:ascii="Times" w:eastAsia="Times New Roman" w:hAnsi="Times" w:cs="Times"/>
                <w:sz w:val="20"/>
                <w:szCs w:val="20"/>
              </w:rPr>
              <w:lastRenderedPageBreak/>
              <w:t>National Highway Traffic Safety Administration</w:t>
            </w:r>
            <w:bookmarkEnd w:id="72"/>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2127-AL01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73" w:name="73"/>
            <w:r>
              <w:rPr>
                <w:rFonts w:ascii="Times" w:eastAsia="Times New Roman" w:hAnsi="Times" w:cs="Times"/>
                <w:sz w:val="20"/>
                <w:szCs w:val="20"/>
              </w:rPr>
              <w:lastRenderedPageBreak/>
              <w:t>National Highway Traffic Safety Administration</w:t>
            </w:r>
            <w:bookmarkEnd w:id="73"/>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2C02D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Green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2127-AL30</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proceeded with an expedited rulemaking by taking a two-pronged approach. First, on, October 5, 2012, NHTSA issued a non-significant notice of proposed rulemaking (NPRM) for the minimum requirements for the GDL grant (RIN 2127-AL29). NHTSA then incorporated the GDL provisions, including addressing comments in response to the NPRM, into the Interim Final Rule for all of the grants.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74" w:name="74"/>
            <w:r>
              <w:rPr>
                <w:rFonts w:ascii="Times" w:eastAsia="Times New Roman" w:hAnsi="Times" w:cs="Times"/>
                <w:sz w:val="20"/>
                <w:szCs w:val="20"/>
              </w:rPr>
              <w:lastRenderedPageBreak/>
              <w:t>National Highway Traffic Safety Administration</w:t>
            </w:r>
            <w:bookmarkEnd w:id="74"/>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2C02D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Rear Seat Belt Reminder System</w:t>
                  </w:r>
                </w:p>
              </w:tc>
              <w:tc>
                <w:tcPr>
                  <w:tcW w:w="360" w:type="dxa"/>
                  <w:tcBorders>
                    <w:top w:val="outset" w:sz="6" w:space="0" w:color="000000"/>
                    <w:left w:val="outset" w:sz="6" w:space="0" w:color="000000"/>
                    <w:bottom w:val="outset" w:sz="6" w:space="0" w:color="000000"/>
                    <w:right w:val="outset" w:sz="6" w:space="0" w:color="00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Black</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Seat Belt Reminder System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2127-AL37</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Safety Standard No. 208, Occupant Crash Protection, to require automobile manufacturers to install a seat belt reminder system for the front passenger and rear designated seating positions in passenger vehicles. The seat belt reminder system is intended to increase belt usage and thereby improve the crash protection of vehicle occupants who would otherwise have been unbelted. This rulemaking would respond in part to a petition for rulemaking submitted by Public Citizen and Advocates for Highway and Auto Safety, as well as to requirements in MAP-21.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 10/01/2014</w:t>
                  </w:r>
                  <w:r>
                    <w:rPr>
                      <w:rFonts w:ascii="Times" w:eastAsia="Times New Roman" w:hAnsi="Times" w:cs="Times"/>
                      <w:sz w:val="20"/>
                      <w:szCs w:val="20"/>
                    </w:rPr>
                    <w:br/>
                    <w:t>Final Rule : 10/01/2015</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06/28/2016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75" w:name="75"/>
            <w:r>
              <w:rPr>
                <w:rFonts w:ascii="Times" w:eastAsia="Times New Roman" w:hAnsi="Times" w:cs="Times"/>
                <w:sz w:val="20"/>
                <w:szCs w:val="20"/>
              </w:rPr>
              <w:lastRenderedPageBreak/>
              <w:t>National Highway Traffic Safety Administration</w:t>
            </w:r>
            <w:bookmarkEnd w:id="75"/>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2C02D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Fuel Efficiency Standards for Medium- and Heavy-Duty Vehicles and Work Trucks: Phase 2</w:t>
                  </w:r>
                </w:p>
              </w:tc>
              <w:tc>
                <w:tcPr>
                  <w:tcW w:w="360" w:type="dxa"/>
                  <w:tcBorders>
                    <w:top w:val="outset" w:sz="6" w:space="0" w:color="000000"/>
                    <w:left w:val="outset" w:sz="6" w:space="0" w:color="000000"/>
                    <w:bottom w:val="outset" w:sz="6" w:space="0" w:color="000000"/>
                    <w:right w:val="outset" w:sz="6" w:space="0" w:color="00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Black</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Cafe Phase 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2127-AL52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fuel efficiency standards for medium- and heavy-duty on-highway vehicles and work trucks for model years beyond 2018. This rulemaking would respond to requirements of the Energy Independence and Security Act of 2007 (EISA), Title 1, Subtitle A, Sections 102 and 108, as they amend 49 USC § 32902, which was signed into law December 19, 2007. The statute requires that NHTSA establish a medium- and heavy-duty on-highway vehicle and work truck fuel efficiency improvement program that achieves the maximum feasible improvement, including standards that are appropriate, cost-effective, and technologically feasible. The law requires that the new standards provide at least 4 full model years of regulatory lead-time and 3 full model years of regulatory stability (i.e., the standards must remain in effect for 3 years before they may be amended). This action would follow the first ever Greenhouse Gas Emissions Standards and Fuel Efficiency Standards for Medium- and Heavy-Duty Engines and Vehicles ("Phase 1") (76 FR 57106, September 15, 2011). In June, 2013, the President's Climate Action Plan called for the Department of Transportation to develop fuel efficiency standards and the Environmental Protection Agency to develop greenhouse gas emission standards in joint rulemaking within the President's second term. In February, 2014, the President directed DOT and EPA to complete the second phase of Greenhouse Gas Emissions Standards and Fuel Efficiency Standards for Medium- and Heavy-Duty Engines and Vehicles during his second term.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11/23/2014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06/18/2015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40138</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76" w:name="76"/>
            <w:r>
              <w:rPr>
                <w:rFonts w:ascii="Times" w:eastAsia="Times New Roman" w:hAnsi="Times" w:cs="Times"/>
                <w:sz w:val="20"/>
                <w:szCs w:val="20"/>
              </w:rPr>
              <w:lastRenderedPageBreak/>
              <w:t>National Highway Traffic Safety Administration</w:t>
            </w:r>
            <w:bookmarkEnd w:id="76"/>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2C02D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Black</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2127-AL55</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V2V communications uses on-board dedicated short-range radio communication (DSRC) devices to broadcast messages about a vehicle's speed, heading, brake status, and other information to other vehicles and receive the same information from the messages, with extended range and ´line-of-sight´ capabilities. V2V's enhanced detection distance and ability to ´see´ around corners or "through" other vehicles helps V2V-equipped vehicles uniquely perceive some threats and warn their drivers accordingly. V2V technology can also be fused with vehicle-resident technologies to potentially provide greater benefits than either approach alone. V2V can augment vehicle-resident systems by acting as a complete system, extending the ability of the overall safety system to address other crash scenarios not covered by V2V communications, such as lane and road departure. Additionally, V2V communication is currently perceived to become a foundational aspect of vehicle automation.</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77" w:name="77"/>
            <w:r>
              <w:rPr>
                <w:rFonts w:ascii="Times" w:eastAsia="Times New Roman" w:hAnsi="Times" w:cs="Times"/>
                <w:sz w:val="20"/>
                <w:szCs w:val="20"/>
              </w:rPr>
              <w:lastRenderedPageBreak/>
              <w:t>National Highway Traffic Safety Administration</w:t>
            </w:r>
            <w:bookmarkEnd w:id="77"/>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2C02D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Rear Impact Guards and Other Safety Strategies for Single Unit Trucks</w:t>
                  </w:r>
                </w:p>
              </w:tc>
              <w:tc>
                <w:tcPr>
                  <w:tcW w:w="360" w:type="dxa"/>
                  <w:tcBorders>
                    <w:top w:val="outset" w:sz="6" w:space="0" w:color="000000"/>
                    <w:left w:val="outset" w:sz="6" w:space="0" w:color="000000"/>
                    <w:bottom w:val="outset" w:sz="6" w:space="0" w:color="000000"/>
                    <w:right w:val="outset" w:sz="6" w:space="0" w:color="00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Black</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Impact Guards for Single Unit Trucks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2127-AL57</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requirements for rear impact guards and other safety strategies on single unit trucks to mitigate underride crashes into the rear of single unit trucks. This rulemaking would respond, in part, to a petition for rulemaking from the Insurance Institute for Highway Safety and another from Mrs. Karth and the Truck Safety Coalition regarding improved rear impact guards for single unit trucks, as outlined in the July 10, 2014 grant of the petition.</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09/03/2014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04/10/2015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07/15/2015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07/23/2015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09/18/2015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78" w:name="78"/>
            <w:r>
              <w:rPr>
                <w:rFonts w:ascii="Times" w:eastAsia="Times New Roman" w:hAnsi="Times" w:cs="Times"/>
                <w:b/>
                <w:bCs/>
                <w:sz w:val="20"/>
                <w:szCs w:val="20"/>
              </w:rPr>
              <w:lastRenderedPageBreak/>
              <w:t>Office of the Secretary</w:t>
            </w:r>
          </w:p>
        </w:tc>
      </w:tr>
      <w:tr w:rsidR="002C02DF">
        <w:trPr>
          <w:tblCellSpacing w:w="24" w:type="dxa"/>
        </w:trPr>
        <w:tc>
          <w:tcPr>
            <w:tcW w:w="0" w:type="auto"/>
            <w:gridSpan w:val="2"/>
            <w:vAlign w:val="center"/>
            <w:hideMark/>
          </w:tcPr>
          <w:p w:rsidR="002C02DF" w:rsidRDefault="00D23290">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78"/>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2105-AE06</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08/26/2014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01/07/2016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79" w:name="79"/>
            <w:r>
              <w:rPr>
                <w:rFonts w:ascii="Times" w:eastAsia="Times New Roman" w:hAnsi="Times" w:cs="Times"/>
                <w:sz w:val="20"/>
                <w:szCs w:val="20"/>
              </w:rPr>
              <w:lastRenderedPageBreak/>
              <w:t>Office of the Secretary</w:t>
            </w:r>
            <w:bookmarkEnd w:id="79"/>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Airline Pricing Transparency and Other Consumer Protection Issues</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2105-AE11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05/23/14; End of Extended C/P: 09/09/14.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is seeking comment on a number of proposals to enhance protections for air travelers and to improve the air travel environment, including a proposal to clarify and codify the Department's interpretation of the statutory definition of "ticket agent." This NPRM would also require airlines and ticket agents to disclose at all points of sale the fees for certain basic ancillary services associated with the air transportation consumers are buying or considering buying. Other proposals in this NPRM to enhance airline passenger protections include: expanding the pool of "reporting" carriers; requiring enhanced reporting by mainline carriers for their domestic code-share partner operations; requiring large travel agents to adopt minimum customer service standards; codifying the statutory requirement that carriers and ticket agents disclose any code-share arrangements on their websites; and prohibiting unfair and deceptive practices such as undisclosed biasing and post-purchase price increases. The Department is also considering whether to require ticket agents to disclose the carriers whose tickets they sell in order to avoid having consumers mistakenly believe they are searching all possible flight options for a particular city-pair market when in fact there may be other options available. Additionally, this NPRM would correct drafting errors and make minor changes to the Department's second Enhancing Airline Passenger Protections rule to conform to guidance issued by the Department's Office of Aviation Enforcement and Proceedings (Enforcement Office) regarding its interpretation of the rule.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12/10/2015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04/20/2016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80" w:name="80"/>
            <w:r>
              <w:rPr>
                <w:rFonts w:ascii="Times" w:eastAsia="Times New Roman" w:hAnsi="Times" w:cs="Times"/>
                <w:sz w:val="20"/>
                <w:szCs w:val="20"/>
              </w:rPr>
              <w:lastRenderedPageBreak/>
              <w:t>Office of the Secretary</w:t>
            </w:r>
            <w:bookmarkEnd w:id="80"/>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Carrier-Supplied Medical Oxygen, Service Animals, Accessible Lavatories on Single-Aisle Aircraft,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Medical Oxygen and other ACAA issues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2105-AE12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SNPRM: Publication Approved ;Publication Date ;End of Comment Period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third of three supplemental notices of proposed rulemaking (SNPRM) to follow-up on air travel accessibility issues discussed in the preamble of the 2008 Air Carrier Access Act (ACAA) final rule. (The first SNPRM is RIN 2105-AD96; the second is RIN 2105-AE32.) This rulemaking action would consider (1) whether carriers should be required to supply in-flight medical oxygen for a fee to passengers who require it to access air transportation; (2) whether any safety-related reasons specific to foreign carriers may preclude the carriage of service animals other than dogs on their flights and whether certain changes should be made to provisions allowing carriers to require medical documentation and 48 hours advance notice from users of emotional support and psychiatric service animals; (3) whether carriers should be required to provide accessible lavatories on certain new single-aisle aircraft; (4) whether carriers should be required to report to the Department annually the number of requests for disability assistance they receive; and (5) whether to broaden the scope of passengers with disabilities who must be afforded seats with extra leg room, and whether carriers should be required to provide seating accommodations with extra leg room in all classes of service. The proposed rule would also clarify certain existing requirements pertaining to the carriage of service animals.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06/27/2011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07/30/2011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01/27/2016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07/11/2016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7"/>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r>
                    <w:rPr>
                      <w:rFonts w:ascii="Times" w:eastAsia="Times New Roman" w:hAnsi="Times" w:cs="Times"/>
                      <w:sz w:val="20"/>
                      <w:szCs w:val="20"/>
                    </w:rPr>
                    <w:br/>
                    <w:t>Additional research and data analysis necessary.</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81" w:name="81"/>
            <w:r>
              <w:rPr>
                <w:rFonts w:ascii="Times" w:eastAsia="Times New Roman" w:hAnsi="Times" w:cs="Times"/>
                <w:sz w:val="20"/>
                <w:szCs w:val="20"/>
              </w:rPr>
              <w:lastRenderedPageBreak/>
              <w:t>Office of the Secretary</w:t>
            </w:r>
            <w:bookmarkEnd w:id="81"/>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2C02D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Black</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2105-AE29</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 :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Department´s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10/03/2015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11/03/2015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82" w:name="82"/>
            <w:r>
              <w:rPr>
                <w:rFonts w:ascii="Times" w:eastAsia="Times New Roman" w:hAnsi="Times" w:cs="Times"/>
                <w:sz w:val="20"/>
                <w:szCs w:val="20"/>
              </w:rPr>
              <w:lastRenderedPageBreak/>
              <w:t>Office of the Secretary</w:t>
            </w:r>
            <w:bookmarkEnd w:id="82"/>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2C02D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Use of Mobile Wireless Devices for Voice Calls on Aircraft</w:t>
                  </w:r>
                </w:p>
              </w:tc>
              <w:tc>
                <w:tcPr>
                  <w:tcW w:w="360" w:type="dxa"/>
                  <w:tcBorders>
                    <w:top w:val="outset" w:sz="6" w:space="0" w:color="000000"/>
                    <w:left w:val="outset" w:sz="6" w:space="0" w:color="000000"/>
                    <w:bottom w:val="outset" w:sz="6" w:space="0" w:color="000000"/>
                    <w:right w:val="outset" w:sz="6" w:space="0" w:color="00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Black</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2105-AE30</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02/24/2014; End of Comment Period 03/26/2014.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 (DOT or Department) is seeking comment on whether it should adopt a rule to restrict voice communications on passengers´ mobile wireless devices on scheduled flights within, to and from the United States. The Federal Communications Commission (FCC) recently issued a notice of proposed rulemaking that if adopted would, among other things, create a pathway for airlines to permit the use of cellphones or other mobile wireless devices to make or receive calls on board aircraft. DOT supports the FCC´s proposal to revise its rules in light of the technology available and to expand access to mobile wireless data services on board aircraft; however, under the Department´s aviation consumer protection authority and because of concerns raised, we are seeking comment on whether to ban voice calls on aircraft.</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11/09/2015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7"/>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83" w:name="83"/>
            <w:r>
              <w:rPr>
                <w:rFonts w:ascii="Times" w:eastAsia="Times New Roman" w:hAnsi="Times" w:cs="Times"/>
                <w:sz w:val="20"/>
                <w:szCs w:val="20"/>
              </w:rPr>
              <w:lastRenderedPageBreak/>
              <w:t>Office of the Secretary</w:t>
            </w:r>
            <w:bookmarkEnd w:id="83"/>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2C02D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Black</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2105-AE31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Department bifurcated its rulemaking on reporting of airline ancillary passenger revenue into two separate rules – one rule to address computation of mishandled baggage and wheelchair rates (2104-AE41), and this rule to address reporting of airline ancillary passenger revenues (2105-AE31). These rulemakings were split into two separate rules as they address unrelated matters and splitting these rules apart makes it easier for the public to search for a particular topic embodied by each separate rule. Additionally, any delays in finalizing one issue would not unnecessarily cause a delay in the other. The Consolidated Appropriations Act, 2014 (P.L. 113-76) transferred the powers and duties, functions, authorities and personnel of the Research and Innovative Technology Administration (RITA) to the Office of the Assistant Secretary for Research and Technology (OST-R) in the Office of the Secretary. This rulemaking replaces RIN 2139-AA13.</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10/14/2015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02/25/2016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84" w:name="84"/>
            <w:r>
              <w:rPr>
                <w:rFonts w:ascii="Times" w:eastAsia="Times New Roman" w:hAnsi="Times" w:cs="Times"/>
                <w:sz w:val="20"/>
                <w:szCs w:val="20"/>
              </w:rPr>
              <w:lastRenderedPageBreak/>
              <w:t>Office of the Secretary</w:t>
            </w:r>
            <w:bookmarkEnd w:id="84"/>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2C02D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Accessible In-Flight Entertainment</w:t>
                  </w:r>
                </w:p>
              </w:tc>
              <w:tc>
                <w:tcPr>
                  <w:tcW w:w="360" w:type="dxa"/>
                  <w:tcBorders>
                    <w:top w:val="outset" w:sz="6" w:space="0" w:color="000000"/>
                    <w:left w:val="outset" w:sz="6" w:space="0" w:color="000000"/>
                    <w:bottom w:val="outset" w:sz="6" w:space="0" w:color="000000"/>
                    <w:right w:val="outset" w:sz="6" w:space="0" w:color="00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Black</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2105-AE32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three supplemental notices of proposed rulemaking (SNPRM) to follow-up on air travel accessibility issues discussed in the preamble of the 2008 final Air Carrier Access Act (ACAA) final rule. (The first SNPRM is RIN 2105-AD96, the third is RIN 2105-AE12.) This rulemaking action would consider whether carriers should be required to ensure that the same in-flight entertainment available to all passengers is accessible to passengers with disabilities.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06/18/2014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01/27/2016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11/26/2014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07/11/2016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85" w:name="85"/>
            <w:r>
              <w:rPr>
                <w:rFonts w:ascii="Times" w:eastAsia="Times New Roman" w:hAnsi="Times" w:cs="Times"/>
                <w:sz w:val="20"/>
                <w:szCs w:val="20"/>
              </w:rPr>
              <w:lastRenderedPageBreak/>
              <w:t>Office of the Secretary</w:t>
            </w:r>
            <w:bookmarkEnd w:id="85"/>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2C02D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Adoption of Governmentwide Uniform Administrative Requirements, Cost Principles, and Audit Requirements for Federal Awards</w:t>
                  </w:r>
                </w:p>
              </w:tc>
              <w:tc>
                <w:tcPr>
                  <w:tcW w:w="360" w:type="dxa"/>
                  <w:tcBorders>
                    <w:top w:val="outset" w:sz="6" w:space="0" w:color="000000"/>
                    <w:left w:val="outset" w:sz="6" w:space="0" w:color="000000"/>
                    <w:bottom w:val="outset" w:sz="6" w:space="0" w:color="000000"/>
                    <w:right w:val="outset" w:sz="6" w:space="0" w:color="00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Black</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Administrative Requirements for Federal Awards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2105-AE33</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DOT will adopt OMB´s revised government-wide Uniform Administrative Requirements, Cost Principles, and Audit Requirements for Federal awards to non-Federal entities. These revisions are a key component of a larger Federal effort to more effectively focus Federal resources on improving performance and outcomes, while ensuring the financial integrity of taxpayer dollars in partnership with non-Federal stakeholders.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03/20/2014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05/29/2014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05/30/2014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12/03/2014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12/19/2014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79 FR 75867</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86" w:name="86"/>
            <w:r>
              <w:rPr>
                <w:rFonts w:ascii="Times" w:eastAsia="Times New Roman" w:hAnsi="Times" w:cs="Times"/>
                <w:sz w:val="20"/>
                <w:szCs w:val="20"/>
              </w:rPr>
              <w:lastRenderedPageBreak/>
              <w:t>Office of the Secretary</w:t>
            </w:r>
            <w:bookmarkEnd w:id="86"/>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2C02D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Reporting of Statistics For Mishandled Baggage and Wheelchairs</w:t>
                  </w:r>
                </w:p>
              </w:tc>
              <w:tc>
                <w:tcPr>
                  <w:tcW w:w="360" w:type="dxa"/>
                  <w:tcBorders>
                    <w:top w:val="outset" w:sz="6" w:space="0" w:color="000000"/>
                    <w:left w:val="outset" w:sz="6" w:space="0" w:color="000000"/>
                    <w:bottom w:val="outset" w:sz="6" w:space="0" w:color="000000"/>
                    <w:right w:val="outset" w:sz="6" w:space="0" w:color="00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Black</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of Statistics For Mishandled Baggage/WC</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2105-AE41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way the Department computes mishandled baggage rates from mishandled baggage reports per domestic enplanement to mishandled bags per checked bags. It also addresses the data gap for mishandled wheelchairs and scooters used by passengers with disabilities. The Department bifurcated its rulemaking on reporting of airline ancillary passenger revenue into two separate rules – this rule to address computation of mishandled baggage and wheelchair rates (2104-AE41), and the another rule to address reporting of airline ancillary passenger revenues (2105-AE31). These rulemakings were split into two separate rules as they address unrelated matters and splitting these rules apart makes it easier for the public to search for a particular topic embodied by each separate rule. Additionally, any delays in finalizing one issue would not unnecessarily cause a delay in the other.</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05/08/2015</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87" w:name="87"/>
            <w:r>
              <w:rPr>
                <w:rFonts w:ascii="Times" w:eastAsia="Times New Roman" w:hAnsi="Times" w:cs="Times"/>
                <w:b/>
                <w:bCs/>
                <w:sz w:val="20"/>
                <w:szCs w:val="20"/>
              </w:rPr>
              <w:lastRenderedPageBreak/>
              <w:t>Pipeline and Hazardous Materials Safety Administration</w:t>
            </w:r>
          </w:p>
        </w:tc>
      </w:tr>
      <w:tr w:rsidR="002C02DF">
        <w:trPr>
          <w:tblCellSpacing w:w="24" w:type="dxa"/>
        </w:trPr>
        <w:tc>
          <w:tcPr>
            <w:tcW w:w="0" w:type="auto"/>
            <w:gridSpan w:val="2"/>
            <w:vAlign w:val="center"/>
            <w:hideMark/>
          </w:tcPr>
          <w:p w:rsidR="002C02DF" w:rsidRDefault="00D23290">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87"/>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Hazardous Materials: Safety Requirements for External Product Piping on Cargo Tanks Transporting Flammable Liquids (Wetlines) (MAP-21)</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Wetlines (MAP-21)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2137-AE53</w:t>
            </w:r>
          </w:p>
        </w:tc>
      </w:tr>
      <w:tr w:rsidR="002C02DF">
        <w:trPr>
          <w:tblCellSpacing w:w="24" w:type="dxa"/>
        </w:trPr>
        <w:tc>
          <w:tcPr>
            <w:tcW w:w="0" w:type="auto"/>
            <w:gridSpan w:val="2"/>
            <w:vAlign w:val="center"/>
            <w:hideMark/>
          </w:tcPr>
          <w:p w:rsidR="002C02DF" w:rsidRDefault="00D92F9A" w:rsidP="00614532">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t>
            </w:r>
            <w:r w:rsidR="00614532">
              <w:rPr>
                <w:rFonts w:ascii="Times" w:eastAsia="Times New Roman" w:hAnsi="Times" w:cs="Times"/>
                <w:sz w:val="20"/>
                <w:szCs w:val="20"/>
              </w:rPr>
              <w:t>Withdrawal</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1/27/2011; C/P closed 3/28/2011. Extension of C/P published 3/17/2011; C/P closed 4/27/2011.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amend the Hazardous Materials Regulations to prohibit flammable liquids (wetlines) from being transported in unprotected product piping on existing and newly manufactured DOT specification cargo tank motor vehicles. The GAO completed an audit on wetlines-related issues and published the final report on 9/11/13. PHMSA is analyzing the safety and economic impacts associated with the final rule based on GAOs findings. Based on the findings of its analysis, the agency will withdraw the proposed rule.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 xml:space="preserve">Dates for </w:t>
            </w:r>
            <w:r w:rsidR="00614532">
              <w:rPr>
                <w:rFonts w:ascii="Times" w:eastAsia="Times New Roman" w:hAnsi="Times" w:cs="Times"/>
                <w:b/>
                <w:bCs/>
                <w:sz w:val="20"/>
                <w:szCs w:val="20"/>
              </w:rPr>
              <w:t>Withdrawal</w:t>
            </w:r>
            <w:r>
              <w:rPr>
                <w:rFonts w:ascii="Times" w:eastAsia="Times New Roman" w:hAnsi="Times" w:cs="Times"/>
                <w:b/>
                <w:bCs/>
                <w:sz w:val="20"/>
                <w:szCs w:val="20"/>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E523E" w:rsidRPr="00FE523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E523E" w:rsidRPr="00FE523E" w:rsidRDefault="00FE523E" w:rsidP="00D23290">
                  <w:pPr>
                    <w:framePr w:hSpace="36" w:wrap="around" w:vAnchor="text" w:hAnchor="text"/>
                    <w:rPr>
                      <w:sz w:val="20"/>
                    </w:rPr>
                  </w:pPr>
                  <w:r w:rsidRPr="00FE523E">
                    <w:rPr>
                      <w:sz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FE523E" w:rsidRPr="00FE523E" w:rsidRDefault="00FE523E" w:rsidP="00D23290">
                  <w:pPr>
                    <w:framePr w:hSpace="36" w:wrap="around" w:vAnchor="text" w:hAnchor="text"/>
                    <w:rPr>
                      <w:sz w:val="20"/>
                    </w:rPr>
                  </w:pPr>
                  <w:r w:rsidRPr="00FE523E">
                    <w:rPr>
                      <w:sz w:val="20"/>
                    </w:rPr>
                    <w:t xml:space="preserve">05/11/2012 </w:t>
                  </w:r>
                </w:p>
              </w:tc>
              <w:tc>
                <w:tcPr>
                  <w:tcW w:w="1200" w:type="dxa"/>
                  <w:tcBorders>
                    <w:top w:val="outset" w:sz="6" w:space="0" w:color="auto"/>
                    <w:left w:val="outset" w:sz="6" w:space="0" w:color="auto"/>
                    <w:bottom w:val="outset" w:sz="6" w:space="0" w:color="auto"/>
                    <w:right w:val="outset" w:sz="6" w:space="0" w:color="auto"/>
                  </w:tcBorders>
                  <w:hideMark/>
                </w:tcPr>
                <w:p w:rsidR="00FE523E" w:rsidRPr="00FE523E" w:rsidRDefault="00FE523E" w:rsidP="00D23290">
                  <w:pPr>
                    <w:framePr w:hSpace="36" w:wrap="around" w:vAnchor="text" w:hAnchor="text"/>
                    <w:rPr>
                      <w:sz w:val="20"/>
                    </w:rPr>
                  </w:pPr>
                  <w:r w:rsidRPr="00FE523E">
                    <w:rPr>
                      <w:sz w:val="20"/>
                    </w:rPr>
                    <w:t xml:space="preserve">10/21/2015 </w:t>
                  </w:r>
                </w:p>
              </w:tc>
              <w:tc>
                <w:tcPr>
                  <w:tcW w:w="1200" w:type="dxa"/>
                  <w:tcBorders>
                    <w:top w:val="outset" w:sz="6" w:space="0" w:color="auto"/>
                    <w:left w:val="outset" w:sz="6" w:space="0" w:color="auto"/>
                    <w:bottom w:val="outset" w:sz="6" w:space="0" w:color="auto"/>
                    <w:right w:val="outset" w:sz="6" w:space="0" w:color="auto"/>
                  </w:tcBorders>
                  <w:hideMark/>
                </w:tcPr>
                <w:p w:rsidR="00FE523E" w:rsidRPr="00FE523E" w:rsidRDefault="00FE523E" w:rsidP="00D23290">
                  <w:pPr>
                    <w:framePr w:hSpace="36" w:wrap="around" w:vAnchor="text" w:hAnchor="text"/>
                    <w:rPr>
                      <w:sz w:val="20"/>
                    </w:rPr>
                  </w:pPr>
                  <w:r w:rsidRPr="00FE523E">
                    <w:rPr>
                      <w:sz w:val="20"/>
                    </w:rPr>
                    <w:t xml:space="preserve">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FE523E"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Effective Date</w:t>
                  </w:r>
                  <w:r w:rsidR="00D92F9A">
                    <w:rPr>
                      <w:rFonts w:ascii="Times" w:eastAsia="Times New Roman" w:hAnsi="Times" w:cs="Times"/>
                      <w:sz w:val="20"/>
                      <w:szCs w:val="20"/>
                    </w:rPr>
                    <w:t xml:space="preserv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05/11/2012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rsidP="00614532">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t>
            </w:r>
            <w:r w:rsidR="00614532">
              <w:rPr>
                <w:rFonts w:ascii="Times" w:eastAsia="Times New Roman" w:hAnsi="Times" w:cs="Times"/>
                <w:b/>
                <w:bCs/>
                <w:sz w:val="20"/>
                <w:szCs w:val="20"/>
              </w:rPr>
              <w:t>Withdrawal</w:t>
            </w:r>
            <w:r>
              <w:rPr>
                <w:rFonts w:ascii="Times" w:eastAsia="Times New Roman" w:hAnsi="Times" w:cs="Times"/>
                <w:b/>
                <w:bCs/>
                <w:sz w:val="20"/>
                <w:szCs w:val="20"/>
              </w:rPr>
              <w:t>:</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88" w:name="88"/>
            <w:r>
              <w:rPr>
                <w:rFonts w:ascii="Times" w:eastAsia="Times New Roman" w:hAnsi="Times" w:cs="Times"/>
                <w:sz w:val="20"/>
                <w:szCs w:val="20"/>
              </w:rPr>
              <w:lastRenderedPageBreak/>
              <w:t>Pipeline and Hazardous Materials Safety Administration</w:t>
            </w:r>
            <w:bookmarkEnd w:id="88"/>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2137-AE66</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Comment Period 01/18/2011; Extension of Comment Period 01/04/2011; End of Extended Comment Period 02/18/2011.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use to improve the protection of High Consequence Areas (HCA) and other vulnerable areas along their hazardous liquid onshore pipelines. PHMSA is considering whether changes are needed to the regulations covering hazardous liquid onshore pipelines, whether other areas should be included as HCAs for integrity management (IM) protections, what the repair timeframes should be for areas outside the HCAs that are assessed as part of the IM program, whether leak detection standards are necessary, valve spacing requirements are needed on new construction or existing pipelines, and PHMSA should extend regulation to certain pipelines currently exempt from regulation. The agency would also address the public safety and environmental aspects any new requirements, as well as the cost implications and regulatory burden.</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10/04/2013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12/05/2013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C-1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02/21/2014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S-1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03/07/2014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05/01/2014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10/02/2015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12/02/2015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89" w:name="89"/>
            <w:r>
              <w:rPr>
                <w:rFonts w:ascii="Times" w:eastAsia="Times New Roman" w:hAnsi="Times" w:cs="Times"/>
                <w:sz w:val="20"/>
                <w:szCs w:val="20"/>
              </w:rPr>
              <w:lastRenderedPageBreak/>
              <w:t>Pipeline and Hazardous Materials Safety Administration</w:t>
            </w:r>
            <w:bookmarkEnd w:id="89"/>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Excess Flow Valves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2137-AE71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 NPRM 7/15/2015 NPRM: Publication Approved 07/10/2015;Publication Date 07/15/2015;End of Comment Period 09/14/2015.</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784"/>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Section 22 2011 PSA : 01/03/2014</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09/03/2016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01/03/2017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01/17/2017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90" w:name="90"/>
            <w:r>
              <w:rPr>
                <w:rFonts w:ascii="Times" w:eastAsia="Times New Roman" w:hAnsi="Times" w:cs="Times"/>
                <w:sz w:val="20"/>
                <w:szCs w:val="20"/>
              </w:rPr>
              <w:lastRenderedPageBreak/>
              <w:t>Pipeline and Hazardous Materials Safety Administration</w:t>
            </w:r>
            <w:bookmarkEnd w:id="90"/>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2C02D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Pipeline Safety: Gas Transmission</w:t>
                  </w:r>
                </w:p>
              </w:tc>
              <w:tc>
                <w:tcPr>
                  <w:tcW w:w="360" w:type="dxa"/>
                  <w:tcBorders>
                    <w:top w:val="outset" w:sz="6" w:space="0" w:color="FF0000"/>
                    <w:left w:val="outset" w:sz="6" w:space="0" w:color="FF0000"/>
                    <w:bottom w:val="outset" w:sz="6" w:space="0" w:color="FF0000"/>
                    <w:right w:val="outset" w:sz="6" w:space="0" w:color="FF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Red</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2137-AE72</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12/02/2011; End of Extended C/P 1/20/2012 : End of Reopened Comment Period ;Publication Approved ;Publication Date ;End of Comment Period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address: repair criteria for both HCA and non-HCA areas, assessment methods, validating &amp; integrating pipeline data, risk assessments, knowledge gained through the IM program, corrosion control, management of change, gathering lines, and safety features on launchers and receivers.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03/12/2014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04/28/2014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06/27/2014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91" w:name="91"/>
            <w:r>
              <w:rPr>
                <w:rFonts w:ascii="Times" w:eastAsia="Times New Roman" w:hAnsi="Times" w:cs="Times"/>
                <w:sz w:val="20"/>
                <w:szCs w:val="20"/>
              </w:rPr>
              <w:lastRenderedPageBreak/>
              <w:t>Pipeline and Hazardous Materials Safety Administration</w:t>
            </w:r>
            <w:bookmarkEnd w:id="91"/>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2C02D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Pipeline Safety: Amendments to Parts 192 and 195 to require Valve installation and Minimum Rupture Detection Standards</w:t>
                  </w:r>
                </w:p>
              </w:tc>
              <w:tc>
                <w:tcPr>
                  <w:tcW w:w="360" w:type="dxa"/>
                  <w:tcBorders>
                    <w:top w:val="outset" w:sz="6" w:space="0" w:color="000000"/>
                    <w:left w:val="outset" w:sz="6" w:space="0" w:color="000000"/>
                    <w:bottom w:val="outset" w:sz="6" w:space="0" w:color="000000"/>
                    <w:right w:val="outset" w:sz="6" w:space="0" w:color="00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Black</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Rupture Detection and Valves Rule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2137-AF06</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propose installation of automatic shutoff valves, remote controlled valves, or equivalent technology and establish performance based meaningful metrics for rupture detection for gas and liquid transmission pipelines. The overall intent is that rupture detection metrics will be integrated with ASV and RCV placement with the objective of improving overall incident response. Rupture response metrics would focus on mitigating large, unsafe, uncontrolled release events that have a greater potential consequence. The areas proposed to be covered include High Consequence Areas (HCA) for hazardous liquids and HCA, Class 3 and 4 for natural gas (including could affect areas).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02/16/2016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92" w:name="92"/>
            <w:r>
              <w:rPr>
                <w:rFonts w:ascii="Times" w:eastAsia="Times New Roman" w:hAnsi="Times" w:cs="Times"/>
                <w:sz w:val="20"/>
                <w:szCs w:val="20"/>
              </w:rPr>
              <w:lastRenderedPageBreak/>
              <w:t>Pipeline and Hazardous Materials Safety Administration</w:t>
            </w:r>
            <w:bookmarkEnd w:id="92"/>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2C02D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Hazardous Materials: Review and Update of Rail Carrier Regulations in Part 174</w:t>
                  </w:r>
                </w:p>
              </w:tc>
              <w:tc>
                <w:tcPr>
                  <w:tcW w:w="360" w:type="dxa"/>
                  <w:tcBorders>
                    <w:top w:val="outset" w:sz="6" w:space="0" w:color="000000"/>
                    <w:left w:val="outset" w:sz="6" w:space="0" w:color="000000"/>
                    <w:bottom w:val="outset" w:sz="6" w:space="0" w:color="000000"/>
                    <w:right w:val="outset" w:sz="6" w:space="0" w:color="00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Black</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Update Rail Carrier Regulations (RRR)</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2137-AF07</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Hazardous Materials Regulations (HMR) applicable to the transportation of hazardous materials by rail. In accordance with Executive Order 13563, Regulatory Review and Reinvention (E.O. 13563; January 18, 2011), the Federal Rail Administration (FRA) has completed an internal review of the existing regulations set forth by PHMSA in 49 CFR Part 174, which apply to persons who accept and transport hazardous materials by rail. Using the principals set forth in E.O. 13563, FRA has reviewed the regulations in Part 174 and other relevant sections of the HMR, and identified regulations that are outdated, unclear, no longer necessary, may present an undue economic burden on the regulated community, conflict with other North American standards and regulations, or do not sufficiently address technological advancements in the railroad operating environment. Further, FRA has identified several trends in industry practices and operating procedures that present new and different risks to safety that should be addressed in Part 174 of the HMR. This rulemaking would more fully align the HMR with the results of the FRA review and would update, clarify, correct and provide relief of certain regulatory requirements applicable to the transportation of hazardous materials by rail.</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PHMSA-2014-0031</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11/19/2014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02/25/2015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01/20/2017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Other, higher priorities</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2C02DF">
        <w:trPr>
          <w:tblCellSpacing w:w="24" w:type="dxa"/>
        </w:trPr>
        <w:tc>
          <w:tcPr>
            <w:tcW w:w="0" w:type="auto"/>
            <w:gridSpan w:val="2"/>
            <w:vAlign w:val="center"/>
            <w:hideMark/>
          </w:tcPr>
          <w:p w:rsidR="002C02DF" w:rsidRDefault="00D92F9A">
            <w:pPr>
              <w:jc w:val="center"/>
              <w:rPr>
                <w:rFonts w:ascii="Times" w:eastAsia="Times New Roman" w:hAnsi="Times" w:cs="Times"/>
                <w:sz w:val="20"/>
                <w:szCs w:val="20"/>
              </w:rPr>
            </w:pPr>
            <w:bookmarkStart w:id="93" w:name="93"/>
            <w:r>
              <w:rPr>
                <w:rFonts w:ascii="Times" w:eastAsia="Times New Roman" w:hAnsi="Times" w:cs="Times"/>
                <w:sz w:val="20"/>
                <w:szCs w:val="20"/>
              </w:rPr>
              <w:lastRenderedPageBreak/>
              <w:t>Pipeline and Hazardous Materials Safety Administration</w:t>
            </w:r>
            <w:bookmarkEnd w:id="93"/>
          </w:p>
        </w:tc>
      </w:tr>
      <w:tr w:rsidR="002C02DF">
        <w:trPr>
          <w:tblCellSpacing w:w="24" w:type="dxa"/>
        </w:trPr>
        <w:tc>
          <w:tcPr>
            <w:tcW w:w="360" w:type="dxa"/>
            <w:vAlign w:val="center"/>
            <w:hideMark/>
          </w:tcPr>
          <w:p w:rsidR="002C02DF" w:rsidRDefault="00D92F9A">
            <w:pPr>
              <w:rPr>
                <w:rFonts w:ascii="Times" w:eastAsia="Times New Roman" w:hAnsi="Times" w:cs="Times"/>
                <w:sz w:val="20"/>
                <w:szCs w:val="20"/>
              </w:rPr>
            </w:pPr>
            <w:r>
              <w:rPr>
                <w:rFonts w:ascii="Times" w:eastAsia="Times New Roman" w:hAnsi="Times" w:cs="Times"/>
                <w:sz w:val="20"/>
                <w:szCs w:val="20"/>
              </w:rPr>
              <w:t>93. 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2C02D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Hazardous Materials: Oil Spill Response Plans and Information Sharing for High-Hazard Flammable Trains</w:t>
                  </w:r>
                </w:p>
              </w:tc>
              <w:tc>
                <w:tcPr>
                  <w:tcW w:w="360" w:type="dxa"/>
                  <w:tcBorders>
                    <w:top w:val="outset" w:sz="6" w:space="0" w:color="000000"/>
                    <w:left w:val="outset" w:sz="6" w:space="0" w:color="000000"/>
                    <w:bottom w:val="outset" w:sz="6" w:space="0" w:color="000000"/>
                    <w:right w:val="outset" w:sz="6" w:space="0" w:color="000000"/>
                  </w:tcBorders>
                  <w:hideMark/>
                </w:tcPr>
                <w:p w:rsidR="002C02DF" w:rsidRDefault="00D92F9A">
                  <w:pPr>
                    <w:rPr>
                      <w:rFonts w:ascii="Times" w:eastAsia="Times New Roman" w:hAnsi="Times" w:cs="Times"/>
                      <w:sz w:val="20"/>
                      <w:szCs w:val="20"/>
                    </w:rPr>
                  </w:pPr>
                  <w:r>
                    <w:rPr>
                      <w:rFonts w:ascii="Times" w:eastAsia="Times New Roman" w:hAnsi="Times" w:cs="Times"/>
                      <w:sz w:val="20"/>
                      <w:szCs w:val="20"/>
                    </w:rPr>
                    <w:t>Black</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Oil Spill Response Plans and Info Sharing for HHFT</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RIN 2137-AF08</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8/1/2014; C/P closed 9/30/2014.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is seeking comment on revisions to the Hazardous Materials Regulations (HMR) applicable to the transportation of oil by rail. Currently, the majority of the rail community transporting oil, including crude oil transported as a hazardous material, is subject to the basic oil spill response plan requirement of 49 CFR 130.31(a) based on the understanding that most rail tank cars being used to transport crude oil have a capacity greater than 3,500 gallons. However, a comprehensive response plan for the shipment of oil is only required when the oil is in a quantity greater than 42,000 gallons per package. Tank cars of this size are not used to transport oil by rail. As a result, the railroads do not file a comprehensive oil response plan. Based on this difference and the recent occurrence of high-profile accidents involving crude oil, the National Transportation Safety Board (NTSB) has recommended in Safety Recommendation R-14-5 that the Department and PHMSA reconsider the threshold quantity for requiring the development of a comprehensive response plan for the shipment of oil. In response to the NTSB Safety Recommendation R-14-5 and significant interest from Congressional stakeholders, environmental groups, and the general public, PHMSA is seeking specific comment on revisions to the oil spill response plan requirements in 49 CFR part 130, including threshold quantities.</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2C02DF">
              <w:trPr>
                <w:tblCellSpacing w:w="0" w:type="dxa"/>
              </w:trPr>
              <w:tc>
                <w:tcPr>
                  <w:tcW w:w="360" w:type="dxa"/>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2C02D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2C02DF">
              <w:trPr>
                <w:tblCellSpacing w:w="0" w:type="dxa"/>
              </w:trPr>
              <w:tc>
                <w:tcPr>
                  <w:tcW w:w="0" w:type="auto"/>
                  <w:noWrap/>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2C02DF" w:rsidRDefault="002C02DF">
                  <w:pPr>
                    <w:framePr w:hSpace="36" w:wrap="around" w:vAnchor="text" w:hAnchor="text"/>
                    <w:rPr>
                      <w:rFonts w:ascii="Times" w:eastAsia="Times New Roman" w:hAnsi="Times" w:cs="Times"/>
                      <w:sz w:val="20"/>
                      <w:szCs w:val="20"/>
                    </w:rPr>
                  </w:pP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2C02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05/21/2015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01/15/2016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01/25/2016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C02D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03/28/2016 </w:t>
                  </w:r>
                </w:p>
              </w:tc>
              <w:tc>
                <w:tcPr>
                  <w:tcW w:w="1200" w:type="dxa"/>
                  <w:tcBorders>
                    <w:top w:val="outset" w:sz="6" w:space="0" w:color="auto"/>
                    <w:left w:val="outset" w:sz="6" w:space="0" w:color="auto"/>
                    <w:bottom w:val="outset" w:sz="6" w:space="0" w:color="auto"/>
                    <w:right w:val="outset" w:sz="6" w:space="0" w:color="auto"/>
                  </w:tcBorders>
                  <w:hideMark/>
                </w:tcPr>
                <w:p w:rsidR="002C02DF" w:rsidRDefault="00D92F9A" w:rsidP="00D2329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2C02DF">
              <w:trPr>
                <w:tblCellSpacing w:w="15" w:type="dxa"/>
              </w:trPr>
              <w:tc>
                <w:tcPr>
                  <w:tcW w:w="0" w:type="auto"/>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2C02DF" w:rsidRDefault="00D92F9A">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2C02DF" w:rsidRDefault="002C02DF">
            <w:pPr>
              <w:rPr>
                <w:rFonts w:ascii="Times" w:eastAsia="Times New Roman" w:hAnsi="Times" w:cs="Times"/>
                <w:sz w:val="20"/>
                <w:szCs w:val="20"/>
              </w:rPr>
            </w:pPr>
          </w:p>
        </w:tc>
      </w:tr>
      <w:tr w:rsidR="002C02DF">
        <w:trPr>
          <w:tblCellSpacing w:w="24" w:type="dxa"/>
        </w:trPr>
        <w:tc>
          <w:tcPr>
            <w:tcW w:w="0" w:type="auto"/>
            <w:gridSpan w:val="2"/>
            <w:vAlign w:val="center"/>
            <w:hideMark/>
          </w:tcPr>
          <w:p w:rsidR="002C02DF" w:rsidRDefault="00D92F9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C02DF" w:rsidRDefault="00D92F9A">
      <w:pPr>
        <w:rPr>
          <w:rFonts w:ascii="Times" w:eastAsia="Times New Roman" w:hAnsi="Times" w:cs="Times"/>
          <w:sz w:val="20"/>
          <w:szCs w:val="20"/>
        </w:rPr>
      </w:pPr>
      <w:r>
        <w:rPr>
          <w:rFonts w:ascii="Times" w:eastAsia="Times New Roman" w:hAnsi="Times" w:cs="Times"/>
          <w:sz w:val="20"/>
          <w:szCs w:val="20"/>
        </w:rPr>
        <w:br w:type="textWrapping" w:clear="all"/>
      </w:r>
    </w:p>
    <w:sectPr w:rsidR="002C02D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3F2" w:rsidRDefault="005B63F2" w:rsidP="00F6761E">
      <w:r>
        <w:separator/>
      </w:r>
    </w:p>
  </w:endnote>
  <w:endnote w:type="continuationSeparator" w:id="0">
    <w:p w:rsidR="005B63F2" w:rsidRDefault="005B63F2" w:rsidP="00F67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61E" w:rsidRDefault="00F6761E" w:rsidP="00F6761E">
    <w:pPr>
      <w:pStyle w:val="Footer"/>
      <w:jc w:val="center"/>
    </w:pPr>
    <w:r>
      <w:tab/>
    </w:r>
    <w:r>
      <w:tab/>
      <w:t xml:space="preserve">September Internet Report:  </w:t>
    </w:r>
    <w:sdt>
      <w:sdtPr>
        <w:id w:val="1022284354"/>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sidR="00D2329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D23290">
              <w:rPr>
                <w:b/>
                <w:bCs/>
                <w:noProof/>
              </w:rPr>
              <w:t>98</w:t>
            </w:r>
            <w:r>
              <w:rPr>
                <w:b/>
                <w:bCs/>
              </w:rPr>
              <w:fldChar w:fldCharType="end"/>
            </w:r>
          </w:sdtContent>
        </w:sdt>
      </w:sdtContent>
    </w:sdt>
  </w:p>
  <w:p w:rsidR="00F6761E" w:rsidRDefault="00F67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3F2" w:rsidRDefault="005B63F2" w:rsidP="00F6761E">
      <w:r>
        <w:separator/>
      </w:r>
    </w:p>
  </w:footnote>
  <w:footnote w:type="continuationSeparator" w:id="0">
    <w:p w:rsidR="005B63F2" w:rsidRDefault="005B63F2" w:rsidP="00F67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201A3A"/>
    <w:rsid w:val="00201A3A"/>
    <w:rsid w:val="002C02DF"/>
    <w:rsid w:val="005B63F2"/>
    <w:rsid w:val="00614532"/>
    <w:rsid w:val="006972A3"/>
    <w:rsid w:val="0071519D"/>
    <w:rsid w:val="008174B2"/>
    <w:rsid w:val="00D23290"/>
    <w:rsid w:val="00D92F9A"/>
    <w:rsid w:val="00DF24FD"/>
    <w:rsid w:val="00F6761E"/>
    <w:rsid w:val="00FE5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F6761E"/>
    <w:pPr>
      <w:tabs>
        <w:tab w:val="center" w:pos="4680"/>
        <w:tab w:val="right" w:pos="9360"/>
      </w:tabs>
    </w:pPr>
  </w:style>
  <w:style w:type="character" w:customStyle="1" w:styleId="HeaderChar">
    <w:name w:val="Header Char"/>
    <w:basedOn w:val="DefaultParagraphFont"/>
    <w:link w:val="Header"/>
    <w:uiPriority w:val="99"/>
    <w:rsid w:val="00F6761E"/>
    <w:rPr>
      <w:rFonts w:eastAsiaTheme="minorEastAsia"/>
      <w:sz w:val="24"/>
      <w:szCs w:val="24"/>
    </w:rPr>
  </w:style>
  <w:style w:type="paragraph" w:styleId="Footer">
    <w:name w:val="footer"/>
    <w:basedOn w:val="Normal"/>
    <w:link w:val="FooterChar"/>
    <w:uiPriority w:val="99"/>
    <w:unhideWhenUsed/>
    <w:rsid w:val="00F6761E"/>
    <w:pPr>
      <w:tabs>
        <w:tab w:val="center" w:pos="4680"/>
        <w:tab w:val="right" w:pos="9360"/>
      </w:tabs>
    </w:pPr>
  </w:style>
  <w:style w:type="character" w:customStyle="1" w:styleId="FooterChar">
    <w:name w:val="Footer Char"/>
    <w:basedOn w:val="DefaultParagraphFont"/>
    <w:link w:val="Footer"/>
    <w:uiPriority w:val="99"/>
    <w:rsid w:val="00F6761E"/>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F6761E"/>
    <w:pPr>
      <w:tabs>
        <w:tab w:val="center" w:pos="4680"/>
        <w:tab w:val="right" w:pos="9360"/>
      </w:tabs>
    </w:pPr>
  </w:style>
  <w:style w:type="character" w:customStyle="1" w:styleId="HeaderChar">
    <w:name w:val="Header Char"/>
    <w:basedOn w:val="DefaultParagraphFont"/>
    <w:link w:val="Header"/>
    <w:uiPriority w:val="99"/>
    <w:rsid w:val="00F6761E"/>
    <w:rPr>
      <w:rFonts w:eastAsiaTheme="minorEastAsia"/>
      <w:sz w:val="24"/>
      <w:szCs w:val="24"/>
    </w:rPr>
  </w:style>
  <w:style w:type="paragraph" w:styleId="Footer">
    <w:name w:val="footer"/>
    <w:basedOn w:val="Normal"/>
    <w:link w:val="FooterChar"/>
    <w:uiPriority w:val="99"/>
    <w:unhideWhenUsed/>
    <w:rsid w:val="00F6761E"/>
    <w:pPr>
      <w:tabs>
        <w:tab w:val="center" w:pos="4680"/>
        <w:tab w:val="right" w:pos="9360"/>
      </w:tabs>
    </w:pPr>
  </w:style>
  <w:style w:type="character" w:customStyle="1" w:styleId="FooterChar">
    <w:name w:val="Footer Char"/>
    <w:basedOn w:val="DefaultParagraphFont"/>
    <w:link w:val="Footer"/>
    <w:uiPriority w:val="99"/>
    <w:rsid w:val="00F6761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1564">
      <w:marLeft w:val="0"/>
      <w:marRight w:val="0"/>
      <w:marTop w:val="0"/>
      <w:marBottom w:val="0"/>
      <w:divBdr>
        <w:top w:val="none" w:sz="0" w:space="0" w:color="auto"/>
        <w:left w:val="none" w:sz="0" w:space="0" w:color="auto"/>
        <w:bottom w:val="none" w:sz="0" w:space="0" w:color="auto"/>
        <w:right w:val="none" w:sz="0" w:space="0" w:color="auto"/>
      </w:divBdr>
    </w:div>
    <w:div w:id="14885470">
      <w:marLeft w:val="0"/>
      <w:marRight w:val="0"/>
      <w:marTop w:val="0"/>
      <w:marBottom w:val="0"/>
      <w:divBdr>
        <w:top w:val="none" w:sz="0" w:space="0" w:color="auto"/>
        <w:left w:val="none" w:sz="0" w:space="0" w:color="auto"/>
        <w:bottom w:val="none" w:sz="0" w:space="0" w:color="auto"/>
        <w:right w:val="none" w:sz="0" w:space="0" w:color="auto"/>
      </w:divBdr>
    </w:div>
    <w:div w:id="27997728">
      <w:marLeft w:val="0"/>
      <w:marRight w:val="0"/>
      <w:marTop w:val="0"/>
      <w:marBottom w:val="0"/>
      <w:divBdr>
        <w:top w:val="none" w:sz="0" w:space="0" w:color="auto"/>
        <w:left w:val="none" w:sz="0" w:space="0" w:color="auto"/>
        <w:bottom w:val="none" w:sz="0" w:space="0" w:color="auto"/>
        <w:right w:val="none" w:sz="0" w:space="0" w:color="auto"/>
      </w:divBdr>
    </w:div>
    <w:div w:id="37096007">
      <w:marLeft w:val="0"/>
      <w:marRight w:val="0"/>
      <w:marTop w:val="0"/>
      <w:marBottom w:val="0"/>
      <w:divBdr>
        <w:top w:val="none" w:sz="0" w:space="0" w:color="auto"/>
        <w:left w:val="none" w:sz="0" w:space="0" w:color="auto"/>
        <w:bottom w:val="none" w:sz="0" w:space="0" w:color="auto"/>
        <w:right w:val="none" w:sz="0" w:space="0" w:color="auto"/>
      </w:divBdr>
    </w:div>
    <w:div w:id="49572495">
      <w:marLeft w:val="0"/>
      <w:marRight w:val="0"/>
      <w:marTop w:val="0"/>
      <w:marBottom w:val="0"/>
      <w:divBdr>
        <w:top w:val="none" w:sz="0" w:space="0" w:color="auto"/>
        <w:left w:val="none" w:sz="0" w:space="0" w:color="auto"/>
        <w:bottom w:val="none" w:sz="0" w:space="0" w:color="auto"/>
        <w:right w:val="none" w:sz="0" w:space="0" w:color="auto"/>
      </w:divBdr>
    </w:div>
    <w:div w:id="51931027">
      <w:marLeft w:val="0"/>
      <w:marRight w:val="0"/>
      <w:marTop w:val="0"/>
      <w:marBottom w:val="0"/>
      <w:divBdr>
        <w:top w:val="none" w:sz="0" w:space="0" w:color="auto"/>
        <w:left w:val="none" w:sz="0" w:space="0" w:color="auto"/>
        <w:bottom w:val="none" w:sz="0" w:space="0" w:color="auto"/>
        <w:right w:val="none" w:sz="0" w:space="0" w:color="auto"/>
      </w:divBdr>
    </w:div>
    <w:div w:id="92937978">
      <w:marLeft w:val="0"/>
      <w:marRight w:val="0"/>
      <w:marTop w:val="0"/>
      <w:marBottom w:val="0"/>
      <w:divBdr>
        <w:top w:val="none" w:sz="0" w:space="0" w:color="auto"/>
        <w:left w:val="none" w:sz="0" w:space="0" w:color="auto"/>
        <w:bottom w:val="none" w:sz="0" w:space="0" w:color="auto"/>
        <w:right w:val="none" w:sz="0" w:space="0" w:color="auto"/>
      </w:divBdr>
    </w:div>
    <w:div w:id="125008202">
      <w:marLeft w:val="0"/>
      <w:marRight w:val="0"/>
      <w:marTop w:val="0"/>
      <w:marBottom w:val="0"/>
      <w:divBdr>
        <w:top w:val="none" w:sz="0" w:space="0" w:color="auto"/>
        <w:left w:val="none" w:sz="0" w:space="0" w:color="auto"/>
        <w:bottom w:val="none" w:sz="0" w:space="0" w:color="auto"/>
        <w:right w:val="none" w:sz="0" w:space="0" w:color="auto"/>
      </w:divBdr>
    </w:div>
    <w:div w:id="125701107">
      <w:marLeft w:val="0"/>
      <w:marRight w:val="0"/>
      <w:marTop w:val="0"/>
      <w:marBottom w:val="0"/>
      <w:divBdr>
        <w:top w:val="none" w:sz="0" w:space="0" w:color="auto"/>
        <w:left w:val="none" w:sz="0" w:space="0" w:color="auto"/>
        <w:bottom w:val="none" w:sz="0" w:space="0" w:color="auto"/>
        <w:right w:val="none" w:sz="0" w:space="0" w:color="auto"/>
      </w:divBdr>
    </w:div>
    <w:div w:id="132260583">
      <w:marLeft w:val="0"/>
      <w:marRight w:val="0"/>
      <w:marTop w:val="0"/>
      <w:marBottom w:val="0"/>
      <w:divBdr>
        <w:top w:val="none" w:sz="0" w:space="0" w:color="auto"/>
        <w:left w:val="none" w:sz="0" w:space="0" w:color="auto"/>
        <w:bottom w:val="none" w:sz="0" w:space="0" w:color="auto"/>
        <w:right w:val="none" w:sz="0" w:space="0" w:color="auto"/>
      </w:divBdr>
    </w:div>
    <w:div w:id="133378876">
      <w:marLeft w:val="0"/>
      <w:marRight w:val="0"/>
      <w:marTop w:val="0"/>
      <w:marBottom w:val="0"/>
      <w:divBdr>
        <w:top w:val="none" w:sz="0" w:space="0" w:color="auto"/>
        <w:left w:val="none" w:sz="0" w:space="0" w:color="auto"/>
        <w:bottom w:val="none" w:sz="0" w:space="0" w:color="auto"/>
        <w:right w:val="none" w:sz="0" w:space="0" w:color="auto"/>
      </w:divBdr>
    </w:div>
    <w:div w:id="154417554">
      <w:marLeft w:val="0"/>
      <w:marRight w:val="0"/>
      <w:marTop w:val="0"/>
      <w:marBottom w:val="0"/>
      <w:divBdr>
        <w:top w:val="none" w:sz="0" w:space="0" w:color="auto"/>
        <w:left w:val="none" w:sz="0" w:space="0" w:color="auto"/>
        <w:bottom w:val="none" w:sz="0" w:space="0" w:color="auto"/>
        <w:right w:val="none" w:sz="0" w:space="0" w:color="auto"/>
      </w:divBdr>
    </w:div>
    <w:div w:id="174157442">
      <w:marLeft w:val="0"/>
      <w:marRight w:val="0"/>
      <w:marTop w:val="0"/>
      <w:marBottom w:val="0"/>
      <w:divBdr>
        <w:top w:val="none" w:sz="0" w:space="0" w:color="auto"/>
        <w:left w:val="none" w:sz="0" w:space="0" w:color="auto"/>
        <w:bottom w:val="none" w:sz="0" w:space="0" w:color="auto"/>
        <w:right w:val="none" w:sz="0" w:space="0" w:color="auto"/>
      </w:divBdr>
    </w:div>
    <w:div w:id="199827326">
      <w:marLeft w:val="0"/>
      <w:marRight w:val="0"/>
      <w:marTop w:val="0"/>
      <w:marBottom w:val="0"/>
      <w:divBdr>
        <w:top w:val="none" w:sz="0" w:space="0" w:color="auto"/>
        <w:left w:val="none" w:sz="0" w:space="0" w:color="auto"/>
        <w:bottom w:val="none" w:sz="0" w:space="0" w:color="auto"/>
        <w:right w:val="none" w:sz="0" w:space="0" w:color="auto"/>
      </w:divBdr>
    </w:div>
    <w:div w:id="218715938">
      <w:marLeft w:val="0"/>
      <w:marRight w:val="0"/>
      <w:marTop w:val="0"/>
      <w:marBottom w:val="0"/>
      <w:divBdr>
        <w:top w:val="none" w:sz="0" w:space="0" w:color="auto"/>
        <w:left w:val="none" w:sz="0" w:space="0" w:color="auto"/>
        <w:bottom w:val="none" w:sz="0" w:space="0" w:color="auto"/>
        <w:right w:val="none" w:sz="0" w:space="0" w:color="auto"/>
      </w:divBdr>
    </w:div>
    <w:div w:id="228536274">
      <w:marLeft w:val="0"/>
      <w:marRight w:val="0"/>
      <w:marTop w:val="0"/>
      <w:marBottom w:val="0"/>
      <w:divBdr>
        <w:top w:val="none" w:sz="0" w:space="0" w:color="auto"/>
        <w:left w:val="none" w:sz="0" w:space="0" w:color="auto"/>
        <w:bottom w:val="none" w:sz="0" w:space="0" w:color="auto"/>
        <w:right w:val="none" w:sz="0" w:space="0" w:color="auto"/>
      </w:divBdr>
    </w:div>
    <w:div w:id="249973923">
      <w:marLeft w:val="0"/>
      <w:marRight w:val="0"/>
      <w:marTop w:val="0"/>
      <w:marBottom w:val="0"/>
      <w:divBdr>
        <w:top w:val="none" w:sz="0" w:space="0" w:color="auto"/>
        <w:left w:val="none" w:sz="0" w:space="0" w:color="auto"/>
        <w:bottom w:val="none" w:sz="0" w:space="0" w:color="auto"/>
        <w:right w:val="none" w:sz="0" w:space="0" w:color="auto"/>
      </w:divBdr>
    </w:div>
    <w:div w:id="257061514">
      <w:marLeft w:val="0"/>
      <w:marRight w:val="0"/>
      <w:marTop w:val="0"/>
      <w:marBottom w:val="0"/>
      <w:divBdr>
        <w:top w:val="none" w:sz="0" w:space="0" w:color="auto"/>
        <w:left w:val="none" w:sz="0" w:space="0" w:color="auto"/>
        <w:bottom w:val="none" w:sz="0" w:space="0" w:color="auto"/>
        <w:right w:val="none" w:sz="0" w:space="0" w:color="auto"/>
      </w:divBdr>
    </w:div>
    <w:div w:id="270018732">
      <w:marLeft w:val="0"/>
      <w:marRight w:val="0"/>
      <w:marTop w:val="0"/>
      <w:marBottom w:val="0"/>
      <w:divBdr>
        <w:top w:val="none" w:sz="0" w:space="0" w:color="auto"/>
        <w:left w:val="none" w:sz="0" w:space="0" w:color="auto"/>
        <w:bottom w:val="none" w:sz="0" w:space="0" w:color="auto"/>
        <w:right w:val="none" w:sz="0" w:space="0" w:color="auto"/>
      </w:divBdr>
    </w:div>
    <w:div w:id="283271141">
      <w:marLeft w:val="0"/>
      <w:marRight w:val="0"/>
      <w:marTop w:val="0"/>
      <w:marBottom w:val="0"/>
      <w:divBdr>
        <w:top w:val="none" w:sz="0" w:space="0" w:color="auto"/>
        <w:left w:val="none" w:sz="0" w:space="0" w:color="auto"/>
        <w:bottom w:val="none" w:sz="0" w:space="0" w:color="auto"/>
        <w:right w:val="none" w:sz="0" w:space="0" w:color="auto"/>
      </w:divBdr>
    </w:div>
    <w:div w:id="329333313">
      <w:marLeft w:val="0"/>
      <w:marRight w:val="0"/>
      <w:marTop w:val="0"/>
      <w:marBottom w:val="0"/>
      <w:divBdr>
        <w:top w:val="none" w:sz="0" w:space="0" w:color="auto"/>
        <w:left w:val="none" w:sz="0" w:space="0" w:color="auto"/>
        <w:bottom w:val="none" w:sz="0" w:space="0" w:color="auto"/>
        <w:right w:val="none" w:sz="0" w:space="0" w:color="auto"/>
      </w:divBdr>
    </w:div>
    <w:div w:id="329990438">
      <w:marLeft w:val="0"/>
      <w:marRight w:val="0"/>
      <w:marTop w:val="0"/>
      <w:marBottom w:val="0"/>
      <w:divBdr>
        <w:top w:val="none" w:sz="0" w:space="0" w:color="auto"/>
        <w:left w:val="none" w:sz="0" w:space="0" w:color="auto"/>
        <w:bottom w:val="none" w:sz="0" w:space="0" w:color="auto"/>
        <w:right w:val="none" w:sz="0" w:space="0" w:color="auto"/>
      </w:divBdr>
    </w:div>
    <w:div w:id="339699741">
      <w:marLeft w:val="0"/>
      <w:marRight w:val="0"/>
      <w:marTop w:val="0"/>
      <w:marBottom w:val="0"/>
      <w:divBdr>
        <w:top w:val="none" w:sz="0" w:space="0" w:color="auto"/>
        <w:left w:val="none" w:sz="0" w:space="0" w:color="auto"/>
        <w:bottom w:val="none" w:sz="0" w:space="0" w:color="auto"/>
        <w:right w:val="none" w:sz="0" w:space="0" w:color="auto"/>
      </w:divBdr>
    </w:div>
    <w:div w:id="380373737">
      <w:marLeft w:val="0"/>
      <w:marRight w:val="0"/>
      <w:marTop w:val="0"/>
      <w:marBottom w:val="0"/>
      <w:divBdr>
        <w:top w:val="none" w:sz="0" w:space="0" w:color="auto"/>
        <w:left w:val="none" w:sz="0" w:space="0" w:color="auto"/>
        <w:bottom w:val="none" w:sz="0" w:space="0" w:color="auto"/>
        <w:right w:val="none" w:sz="0" w:space="0" w:color="auto"/>
      </w:divBdr>
    </w:div>
    <w:div w:id="381439971">
      <w:marLeft w:val="0"/>
      <w:marRight w:val="0"/>
      <w:marTop w:val="0"/>
      <w:marBottom w:val="0"/>
      <w:divBdr>
        <w:top w:val="none" w:sz="0" w:space="0" w:color="auto"/>
        <w:left w:val="none" w:sz="0" w:space="0" w:color="auto"/>
        <w:bottom w:val="none" w:sz="0" w:space="0" w:color="auto"/>
        <w:right w:val="none" w:sz="0" w:space="0" w:color="auto"/>
      </w:divBdr>
    </w:div>
    <w:div w:id="387996280">
      <w:marLeft w:val="0"/>
      <w:marRight w:val="0"/>
      <w:marTop w:val="0"/>
      <w:marBottom w:val="0"/>
      <w:divBdr>
        <w:top w:val="none" w:sz="0" w:space="0" w:color="auto"/>
        <w:left w:val="none" w:sz="0" w:space="0" w:color="auto"/>
        <w:bottom w:val="none" w:sz="0" w:space="0" w:color="auto"/>
        <w:right w:val="none" w:sz="0" w:space="0" w:color="auto"/>
      </w:divBdr>
    </w:div>
    <w:div w:id="439421148">
      <w:marLeft w:val="0"/>
      <w:marRight w:val="0"/>
      <w:marTop w:val="0"/>
      <w:marBottom w:val="0"/>
      <w:divBdr>
        <w:top w:val="none" w:sz="0" w:space="0" w:color="auto"/>
        <w:left w:val="none" w:sz="0" w:space="0" w:color="auto"/>
        <w:bottom w:val="none" w:sz="0" w:space="0" w:color="auto"/>
        <w:right w:val="none" w:sz="0" w:space="0" w:color="auto"/>
      </w:divBdr>
    </w:div>
    <w:div w:id="492644325">
      <w:marLeft w:val="0"/>
      <w:marRight w:val="0"/>
      <w:marTop w:val="0"/>
      <w:marBottom w:val="0"/>
      <w:divBdr>
        <w:top w:val="none" w:sz="0" w:space="0" w:color="auto"/>
        <w:left w:val="none" w:sz="0" w:space="0" w:color="auto"/>
        <w:bottom w:val="none" w:sz="0" w:space="0" w:color="auto"/>
        <w:right w:val="none" w:sz="0" w:space="0" w:color="auto"/>
      </w:divBdr>
    </w:div>
    <w:div w:id="519857259">
      <w:marLeft w:val="0"/>
      <w:marRight w:val="0"/>
      <w:marTop w:val="0"/>
      <w:marBottom w:val="0"/>
      <w:divBdr>
        <w:top w:val="none" w:sz="0" w:space="0" w:color="auto"/>
        <w:left w:val="none" w:sz="0" w:space="0" w:color="auto"/>
        <w:bottom w:val="none" w:sz="0" w:space="0" w:color="auto"/>
        <w:right w:val="none" w:sz="0" w:space="0" w:color="auto"/>
      </w:divBdr>
    </w:div>
    <w:div w:id="535626075">
      <w:marLeft w:val="0"/>
      <w:marRight w:val="0"/>
      <w:marTop w:val="0"/>
      <w:marBottom w:val="0"/>
      <w:divBdr>
        <w:top w:val="none" w:sz="0" w:space="0" w:color="auto"/>
        <w:left w:val="none" w:sz="0" w:space="0" w:color="auto"/>
        <w:bottom w:val="none" w:sz="0" w:space="0" w:color="auto"/>
        <w:right w:val="none" w:sz="0" w:space="0" w:color="auto"/>
      </w:divBdr>
    </w:div>
    <w:div w:id="543248695">
      <w:marLeft w:val="0"/>
      <w:marRight w:val="0"/>
      <w:marTop w:val="0"/>
      <w:marBottom w:val="0"/>
      <w:divBdr>
        <w:top w:val="none" w:sz="0" w:space="0" w:color="auto"/>
        <w:left w:val="none" w:sz="0" w:space="0" w:color="auto"/>
        <w:bottom w:val="none" w:sz="0" w:space="0" w:color="auto"/>
        <w:right w:val="none" w:sz="0" w:space="0" w:color="auto"/>
      </w:divBdr>
    </w:div>
    <w:div w:id="545221903">
      <w:marLeft w:val="0"/>
      <w:marRight w:val="0"/>
      <w:marTop w:val="0"/>
      <w:marBottom w:val="0"/>
      <w:divBdr>
        <w:top w:val="none" w:sz="0" w:space="0" w:color="auto"/>
        <w:left w:val="none" w:sz="0" w:space="0" w:color="auto"/>
        <w:bottom w:val="none" w:sz="0" w:space="0" w:color="auto"/>
        <w:right w:val="none" w:sz="0" w:space="0" w:color="auto"/>
      </w:divBdr>
    </w:div>
    <w:div w:id="565920730">
      <w:marLeft w:val="0"/>
      <w:marRight w:val="0"/>
      <w:marTop w:val="0"/>
      <w:marBottom w:val="0"/>
      <w:divBdr>
        <w:top w:val="none" w:sz="0" w:space="0" w:color="auto"/>
        <w:left w:val="none" w:sz="0" w:space="0" w:color="auto"/>
        <w:bottom w:val="none" w:sz="0" w:space="0" w:color="auto"/>
        <w:right w:val="none" w:sz="0" w:space="0" w:color="auto"/>
      </w:divBdr>
    </w:div>
    <w:div w:id="630213318">
      <w:marLeft w:val="0"/>
      <w:marRight w:val="0"/>
      <w:marTop w:val="0"/>
      <w:marBottom w:val="0"/>
      <w:divBdr>
        <w:top w:val="none" w:sz="0" w:space="0" w:color="auto"/>
        <w:left w:val="none" w:sz="0" w:space="0" w:color="auto"/>
        <w:bottom w:val="none" w:sz="0" w:space="0" w:color="auto"/>
        <w:right w:val="none" w:sz="0" w:space="0" w:color="auto"/>
      </w:divBdr>
    </w:div>
    <w:div w:id="700976950">
      <w:marLeft w:val="0"/>
      <w:marRight w:val="0"/>
      <w:marTop w:val="0"/>
      <w:marBottom w:val="0"/>
      <w:divBdr>
        <w:top w:val="none" w:sz="0" w:space="0" w:color="auto"/>
        <w:left w:val="none" w:sz="0" w:space="0" w:color="auto"/>
        <w:bottom w:val="none" w:sz="0" w:space="0" w:color="auto"/>
        <w:right w:val="none" w:sz="0" w:space="0" w:color="auto"/>
      </w:divBdr>
    </w:div>
    <w:div w:id="727801168">
      <w:marLeft w:val="0"/>
      <w:marRight w:val="0"/>
      <w:marTop w:val="0"/>
      <w:marBottom w:val="0"/>
      <w:divBdr>
        <w:top w:val="none" w:sz="0" w:space="0" w:color="auto"/>
        <w:left w:val="none" w:sz="0" w:space="0" w:color="auto"/>
        <w:bottom w:val="none" w:sz="0" w:space="0" w:color="auto"/>
        <w:right w:val="none" w:sz="0" w:space="0" w:color="auto"/>
      </w:divBdr>
    </w:div>
    <w:div w:id="731578952">
      <w:marLeft w:val="0"/>
      <w:marRight w:val="0"/>
      <w:marTop w:val="0"/>
      <w:marBottom w:val="0"/>
      <w:divBdr>
        <w:top w:val="none" w:sz="0" w:space="0" w:color="auto"/>
        <w:left w:val="none" w:sz="0" w:space="0" w:color="auto"/>
        <w:bottom w:val="none" w:sz="0" w:space="0" w:color="auto"/>
        <w:right w:val="none" w:sz="0" w:space="0" w:color="auto"/>
      </w:divBdr>
    </w:div>
    <w:div w:id="772945756">
      <w:marLeft w:val="0"/>
      <w:marRight w:val="0"/>
      <w:marTop w:val="0"/>
      <w:marBottom w:val="0"/>
      <w:divBdr>
        <w:top w:val="none" w:sz="0" w:space="0" w:color="auto"/>
        <w:left w:val="none" w:sz="0" w:space="0" w:color="auto"/>
        <w:bottom w:val="none" w:sz="0" w:space="0" w:color="auto"/>
        <w:right w:val="none" w:sz="0" w:space="0" w:color="auto"/>
      </w:divBdr>
    </w:div>
    <w:div w:id="779421576">
      <w:marLeft w:val="0"/>
      <w:marRight w:val="0"/>
      <w:marTop w:val="0"/>
      <w:marBottom w:val="0"/>
      <w:divBdr>
        <w:top w:val="none" w:sz="0" w:space="0" w:color="auto"/>
        <w:left w:val="none" w:sz="0" w:space="0" w:color="auto"/>
        <w:bottom w:val="none" w:sz="0" w:space="0" w:color="auto"/>
        <w:right w:val="none" w:sz="0" w:space="0" w:color="auto"/>
      </w:divBdr>
    </w:div>
    <w:div w:id="794368052">
      <w:marLeft w:val="0"/>
      <w:marRight w:val="0"/>
      <w:marTop w:val="0"/>
      <w:marBottom w:val="0"/>
      <w:divBdr>
        <w:top w:val="none" w:sz="0" w:space="0" w:color="auto"/>
        <w:left w:val="none" w:sz="0" w:space="0" w:color="auto"/>
        <w:bottom w:val="none" w:sz="0" w:space="0" w:color="auto"/>
        <w:right w:val="none" w:sz="0" w:space="0" w:color="auto"/>
      </w:divBdr>
    </w:div>
    <w:div w:id="803694374">
      <w:marLeft w:val="0"/>
      <w:marRight w:val="0"/>
      <w:marTop w:val="0"/>
      <w:marBottom w:val="0"/>
      <w:divBdr>
        <w:top w:val="none" w:sz="0" w:space="0" w:color="auto"/>
        <w:left w:val="none" w:sz="0" w:space="0" w:color="auto"/>
        <w:bottom w:val="none" w:sz="0" w:space="0" w:color="auto"/>
        <w:right w:val="none" w:sz="0" w:space="0" w:color="auto"/>
      </w:divBdr>
    </w:div>
    <w:div w:id="829323673">
      <w:marLeft w:val="0"/>
      <w:marRight w:val="0"/>
      <w:marTop w:val="0"/>
      <w:marBottom w:val="0"/>
      <w:divBdr>
        <w:top w:val="none" w:sz="0" w:space="0" w:color="auto"/>
        <w:left w:val="none" w:sz="0" w:space="0" w:color="auto"/>
        <w:bottom w:val="none" w:sz="0" w:space="0" w:color="auto"/>
        <w:right w:val="none" w:sz="0" w:space="0" w:color="auto"/>
      </w:divBdr>
    </w:div>
    <w:div w:id="842278224">
      <w:marLeft w:val="0"/>
      <w:marRight w:val="0"/>
      <w:marTop w:val="0"/>
      <w:marBottom w:val="0"/>
      <w:divBdr>
        <w:top w:val="none" w:sz="0" w:space="0" w:color="auto"/>
        <w:left w:val="none" w:sz="0" w:space="0" w:color="auto"/>
        <w:bottom w:val="none" w:sz="0" w:space="0" w:color="auto"/>
        <w:right w:val="none" w:sz="0" w:space="0" w:color="auto"/>
      </w:divBdr>
    </w:div>
    <w:div w:id="868883601">
      <w:marLeft w:val="0"/>
      <w:marRight w:val="0"/>
      <w:marTop w:val="0"/>
      <w:marBottom w:val="0"/>
      <w:divBdr>
        <w:top w:val="none" w:sz="0" w:space="0" w:color="auto"/>
        <w:left w:val="none" w:sz="0" w:space="0" w:color="auto"/>
        <w:bottom w:val="none" w:sz="0" w:space="0" w:color="auto"/>
        <w:right w:val="none" w:sz="0" w:space="0" w:color="auto"/>
      </w:divBdr>
    </w:div>
    <w:div w:id="870142051">
      <w:marLeft w:val="0"/>
      <w:marRight w:val="0"/>
      <w:marTop w:val="0"/>
      <w:marBottom w:val="0"/>
      <w:divBdr>
        <w:top w:val="none" w:sz="0" w:space="0" w:color="auto"/>
        <w:left w:val="none" w:sz="0" w:space="0" w:color="auto"/>
        <w:bottom w:val="none" w:sz="0" w:space="0" w:color="auto"/>
        <w:right w:val="none" w:sz="0" w:space="0" w:color="auto"/>
      </w:divBdr>
    </w:div>
    <w:div w:id="916671159">
      <w:marLeft w:val="0"/>
      <w:marRight w:val="0"/>
      <w:marTop w:val="0"/>
      <w:marBottom w:val="0"/>
      <w:divBdr>
        <w:top w:val="none" w:sz="0" w:space="0" w:color="auto"/>
        <w:left w:val="none" w:sz="0" w:space="0" w:color="auto"/>
        <w:bottom w:val="none" w:sz="0" w:space="0" w:color="auto"/>
        <w:right w:val="none" w:sz="0" w:space="0" w:color="auto"/>
      </w:divBdr>
    </w:div>
    <w:div w:id="995301787">
      <w:marLeft w:val="0"/>
      <w:marRight w:val="0"/>
      <w:marTop w:val="0"/>
      <w:marBottom w:val="0"/>
      <w:divBdr>
        <w:top w:val="none" w:sz="0" w:space="0" w:color="auto"/>
        <w:left w:val="none" w:sz="0" w:space="0" w:color="auto"/>
        <w:bottom w:val="none" w:sz="0" w:space="0" w:color="auto"/>
        <w:right w:val="none" w:sz="0" w:space="0" w:color="auto"/>
      </w:divBdr>
    </w:div>
    <w:div w:id="1003512922">
      <w:marLeft w:val="0"/>
      <w:marRight w:val="0"/>
      <w:marTop w:val="0"/>
      <w:marBottom w:val="0"/>
      <w:divBdr>
        <w:top w:val="none" w:sz="0" w:space="0" w:color="auto"/>
        <w:left w:val="none" w:sz="0" w:space="0" w:color="auto"/>
        <w:bottom w:val="none" w:sz="0" w:space="0" w:color="auto"/>
        <w:right w:val="none" w:sz="0" w:space="0" w:color="auto"/>
      </w:divBdr>
    </w:div>
    <w:div w:id="1010716946">
      <w:marLeft w:val="0"/>
      <w:marRight w:val="0"/>
      <w:marTop w:val="0"/>
      <w:marBottom w:val="0"/>
      <w:divBdr>
        <w:top w:val="none" w:sz="0" w:space="0" w:color="auto"/>
        <w:left w:val="none" w:sz="0" w:space="0" w:color="auto"/>
        <w:bottom w:val="none" w:sz="0" w:space="0" w:color="auto"/>
        <w:right w:val="none" w:sz="0" w:space="0" w:color="auto"/>
      </w:divBdr>
    </w:div>
    <w:div w:id="1018778570">
      <w:marLeft w:val="0"/>
      <w:marRight w:val="0"/>
      <w:marTop w:val="0"/>
      <w:marBottom w:val="0"/>
      <w:divBdr>
        <w:top w:val="none" w:sz="0" w:space="0" w:color="auto"/>
        <w:left w:val="none" w:sz="0" w:space="0" w:color="auto"/>
        <w:bottom w:val="none" w:sz="0" w:space="0" w:color="auto"/>
        <w:right w:val="none" w:sz="0" w:space="0" w:color="auto"/>
      </w:divBdr>
    </w:div>
    <w:div w:id="1027753389">
      <w:marLeft w:val="0"/>
      <w:marRight w:val="0"/>
      <w:marTop w:val="0"/>
      <w:marBottom w:val="0"/>
      <w:divBdr>
        <w:top w:val="none" w:sz="0" w:space="0" w:color="auto"/>
        <w:left w:val="none" w:sz="0" w:space="0" w:color="auto"/>
        <w:bottom w:val="none" w:sz="0" w:space="0" w:color="auto"/>
        <w:right w:val="none" w:sz="0" w:space="0" w:color="auto"/>
      </w:divBdr>
    </w:div>
    <w:div w:id="1111128190">
      <w:marLeft w:val="0"/>
      <w:marRight w:val="0"/>
      <w:marTop w:val="0"/>
      <w:marBottom w:val="0"/>
      <w:divBdr>
        <w:top w:val="none" w:sz="0" w:space="0" w:color="auto"/>
        <w:left w:val="none" w:sz="0" w:space="0" w:color="auto"/>
        <w:bottom w:val="none" w:sz="0" w:space="0" w:color="auto"/>
        <w:right w:val="none" w:sz="0" w:space="0" w:color="auto"/>
      </w:divBdr>
    </w:div>
    <w:div w:id="1159882026">
      <w:marLeft w:val="0"/>
      <w:marRight w:val="0"/>
      <w:marTop w:val="0"/>
      <w:marBottom w:val="0"/>
      <w:divBdr>
        <w:top w:val="none" w:sz="0" w:space="0" w:color="auto"/>
        <w:left w:val="none" w:sz="0" w:space="0" w:color="auto"/>
        <w:bottom w:val="none" w:sz="0" w:space="0" w:color="auto"/>
        <w:right w:val="none" w:sz="0" w:space="0" w:color="auto"/>
      </w:divBdr>
    </w:div>
    <w:div w:id="1189873277">
      <w:marLeft w:val="0"/>
      <w:marRight w:val="0"/>
      <w:marTop w:val="0"/>
      <w:marBottom w:val="0"/>
      <w:divBdr>
        <w:top w:val="none" w:sz="0" w:space="0" w:color="auto"/>
        <w:left w:val="none" w:sz="0" w:space="0" w:color="auto"/>
        <w:bottom w:val="none" w:sz="0" w:space="0" w:color="auto"/>
        <w:right w:val="none" w:sz="0" w:space="0" w:color="auto"/>
      </w:divBdr>
    </w:div>
    <w:div w:id="1190489290">
      <w:marLeft w:val="0"/>
      <w:marRight w:val="0"/>
      <w:marTop w:val="0"/>
      <w:marBottom w:val="0"/>
      <w:divBdr>
        <w:top w:val="none" w:sz="0" w:space="0" w:color="auto"/>
        <w:left w:val="none" w:sz="0" w:space="0" w:color="auto"/>
        <w:bottom w:val="none" w:sz="0" w:space="0" w:color="auto"/>
        <w:right w:val="none" w:sz="0" w:space="0" w:color="auto"/>
      </w:divBdr>
    </w:div>
    <w:div w:id="1261914496">
      <w:marLeft w:val="0"/>
      <w:marRight w:val="0"/>
      <w:marTop w:val="0"/>
      <w:marBottom w:val="0"/>
      <w:divBdr>
        <w:top w:val="none" w:sz="0" w:space="0" w:color="auto"/>
        <w:left w:val="none" w:sz="0" w:space="0" w:color="auto"/>
        <w:bottom w:val="none" w:sz="0" w:space="0" w:color="auto"/>
        <w:right w:val="none" w:sz="0" w:space="0" w:color="auto"/>
      </w:divBdr>
    </w:div>
    <w:div w:id="1373073026">
      <w:marLeft w:val="0"/>
      <w:marRight w:val="0"/>
      <w:marTop w:val="0"/>
      <w:marBottom w:val="0"/>
      <w:divBdr>
        <w:top w:val="none" w:sz="0" w:space="0" w:color="auto"/>
        <w:left w:val="none" w:sz="0" w:space="0" w:color="auto"/>
        <w:bottom w:val="none" w:sz="0" w:space="0" w:color="auto"/>
        <w:right w:val="none" w:sz="0" w:space="0" w:color="auto"/>
      </w:divBdr>
    </w:div>
    <w:div w:id="1382093083">
      <w:marLeft w:val="0"/>
      <w:marRight w:val="0"/>
      <w:marTop w:val="0"/>
      <w:marBottom w:val="0"/>
      <w:divBdr>
        <w:top w:val="none" w:sz="0" w:space="0" w:color="auto"/>
        <w:left w:val="none" w:sz="0" w:space="0" w:color="auto"/>
        <w:bottom w:val="none" w:sz="0" w:space="0" w:color="auto"/>
        <w:right w:val="none" w:sz="0" w:space="0" w:color="auto"/>
      </w:divBdr>
    </w:div>
    <w:div w:id="1386831145">
      <w:marLeft w:val="0"/>
      <w:marRight w:val="0"/>
      <w:marTop w:val="0"/>
      <w:marBottom w:val="0"/>
      <w:divBdr>
        <w:top w:val="none" w:sz="0" w:space="0" w:color="auto"/>
        <w:left w:val="none" w:sz="0" w:space="0" w:color="auto"/>
        <w:bottom w:val="none" w:sz="0" w:space="0" w:color="auto"/>
        <w:right w:val="none" w:sz="0" w:space="0" w:color="auto"/>
      </w:divBdr>
    </w:div>
    <w:div w:id="1426924977">
      <w:marLeft w:val="0"/>
      <w:marRight w:val="0"/>
      <w:marTop w:val="0"/>
      <w:marBottom w:val="0"/>
      <w:divBdr>
        <w:top w:val="none" w:sz="0" w:space="0" w:color="auto"/>
        <w:left w:val="none" w:sz="0" w:space="0" w:color="auto"/>
        <w:bottom w:val="none" w:sz="0" w:space="0" w:color="auto"/>
        <w:right w:val="none" w:sz="0" w:space="0" w:color="auto"/>
      </w:divBdr>
    </w:div>
    <w:div w:id="1433356447">
      <w:marLeft w:val="0"/>
      <w:marRight w:val="0"/>
      <w:marTop w:val="0"/>
      <w:marBottom w:val="0"/>
      <w:divBdr>
        <w:top w:val="none" w:sz="0" w:space="0" w:color="auto"/>
        <w:left w:val="none" w:sz="0" w:space="0" w:color="auto"/>
        <w:bottom w:val="none" w:sz="0" w:space="0" w:color="auto"/>
        <w:right w:val="none" w:sz="0" w:space="0" w:color="auto"/>
      </w:divBdr>
    </w:div>
    <w:div w:id="1434856122">
      <w:marLeft w:val="0"/>
      <w:marRight w:val="0"/>
      <w:marTop w:val="0"/>
      <w:marBottom w:val="0"/>
      <w:divBdr>
        <w:top w:val="none" w:sz="0" w:space="0" w:color="auto"/>
        <w:left w:val="none" w:sz="0" w:space="0" w:color="auto"/>
        <w:bottom w:val="none" w:sz="0" w:space="0" w:color="auto"/>
        <w:right w:val="none" w:sz="0" w:space="0" w:color="auto"/>
      </w:divBdr>
    </w:div>
    <w:div w:id="1443913263">
      <w:marLeft w:val="0"/>
      <w:marRight w:val="0"/>
      <w:marTop w:val="0"/>
      <w:marBottom w:val="0"/>
      <w:divBdr>
        <w:top w:val="none" w:sz="0" w:space="0" w:color="auto"/>
        <w:left w:val="none" w:sz="0" w:space="0" w:color="auto"/>
        <w:bottom w:val="none" w:sz="0" w:space="0" w:color="auto"/>
        <w:right w:val="none" w:sz="0" w:space="0" w:color="auto"/>
      </w:divBdr>
    </w:div>
    <w:div w:id="1486894120">
      <w:marLeft w:val="0"/>
      <w:marRight w:val="0"/>
      <w:marTop w:val="0"/>
      <w:marBottom w:val="0"/>
      <w:divBdr>
        <w:top w:val="none" w:sz="0" w:space="0" w:color="auto"/>
        <w:left w:val="none" w:sz="0" w:space="0" w:color="auto"/>
        <w:bottom w:val="none" w:sz="0" w:space="0" w:color="auto"/>
        <w:right w:val="none" w:sz="0" w:space="0" w:color="auto"/>
      </w:divBdr>
    </w:div>
    <w:div w:id="1509447726">
      <w:marLeft w:val="0"/>
      <w:marRight w:val="0"/>
      <w:marTop w:val="0"/>
      <w:marBottom w:val="0"/>
      <w:divBdr>
        <w:top w:val="none" w:sz="0" w:space="0" w:color="auto"/>
        <w:left w:val="none" w:sz="0" w:space="0" w:color="auto"/>
        <w:bottom w:val="none" w:sz="0" w:space="0" w:color="auto"/>
        <w:right w:val="none" w:sz="0" w:space="0" w:color="auto"/>
      </w:divBdr>
    </w:div>
    <w:div w:id="1509979874">
      <w:marLeft w:val="0"/>
      <w:marRight w:val="0"/>
      <w:marTop w:val="0"/>
      <w:marBottom w:val="0"/>
      <w:divBdr>
        <w:top w:val="none" w:sz="0" w:space="0" w:color="auto"/>
        <w:left w:val="none" w:sz="0" w:space="0" w:color="auto"/>
        <w:bottom w:val="none" w:sz="0" w:space="0" w:color="auto"/>
        <w:right w:val="none" w:sz="0" w:space="0" w:color="auto"/>
      </w:divBdr>
    </w:div>
    <w:div w:id="1527450257">
      <w:marLeft w:val="0"/>
      <w:marRight w:val="0"/>
      <w:marTop w:val="0"/>
      <w:marBottom w:val="0"/>
      <w:divBdr>
        <w:top w:val="none" w:sz="0" w:space="0" w:color="auto"/>
        <w:left w:val="none" w:sz="0" w:space="0" w:color="auto"/>
        <w:bottom w:val="none" w:sz="0" w:space="0" w:color="auto"/>
        <w:right w:val="none" w:sz="0" w:space="0" w:color="auto"/>
      </w:divBdr>
    </w:div>
    <w:div w:id="1543441509">
      <w:marLeft w:val="0"/>
      <w:marRight w:val="0"/>
      <w:marTop w:val="0"/>
      <w:marBottom w:val="0"/>
      <w:divBdr>
        <w:top w:val="none" w:sz="0" w:space="0" w:color="auto"/>
        <w:left w:val="none" w:sz="0" w:space="0" w:color="auto"/>
        <w:bottom w:val="none" w:sz="0" w:space="0" w:color="auto"/>
        <w:right w:val="none" w:sz="0" w:space="0" w:color="auto"/>
      </w:divBdr>
    </w:div>
    <w:div w:id="1556312628">
      <w:marLeft w:val="0"/>
      <w:marRight w:val="0"/>
      <w:marTop w:val="0"/>
      <w:marBottom w:val="0"/>
      <w:divBdr>
        <w:top w:val="none" w:sz="0" w:space="0" w:color="auto"/>
        <w:left w:val="none" w:sz="0" w:space="0" w:color="auto"/>
        <w:bottom w:val="none" w:sz="0" w:space="0" w:color="auto"/>
        <w:right w:val="none" w:sz="0" w:space="0" w:color="auto"/>
      </w:divBdr>
    </w:div>
    <w:div w:id="1556769436">
      <w:marLeft w:val="0"/>
      <w:marRight w:val="0"/>
      <w:marTop w:val="0"/>
      <w:marBottom w:val="0"/>
      <w:divBdr>
        <w:top w:val="none" w:sz="0" w:space="0" w:color="auto"/>
        <w:left w:val="none" w:sz="0" w:space="0" w:color="auto"/>
        <w:bottom w:val="none" w:sz="0" w:space="0" w:color="auto"/>
        <w:right w:val="none" w:sz="0" w:space="0" w:color="auto"/>
      </w:divBdr>
    </w:div>
    <w:div w:id="1556887414">
      <w:marLeft w:val="0"/>
      <w:marRight w:val="0"/>
      <w:marTop w:val="0"/>
      <w:marBottom w:val="0"/>
      <w:divBdr>
        <w:top w:val="none" w:sz="0" w:space="0" w:color="auto"/>
        <w:left w:val="none" w:sz="0" w:space="0" w:color="auto"/>
        <w:bottom w:val="none" w:sz="0" w:space="0" w:color="auto"/>
        <w:right w:val="none" w:sz="0" w:space="0" w:color="auto"/>
      </w:divBdr>
    </w:div>
    <w:div w:id="1575165763">
      <w:marLeft w:val="0"/>
      <w:marRight w:val="0"/>
      <w:marTop w:val="0"/>
      <w:marBottom w:val="0"/>
      <w:divBdr>
        <w:top w:val="none" w:sz="0" w:space="0" w:color="auto"/>
        <w:left w:val="none" w:sz="0" w:space="0" w:color="auto"/>
        <w:bottom w:val="none" w:sz="0" w:space="0" w:color="auto"/>
        <w:right w:val="none" w:sz="0" w:space="0" w:color="auto"/>
      </w:divBdr>
    </w:div>
    <w:div w:id="1577478196">
      <w:marLeft w:val="0"/>
      <w:marRight w:val="0"/>
      <w:marTop w:val="0"/>
      <w:marBottom w:val="0"/>
      <w:divBdr>
        <w:top w:val="none" w:sz="0" w:space="0" w:color="auto"/>
        <w:left w:val="none" w:sz="0" w:space="0" w:color="auto"/>
        <w:bottom w:val="none" w:sz="0" w:space="0" w:color="auto"/>
        <w:right w:val="none" w:sz="0" w:space="0" w:color="auto"/>
      </w:divBdr>
    </w:div>
    <w:div w:id="1582450655">
      <w:marLeft w:val="0"/>
      <w:marRight w:val="0"/>
      <w:marTop w:val="0"/>
      <w:marBottom w:val="0"/>
      <w:divBdr>
        <w:top w:val="none" w:sz="0" w:space="0" w:color="auto"/>
        <w:left w:val="none" w:sz="0" w:space="0" w:color="auto"/>
        <w:bottom w:val="none" w:sz="0" w:space="0" w:color="auto"/>
        <w:right w:val="none" w:sz="0" w:space="0" w:color="auto"/>
      </w:divBdr>
    </w:div>
    <w:div w:id="1586724677">
      <w:marLeft w:val="0"/>
      <w:marRight w:val="0"/>
      <w:marTop w:val="0"/>
      <w:marBottom w:val="0"/>
      <w:divBdr>
        <w:top w:val="none" w:sz="0" w:space="0" w:color="auto"/>
        <w:left w:val="none" w:sz="0" w:space="0" w:color="auto"/>
        <w:bottom w:val="none" w:sz="0" w:space="0" w:color="auto"/>
        <w:right w:val="none" w:sz="0" w:space="0" w:color="auto"/>
      </w:divBdr>
    </w:div>
    <w:div w:id="1614366359">
      <w:marLeft w:val="0"/>
      <w:marRight w:val="0"/>
      <w:marTop w:val="0"/>
      <w:marBottom w:val="0"/>
      <w:divBdr>
        <w:top w:val="none" w:sz="0" w:space="0" w:color="auto"/>
        <w:left w:val="none" w:sz="0" w:space="0" w:color="auto"/>
        <w:bottom w:val="none" w:sz="0" w:space="0" w:color="auto"/>
        <w:right w:val="none" w:sz="0" w:space="0" w:color="auto"/>
      </w:divBdr>
    </w:div>
    <w:div w:id="1626810174">
      <w:marLeft w:val="0"/>
      <w:marRight w:val="0"/>
      <w:marTop w:val="0"/>
      <w:marBottom w:val="0"/>
      <w:divBdr>
        <w:top w:val="none" w:sz="0" w:space="0" w:color="auto"/>
        <w:left w:val="none" w:sz="0" w:space="0" w:color="auto"/>
        <w:bottom w:val="none" w:sz="0" w:space="0" w:color="auto"/>
        <w:right w:val="none" w:sz="0" w:space="0" w:color="auto"/>
      </w:divBdr>
    </w:div>
    <w:div w:id="1698774932">
      <w:marLeft w:val="0"/>
      <w:marRight w:val="0"/>
      <w:marTop w:val="0"/>
      <w:marBottom w:val="0"/>
      <w:divBdr>
        <w:top w:val="none" w:sz="0" w:space="0" w:color="auto"/>
        <w:left w:val="none" w:sz="0" w:space="0" w:color="auto"/>
        <w:bottom w:val="none" w:sz="0" w:space="0" w:color="auto"/>
        <w:right w:val="none" w:sz="0" w:space="0" w:color="auto"/>
      </w:divBdr>
    </w:div>
    <w:div w:id="1719163886">
      <w:marLeft w:val="0"/>
      <w:marRight w:val="0"/>
      <w:marTop w:val="0"/>
      <w:marBottom w:val="0"/>
      <w:divBdr>
        <w:top w:val="none" w:sz="0" w:space="0" w:color="auto"/>
        <w:left w:val="none" w:sz="0" w:space="0" w:color="auto"/>
        <w:bottom w:val="none" w:sz="0" w:space="0" w:color="auto"/>
        <w:right w:val="none" w:sz="0" w:space="0" w:color="auto"/>
      </w:divBdr>
    </w:div>
    <w:div w:id="1727561289">
      <w:marLeft w:val="0"/>
      <w:marRight w:val="0"/>
      <w:marTop w:val="0"/>
      <w:marBottom w:val="0"/>
      <w:divBdr>
        <w:top w:val="none" w:sz="0" w:space="0" w:color="auto"/>
        <w:left w:val="none" w:sz="0" w:space="0" w:color="auto"/>
        <w:bottom w:val="none" w:sz="0" w:space="0" w:color="auto"/>
        <w:right w:val="none" w:sz="0" w:space="0" w:color="auto"/>
      </w:divBdr>
    </w:div>
    <w:div w:id="1740057137">
      <w:marLeft w:val="0"/>
      <w:marRight w:val="0"/>
      <w:marTop w:val="0"/>
      <w:marBottom w:val="0"/>
      <w:divBdr>
        <w:top w:val="none" w:sz="0" w:space="0" w:color="auto"/>
        <w:left w:val="none" w:sz="0" w:space="0" w:color="auto"/>
        <w:bottom w:val="none" w:sz="0" w:space="0" w:color="auto"/>
        <w:right w:val="none" w:sz="0" w:space="0" w:color="auto"/>
      </w:divBdr>
    </w:div>
    <w:div w:id="1836604732">
      <w:marLeft w:val="0"/>
      <w:marRight w:val="0"/>
      <w:marTop w:val="0"/>
      <w:marBottom w:val="0"/>
      <w:divBdr>
        <w:top w:val="none" w:sz="0" w:space="0" w:color="auto"/>
        <w:left w:val="none" w:sz="0" w:space="0" w:color="auto"/>
        <w:bottom w:val="none" w:sz="0" w:space="0" w:color="auto"/>
        <w:right w:val="none" w:sz="0" w:space="0" w:color="auto"/>
      </w:divBdr>
    </w:div>
    <w:div w:id="1863664396">
      <w:marLeft w:val="0"/>
      <w:marRight w:val="0"/>
      <w:marTop w:val="0"/>
      <w:marBottom w:val="0"/>
      <w:divBdr>
        <w:top w:val="none" w:sz="0" w:space="0" w:color="auto"/>
        <w:left w:val="none" w:sz="0" w:space="0" w:color="auto"/>
        <w:bottom w:val="none" w:sz="0" w:space="0" w:color="auto"/>
        <w:right w:val="none" w:sz="0" w:space="0" w:color="auto"/>
      </w:divBdr>
    </w:div>
    <w:div w:id="1885023939">
      <w:marLeft w:val="0"/>
      <w:marRight w:val="0"/>
      <w:marTop w:val="0"/>
      <w:marBottom w:val="0"/>
      <w:divBdr>
        <w:top w:val="none" w:sz="0" w:space="0" w:color="auto"/>
        <w:left w:val="none" w:sz="0" w:space="0" w:color="auto"/>
        <w:bottom w:val="none" w:sz="0" w:space="0" w:color="auto"/>
        <w:right w:val="none" w:sz="0" w:space="0" w:color="auto"/>
      </w:divBdr>
    </w:div>
    <w:div w:id="1891916601">
      <w:marLeft w:val="0"/>
      <w:marRight w:val="0"/>
      <w:marTop w:val="0"/>
      <w:marBottom w:val="0"/>
      <w:divBdr>
        <w:top w:val="none" w:sz="0" w:space="0" w:color="auto"/>
        <w:left w:val="none" w:sz="0" w:space="0" w:color="auto"/>
        <w:bottom w:val="none" w:sz="0" w:space="0" w:color="auto"/>
        <w:right w:val="none" w:sz="0" w:space="0" w:color="auto"/>
      </w:divBdr>
    </w:div>
    <w:div w:id="1921325724">
      <w:marLeft w:val="0"/>
      <w:marRight w:val="0"/>
      <w:marTop w:val="0"/>
      <w:marBottom w:val="0"/>
      <w:divBdr>
        <w:top w:val="none" w:sz="0" w:space="0" w:color="auto"/>
        <w:left w:val="none" w:sz="0" w:space="0" w:color="auto"/>
        <w:bottom w:val="none" w:sz="0" w:space="0" w:color="auto"/>
        <w:right w:val="none" w:sz="0" w:space="0" w:color="auto"/>
      </w:divBdr>
    </w:div>
    <w:div w:id="1936555993">
      <w:marLeft w:val="0"/>
      <w:marRight w:val="0"/>
      <w:marTop w:val="0"/>
      <w:marBottom w:val="0"/>
      <w:divBdr>
        <w:top w:val="none" w:sz="0" w:space="0" w:color="auto"/>
        <w:left w:val="none" w:sz="0" w:space="0" w:color="auto"/>
        <w:bottom w:val="none" w:sz="0" w:space="0" w:color="auto"/>
        <w:right w:val="none" w:sz="0" w:space="0" w:color="auto"/>
      </w:divBdr>
    </w:div>
    <w:div w:id="1991211227">
      <w:marLeft w:val="0"/>
      <w:marRight w:val="0"/>
      <w:marTop w:val="0"/>
      <w:marBottom w:val="0"/>
      <w:divBdr>
        <w:top w:val="none" w:sz="0" w:space="0" w:color="auto"/>
        <w:left w:val="none" w:sz="0" w:space="0" w:color="auto"/>
        <w:bottom w:val="none" w:sz="0" w:space="0" w:color="auto"/>
        <w:right w:val="none" w:sz="0" w:space="0" w:color="auto"/>
      </w:divBdr>
    </w:div>
    <w:div w:id="2003048426">
      <w:marLeft w:val="0"/>
      <w:marRight w:val="0"/>
      <w:marTop w:val="0"/>
      <w:marBottom w:val="0"/>
      <w:divBdr>
        <w:top w:val="none" w:sz="0" w:space="0" w:color="auto"/>
        <w:left w:val="none" w:sz="0" w:space="0" w:color="auto"/>
        <w:bottom w:val="none" w:sz="0" w:space="0" w:color="auto"/>
        <w:right w:val="none" w:sz="0" w:space="0" w:color="auto"/>
      </w:divBdr>
    </w:div>
    <w:div w:id="2043051422">
      <w:marLeft w:val="0"/>
      <w:marRight w:val="0"/>
      <w:marTop w:val="0"/>
      <w:marBottom w:val="0"/>
      <w:divBdr>
        <w:top w:val="none" w:sz="0" w:space="0" w:color="auto"/>
        <w:left w:val="none" w:sz="0" w:space="0" w:color="auto"/>
        <w:bottom w:val="none" w:sz="0" w:space="0" w:color="auto"/>
        <w:right w:val="none" w:sz="0" w:space="0" w:color="auto"/>
      </w:divBdr>
    </w:div>
    <w:div w:id="2055616966">
      <w:marLeft w:val="0"/>
      <w:marRight w:val="0"/>
      <w:marTop w:val="0"/>
      <w:marBottom w:val="0"/>
      <w:divBdr>
        <w:top w:val="none" w:sz="0" w:space="0" w:color="auto"/>
        <w:left w:val="none" w:sz="0" w:space="0" w:color="auto"/>
        <w:bottom w:val="none" w:sz="0" w:space="0" w:color="auto"/>
        <w:right w:val="none" w:sz="0" w:space="0" w:color="auto"/>
      </w:divBdr>
    </w:div>
    <w:div w:id="2079326767">
      <w:marLeft w:val="0"/>
      <w:marRight w:val="0"/>
      <w:marTop w:val="0"/>
      <w:marBottom w:val="0"/>
      <w:divBdr>
        <w:top w:val="none" w:sz="0" w:space="0" w:color="auto"/>
        <w:left w:val="none" w:sz="0" w:space="0" w:color="auto"/>
        <w:bottom w:val="none" w:sz="0" w:space="0" w:color="auto"/>
        <w:right w:val="none" w:sz="0" w:space="0" w:color="auto"/>
      </w:divBdr>
    </w:div>
    <w:div w:id="2087606095">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98</Pages>
  <Words>19331</Words>
  <Characters>129531</Characters>
  <Application>Microsoft Office Word</Application>
  <DocSecurity>4</DocSecurity>
  <Lines>1079</Lines>
  <Paragraphs>297</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148565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JAW</dc:creator>
  <cp:lastModifiedBy>Jill Laptosky</cp:lastModifiedBy>
  <cp:revision>2</cp:revision>
  <dcterms:created xsi:type="dcterms:W3CDTF">2015-09-15T21:06:00Z</dcterms:created>
  <dcterms:modified xsi:type="dcterms:W3CDTF">2015-09-15T21:06:00Z</dcterms:modified>
</cp:coreProperties>
</file>