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577" w:rsidRDefault="00F91FD5">
      <w:pPr>
        <w:pStyle w:val="Heading1"/>
        <w:jc w:val="center"/>
        <w:rPr>
          <w:rFonts w:eastAsia="Times New Roman"/>
        </w:rPr>
      </w:pPr>
      <w:r>
        <w:rPr>
          <w:rFonts w:eastAsia="Times New Roman"/>
        </w:rPr>
        <w:t>Report on DOT Significant Rulemakings</w:t>
      </w:r>
    </w:p>
    <w:p w:rsidR="00F15577" w:rsidRDefault="00F91FD5">
      <w:pPr>
        <w:jc w:val="center"/>
        <w:rPr>
          <w:rFonts w:ascii="Times" w:eastAsia="Times New Roman" w:hAnsi="Times" w:cs="Times"/>
          <w:sz w:val="36"/>
          <w:szCs w:val="36"/>
        </w:rPr>
      </w:pPr>
      <w:r>
        <w:rPr>
          <w:rFonts w:ascii="Times" w:eastAsia="Times New Roman" w:hAnsi="Times" w:cs="Times"/>
          <w:sz w:val="36"/>
          <w:szCs w:val="36"/>
        </w:rPr>
        <w:t>Table of Contents</w:t>
      </w:r>
    </w:p>
    <w:p w:rsidR="00F15577" w:rsidRDefault="00F91FD5">
      <w:pPr>
        <w:rPr>
          <w:rFonts w:ascii="Times" w:eastAsia="Times New Roman" w:hAnsi="Times" w:cs="Times"/>
        </w:rPr>
      </w:pPr>
      <w:r>
        <w:rPr>
          <w:rFonts w:ascii="Times" w:eastAsia="Times New Roman" w:hAnsi="Times" w:cs="Times"/>
          <w:b/>
          <w:bCs/>
        </w:rPr>
        <w:t>Federal Aviation Administration</w:t>
      </w:r>
    </w:p>
    <w:p w:rsidR="00F15577" w:rsidRDefault="00F91FD5">
      <w:pPr>
        <w:divId w:val="25838737"/>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rsidR="00F15577" w:rsidRDefault="00F15577">
      <w:pPr>
        <w:rPr>
          <w:rFonts w:ascii="Times" w:eastAsia="Times New Roman" w:hAnsi="Times" w:cs="Times"/>
          <w:sz w:val="20"/>
          <w:szCs w:val="20"/>
        </w:rPr>
      </w:pPr>
    </w:p>
    <w:p w:rsidR="00F15577" w:rsidRDefault="00F91FD5">
      <w:pPr>
        <w:divId w:val="113641063"/>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Operation and Certification of Small Unmanned Aircraft Systems</w:t>
        </w:r>
      </w:hyperlink>
    </w:p>
    <w:p w:rsidR="00F15577" w:rsidRDefault="00F15577">
      <w:pPr>
        <w:rPr>
          <w:rFonts w:ascii="Times" w:eastAsia="Times New Roman" w:hAnsi="Times" w:cs="Times"/>
          <w:sz w:val="20"/>
          <w:szCs w:val="20"/>
        </w:rPr>
      </w:pPr>
    </w:p>
    <w:p w:rsidR="00F15577" w:rsidRDefault="00F91FD5">
      <w:pPr>
        <w:divId w:val="851650145"/>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Prohibition Against Certain Flights Within the Territory and Airspace of Afghanistan</w:t>
        </w:r>
      </w:hyperlink>
    </w:p>
    <w:p w:rsidR="00F15577" w:rsidRDefault="00F15577">
      <w:pPr>
        <w:rPr>
          <w:rFonts w:ascii="Times" w:eastAsia="Times New Roman" w:hAnsi="Times" w:cs="Times"/>
          <w:sz w:val="20"/>
          <w:szCs w:val="20"/>
        </w:rPr>
      </w:pPr>
    </w:p>
    <w:p w:rsidR="00F15577" w:rsidRDefault="00F91FD5">
      <w:pPr>
        <w:divId w:val="1737507285"/>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Requirement for Wildlife Assessments at Certificated Airports</w:t>
        </w:r>
      </w:hyperlink>
    </w:p>
    <w:p w:rsidR="00F15577" w:rsidRDefault="00F15577">
      <w:pPr>
        <w:rPr>
          <w:rFonts w:ascii="Times" w:eastAsia="Times New Roman" w:hAnsi="Times" w:cs="Times"/>
          <w:sz w:val="20"/>
          <w:szCs w:val="20"/>
        </w:rPr>
      </w:pPr>
    </w:p>
    <w:p w:rsidR="00F15577" w:rsidRDefault="00F91FD5">
      <w:pPr>
        <w:divId w:val="864830827"/>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Regulation Of Flight Operations Conducted By Alaska Guide Pilots</w:t>
        </w:r>
      </w:hyperlink>
    </w:p>
    <w:p w:rsidR="00F15577" w:rsidRDefault="00F15577">
      <w:pPr>
        <w:rPr>
          <w:rFonts w:ascii="Times" w:eastAsia="Times New Roman" w:hAnsi="Times" w:cs="Times"/>
          <w:sz w:val="20"/>
          <w:szCs w:val="20"/>
        </w:rPr>
      </w:pPr>
    </w:p>
    <w:p w:rsidR="00F15577" w:rsidRDefault="00F91FD5">
      <w:pPr>
        <w:divId w:val="941692374"/>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Air Carrier Maintenance Training Program</w:t>
        </w:r>
      </w:hyperlink>
    </w:p>
    <w:p w:rsidR="00F15577" w:rsidRDefault="00F15577">
      <w:pPr>
        <w:rPr>
          <w:rFonts w:ascii="Times" w:eastAsia="Times New Roman" w:hAnsi="Times" w:cs="Times"/>
          <w:sz w:val="20"/>
          <w:szCs w:val="20"/>
        </w:rPr>
      </w:pPr>
    </w:p>
    <w:p w:rsidR="00F15577" w:rsidRDefault="00F91FD5">
      <w:pPr>
        <w:divId w:val="1224870968"/>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Pilot Professional Development</w:t>
        </w:r>
      </w:hyperlink>
    </w:p>
    <w:p w:rsidR="00F15577" w:rsidRDefault="00F15577">
      <w:pPr>
        <w:rPr>
          <w:rFonts w:ascii="Times" w:eastAsia="Times New Roman" w:hAnsi="Times" w:cs="Times"/>
          <w:sz w:val="20"/>
          <w:szCs w:val="20"/>
        </w:rPr>
      </w:pPr>
    </w:p>
    <w:p w:rsidR="00F15577" w:rsidRDefault="00F91FD5">
      <w:pPr>
        <w:divId w:val="1399789213"/>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Slot Management and Transparency for LaGuardia Airport, John F. Kennedy International Airport, and Newark Liberty International Airport</w:t>
        </w:r>
      </w:hyperlink>
    </w:p>
    <w:p w:rsidR="00F15577" w:rsidRDefault="00F15577">
      <w:pPr>
        <w:rPr>
          <w:rFonts w:ascii="Times" w:eastAsia="Times New Roman" w:hAnsi="Times" w:cs="Times"/>
          <w:sz w:val="20"/>
          <w:szCs w:val="20"/>
        </w:rPr>
      </w:pPr>
    </w:p>
    <w:p w:rsidR="00F15577" w:rsidRDefault="00F91FD5">
      <w:pPr>
        <w:divId w:val="493952974"/>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Drug and Alcohol Testing of Certain Maintenance Provider Employees Located Outside of the United States</w:t>
        </w:r>
      </w:hyperlink>
    </w:p>
    <w:p w:rsidR="00F15577" w:rsidRDefault="00F15577">
      <w:pPr>
        <w:rPr>
          <w:rFonts w:ascii="Times" w:eastAsia="Times New Roman" w:hAnsi="Times" w:cs="Times"/>
          <w:sz w:val="20"/>
          <w:szCs w:val="20"/>
        </w:rPr>
      </w:pPr>
    </w:p>
    <w:p w:rsidR="00F15577" w:rsidRDefault="00F91FD5">
      <w:pPr>
        <w:divId w:val="564753928"/>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Applying the Flight, Duty, and Rest requirements to Ferry Flights that Follow Domestic, Flag, or Supplemental All-Cargo Operations (Reauthorization)</w:t>
        </w:r>
      </w:hyperlink>
    </w:p>
    <w:p w:rsidR="00F15577" w:rsidRDefault="00F15577">
      <w:pPr>
        <w:rPr>
          <w:rFonts w:ascii="Times" w:eastAsia="Times New Roman" w:hAnsi="Times" w:cs="Times"/>
          <w:sz w:val="20"/>
          <w:szCs w:val="20"/>
        </w:rPr>
      </w:pPr>
    </w:p>
    <w:p w:rsidR="00F15577" w:rsidRDefault="00F91FD5">
      <w:pPr>
        <w:divId w:val="1267689811"/>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Applying the Flight, Duty, and Rest Rules of 14 CFR part 135 to Tail-End Ferry Operations (FAA Reauthorization</w:t>
        </w:r>
      </w:hyperlink>
    </w:p>
    <w:p w:rsidR="00F15577" w:rsidRDefault="00F15577">
      <w:pPr>
        <w:rPr>
          <w:rFonts w:ascii="Times" w:eastAsia="Times New Roman" w:hAnsi="Times" w:cs="Times"/>
          <w:sz w:val="20"/>
          <w:szCs w:val="20"/>
        </w:rPr>
      </w:pPr>
    </w:p>
    <w:p w:rsidR="00F15577" w:rsidRDefault="00F91FD5">
      <w:pPr>
        <w:divId w:val="848446568"/>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Pilot Records Database (HR 5900)</w:t>
        </w:r>
      </w:hyperlink>
    </w:p>
    <w:p w:rsidR="00F15577" w:rsidRDefault="00F15577">
      <w:pPr>
        <w:rPr>
          <w:rFonts w:ascii="Times" w:eastAsia="Times New Roman" w:hAnsi="Times" w:cs="Times"/>
          <w:sz w:val="20"/>
          <w:szCs w:val="20"/>
        </w:rPr>
      </w:pPr>
    </w:p>
    <w:p w:rsidR="00F15577" w:rsidRDefault="00F91FD5">
      <w:pPr>
        <w:divId w:val="1479763665"/>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Pilot Biometric Certificates (FAA Reauthorization)</w:t>
        </w:r>
      </w:hyperlink>
    </w:p>
    <w:p w:rsidR="00F15577" w:rsidRDefault="00F15577">
      <w:pPr>
        <w:rPr>
          <w:rFonts w:ascii="Times" w:eastAsia="Times New Roman" w:hAnsi="Times" w:cs="Times"/>
          <w:sz w:val="20"/>
          <w:szCs w:val="20"/>
        </w:rPr>
      </w:pPr>
    </w:p>
    <w:p w:rsidR="00F15577" w:rsidRDefault="00F91FD5">
      <w:pPr>
        <w:divId w:val="225532159"/>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Aircraft Registration and Airmen Certification Fees</w:t>
        </w:r>
      </w:hyperlink>
    </w:p>
    <w:p w:rsidR="00F15577" w:rsidRDefault="00F15577">
      <w:pPr>
        <w:rPr>
          <w:rFonts w:ascii="Times" w:eastAsia="Times New Roman" w:hAnsi="Times" w:cs="Times"/>
          <w:sz w:val="20"/>
          <w:szCs w:val="20"/>
        </w:rPr>
      </w:pPr>
    </w:p>
    <w:p w:rsidR="00F15577" w:rsidRDefault="00F91FD5">
      <w:pPr>
        <w:divId w:val="1057972105"/>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Permanent Requirement for Helicopters to use the New York North Shore Helicopter Route</w:t>
        </w:r>
      </w:hyperlink>
    </w:p>
    <w:p w:rsidR="00F15577" w:rsidRDefault="00F15577">
      <w:pPr>
        <w:rPr>
          <w:rFonts w:ascii="Times" w:eastAsia="Times New Roman" w:hAnsi="Times" w:cs="Times"/>
          <w:sz w:val="20"/>
          <w:szCs w:val="20"/>
        </w:rPr>
      </w:pPr>
    </w:p>
    <w:p w:rsidR="00F15577" w:rsidRDefault="00F91FD5">
      <w:pPr>
        <w:divId w:val="724523325"/>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Medical Self-Evaluation for Certain Noncommercial Operations in Lieu of Airman Medical Certification</w:t>
        </w:r>
      </w:hyperlink>
    </w:p>
    <w:p w:rsidR="00F15577" w:rsidRDefault="00F15577">
      <w:pPr>
        <w:rPr>
          <w:rFonts w:ascii="Times" w:eastAsia="Times New Roman" w:hAnsi="Times" w:cs="Times"/>
          <w:sz w:val="20"/>
          <w:szCs w:val="20"/>
        </w:rPr>
      </w:pPr>
    </w:p>
    <w:p w:rsidR="00F15577" w:rsidRDefault="00F91FD5">
      <w:pPr>
        <w:divId w:val="526599595"/>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Helicopter Air Ambulance Pilot Training and Operational Requirements (HAA II) (FAA Reauthorization)</w:t>
        </w:r>
      </w:hyperlink>
    </w:p>
    <w:p w:rsidR="00F15577" w:rsidRDefault="00F15577">
      <w:pPr>
        <w:rPr>
          <w:rFonts w:ascii="Times" w:eastAsia="Times New Roman" w:hAnsi="Times" w:cs="Times"/>
          <w:sz w:val="20"/>
          <w:szCs w:val="20"/>
        </w:rPr>
      </w:pPr>
    </w:p>
    <w:p w:rsidR="00F15577" w:rsidRDefault="00F91FD5">
      <w:pPr>
        <w:divId w:val="1194926876"/>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Revision of Airworthiness Standards for Normal, Utility, Acrobatic, and Commuter Category Airplanes (RRR)</w:t>
        </w:r>
      </w:hyperlink>
    </w:p>
    <w:p w:rsidR="00F15577" w:rsidRDefault="00F15577">
      <w:pPr>
        <w:rPr>
          <w:rFonts w:ascii="Times" w:eastAsia="Times New Roman" w:hAnsi="Times" w:cs="Times"/>
          <w:sz w:val="20"/>
          <w:szCs w:val="20"/>
        </w:rPr>
      </w:pPr>
    </w:p>
    <w:p w:rsidR="00F15577" w:rsidRDefault="00F91FD5">
      <w:pPr>
        <w:divId w:val="108549433"/>
        <w:rPr>
          <w:rFonts w:ascii="Times" w:eastAsia="Times New Roman" w:hAnsi="Times" w:cs="Times"/>
        </w:rPr>
      </w:pPr>
      <w:r>
        <w:rPr>
          <w:rFonts w:ascii="Times" w:eastAsia="Times New Roman" w:hAnsi="Times" w:cs="Times"/>
        </w:rPr>
        <w:lastRenderedPageBreak/>
        <w:t>19. </w:t>
      </w:r>
      <w:hyperlink w:anchor="19" w:history="1">
        <w:r>
          <w:rPr>
            <w:rStyle w:val="Hyperlink"/>
            <w:rFonts w:ascii="Times" w:eastAsia="Times New Roman" w:hAnsi="Times" w:cs="Times"/>
          </w:rPr>
          <w:t>Requirements to File Notice of Construction of Meteorological Evaluation Towers and Other Renewable Energy Projects</w:t>
        </w:r>
      </w:hyperlink>
    </w:p>
    <w:p w:rsidR="00F15577" w:rsidRDefault="00F15577">
      <w:pPr>
        <w:rPr>
          <w:rFonts w:ascii="Times" w:eastAsia="Times New Roman" w:hAnsi="Times" w:cs="Times"/>
          <w:sz w:val="20"/>
          <w:szCs w:val="20"/>
        </w:rPr>
      </w:pPr>
    </w:p>
    <w:p w:rsidR="00F15577" w:rsidRDefault="00F91FD5">
      <w:pPr>
        <w:divId w:val="142158645"/>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Registration and Marking Requirements for Small Unmanned Aircraft</w:t>
        </w:r>
      </w:hyperlink>
    </w:p>
    <w:p w:rsidR="00F15577" w:rsidRDefault="00F15577">
      <w:pPr>
        <w:rPr>
          <w:rFonts w:ascii="Times" w:eastAsia="Times New Roman" w:hAnsi="Times" w:cs="Times"/>
          <w:sz w:val="20"/>
          <w:szCs w:val="20"/>
        </w:rPr>
      </w:pPr>
    </w:p>
    <w:p w:rsidR="00F15577" w:rsidRDefault="00F91FD5">
      <w:pPr>
        <w:divId w:val="724570227"/>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Operations of Small Unmanned Aircraft Over People</w:t>
        </w:r>
      </w:hyperlink>
    </w:p>
    <w:p w:rsidR="00F15577" w:rsidRDefault="00F15577">
      <w:pPr>
        <w:rPr>
          <w:rFonts w:ascii="Times" w:eastAsia="Times New Roman" w:hAnsi="Times" w:cs="Times"/>
          <w:sz w:val="20"/>
          <w:szCs w:val="20"/>
        </w:rPr>
      </w:pPr>
    </w:p>
    <w:p w:rsidR="00F15577" w:rsidRDefault="00F91FD5">
      <w:pPr>
        <w:rPr>
          <w:rFonts w:ascii="Times" w:eastAsia="Times New Roman" w:hAnsi="Times" w:cs="Times"/>
        </w:rPr>
      </w:pPr>
      <w:r>
        <w:rPr>
          <w:rFonts w:ascii="Times" w:eastAsia="Times New Roman" w:hAnsi="Times" w:cs="Times"/>
          <w:b/>
          <w:bCs/>
        </w:rPr>
        <w:t>Federal Highway Administration</w:t>
      </w:r>
    </w:p>
    <w:p w:rsidR="00F15577" w:rsidRDefault="00F91FD5">
      <w:pPr>
        <w:divId w:val="557979811"/>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Pavement Markings</w:t>
        </w:r>
      </w:hyperlink>
    </w:p>
    <w:p w:rsidR="00F15577" w:rsidRDefault="00F15577">
      <w:pPr>
        <w:rPr>
          <w:rFonts w:ascii="Times" w:eastAsia="Times New Roman" w:hAnsi="Times" w:cs="Times"/>
          <w:sz w:val="20"/>
          <w:szCs w:val="20"/>
        </w:rPr>
      </w:pPr>
    </w:p>
    <w:p w:rsidR="00F15577" w:rsidRDefault="00F91FD5">
      <w:pPr>
        <w:divId w:val="737099314"/>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Highway Worker Safety (MAP-21)</w:t>
        </w:r>
      </w:hyperlink>
    </w:p>
    <w:p w:rsidR="00F15577" w:rsidRDefault="00F15577">
      <w:pPr>
        <w:rPr>
          <w:rFonts w:ascii="Times" w:eastAsia="Times New Roman" w:hAnsi="Times" w:cs="Times"/>
          <w:sz w:val="20"/>
          <w:szCs w:val="20"/>
        </w:rPr>
      </w:pPr>
    </w:p>
    <w:p w:rsidR="00F15577" w:rsidRDefault="00F91FD5">
      <w:pPr>
        <w:divId w:val="352848282"/>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National Goals and Performance Management Measures 2 (MAP-21)</w:t>
        </w:r>
      </w:hyperlink>
    </w:p>
    <w:p w:rsidR="00F15577" w:rsidRDefault="00F15577">
      <w:pPr>
        <w:rPr>
          <w:rFonts w:ascii="Times" w:eastAsia="Times New Roman" w:hAnsi="Times" w:cs="Times"/>
          <w:sz w:val="20"/>
          <w:szCs w:val="20"/>
        </w:rPr>
      </w:pPr>
    </w:p>
    <w:p w:rsidR="00F15577" w:rsidRDefault="00F91FD5">
      <w:pPr>
        <w:divId w:val="1597860307"/>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National Goals and Performance Management Measures 3 (MAP-21)</w:t>
        </w:r>
      </w:hyperlink>
    </w:p>
    <w:p w:rsidR="00F15577" w:rsidRDefault="00F15577">
      <w:pPr>
        <w:rPr>
          <w:rFonts w:ascii="Times" w:eastAsia="Times New Roman" w:hAnsi="Times" w:cs="Times"/>
          <w:sz w:val="20"/>
          <w:szCs w:val="20"/>
        </w:rPr>
      </w:pPr>
    </w:p>
    <w:p w:rsidR="00F15577" w:rsidRDefault="00F91FD5">
      <w:pPr>
        <w:divId w:val="1521115817"/>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Bridge Inspection Standards (MAP-21)</w:t>
        </w:r>
      </w:hyperlink>
    </w:p>
    <w:p w:rsidR="00F15577" w:rsidRDefault="00F15577">
      <w:pPr>
        <w:rPr>
          <w:rFonts w:ascii="Times" w:eastAsia="Times New Roman" w:hAnsi="Times" w:cs="Times"/>
          <w:sz w:val="20"/>
          <w:szCs w:val="20"/>
        </w:rPr>
      </w:pPr>
    </w:p>
    <w:p w:rsidR="00F15577" w:rsidRDefault="00F91FD5">
      <w:pPr>
        <w:divId w:val="86312807"/>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Asset Management Plan (MAP-21)</w:t>
        </w:r>
      </w:hyperlink>
    </w:p>
    <w:p w:rsidR="00F15577" w:rsidRDefault="00F15577">
      <w:pPr>
        <w:rPr>
          <w:rFonts w:ascii="Times" w:eastAsia="Times New Roman" w:hAnsi="Times" w:cs="Times"/>
          <w:sz w:val="20"/>
          <w:szCs w:val="20"/>
        </w:rPr>
      </w:pPr>
    </w:p>
    <w:p w:rsidR="00F15577" w:rsidRDefault="00F91FD5">
      <w:pPr>
        <w:divId w:val="352534184"/>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Congestion Mitigation and Air Quality Improvement Program (MAP-21)</w:t>
        </w:r>
      </w:hyperlink>
    </w:p>
    <w:p w:rsidR="00F15577" w:rsidRDefault="00F15577">
      <w:pPr>
        <w:rPr>
          <w:rFonts w:ascii="Times" w:eastAsia="Times New Roman" w:hAnsi="Times" w:cs="Times"/>
          <w:sz w:val="20"/>
          <w:szCs w:val="20"/>
        </w:rPr>
      </w:pPr>
    </w:p>
    <w:p w:rsidR="00F15577" w:rsidRDefault="00F91FD5">
      <w:pPr>
        <w:divId w:val="1458793474"/>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Buy America (RRR)</w:t>
        </w:r>
      </w:hyperlink>
    </w:p>
    <w:p w:rsidR="00F15577" w:rsidRDefault="00F15577">
      <w:pPr>
        <w:rPr>
          <w:rFonts w:ascii="Times" w:eastAsia="Times New Roman" w:hAnsi="Times" w:cs="Times"/>
          <w:sz w:val="20"/>
          <w:szCs w:val="20"/>
        </w:rPr>
      </w:pPr>
    </w:p>
    <w:p w:rsidR="00F15577" w:rsidRDefault="00F91FD5">
      <w:pPr>
        <w:divId w:val="534774655"/>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Metropolitan Planning Organization (MPO) Coordination</w:t>
        </w:r>
      </w:hyperlink>
    </w:p>
    <w:p w:rsidR="00F15577" w:rsidRDefault="00F15577">
      <w:pPr>
        <w:rPr>
          <w:rFonts w:ascii="Times" w:eastAsia="Times New Roman" w:hAnsi="Times" w:cs="Times"/>
          <w:sz w:val="20"/>
          <w:szCs w:val="20"/>
        </w:rPr>
      </w:pPr>
    </w:p>
    <w:p w:rsidR="00F15577" w:rsidRDefault="00F91FD5">
      <w:pPr>
        <w:divId w:val="882401572"/>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Tribal Transportation Self-Governance Program</w:t>
        </w:r>
      </w:hyperlink>
    </w:p>
    <w:p w:rsidR="00F15577" w:rsidRDefault="00F15577">
      <w:pPr>
        <w:rPr>
          <w:rFonts w:ascii="Times" w:eastAsia="Times New Roman" w:hAnsi="Times" w:cs="Times"/>
          <w:sz w:val="20"/>
          <w:szCs w:val="20"/>
        </w:rPr>
      </w:pPr>
    </w:p>
    <w:p w:rsidR="00F15577" w:rsidRDefault="00F91FD5">
      <w:pPr>
        <w:rPr>
          <w:rFonts w:ascii="Times" w:eastAsia="Times New Roman" w:hAnsi="Times" w:cs="Times"/>
        </w:rPr>
      </w:pPr>
      <w:r>
        <w:rPr>
          <w:rFonts w:ascii="Times" w:eastAsia="Times New Roman" w:hAnsi="Times" w:cs="Times"/>
          <w:b/>
          <w:bCs/>
        </w:rPr>
        <w:t>Federal Motor Carrier Safety Administration</w:t>
      </w:r>
    </w:p>
    <w:p w:rsidR="00F15577" w:rsidRDefault="00F91FD5">
      <w:pPr>
        <w:divId w:val="1446537231"/>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Application by Certain Mexico-Domiciled Motor Carriers to Operate Beyond U.S. Municipalities and Commercial Zones on the U.S.-Mexico Border</w:t>
        </w:r>
      </w:hyperlink>
    </w:p>
    <w:p w:rsidR="00F15577" w:rsidRDefault="00F15577">
      <w:pPr>
        <w:rPr>
          <w:rFonts w:ascii="Times" w:eastAsia="Times New Roman" w:hAnsi="Times" w:cs="Times"/>
          <w:sz w:val="20"/>
          <w:szCs w:val="20"/>
        </w:rPr>
      </w:pPr>
    </w:p>
    <w:p w:rsidR="00F15577" w:rsidRDefault="00F91FD5">
      <w:pPr>
        <w:divId w:val="579099483"/>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Safety Monitoring System and Compliance Initiative for Mexico-Domiciled Motor Carriers Operating in the United States</w:t>
        </w:r>
      </w:hyperlink>
    </w:p>
    <w:p w:rsidR="00F15577" w:rsidRDefault="00F15577">
      <w:pPr>
        <w:rPr>
          <w:rFonts w:ascii="Times" w:eastAsia="Times New Roman" w:hAnsi="Times" w:cs="Times"/>
          <w:sz w:val="20"/>
          <w:szCs w:val="20"/>
        </w:rPr>
      </w:pPr>
    </w:p>
    <w:p w:rsidR="00F15577" w:rsidRDefault="00F91FD5">
      <w:pPr>
        <w:divId w:val="1595046317"/>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Certification of Safety Auditors, Safety Investigators, and Safety Inspectors</w:t>
        </w:r>
      </w:hyperlink>
    </w:p>
    <w:p w:rsidR="00F15577" w:rsidRDefault="00F15577">
      <w:pPr>
        <w:rPr>
          <w:rFonts w:ascii="Times" w:eastAsia="Times New Roman" w:hAnsi="Times" w:cs="Times"/>
          <w:sz w:val="20"/>
          <w:szCs w:val="20"/>
        </w:rPr>
      </w:pPr>
    </w:p>
    <w:p w:rsidR="00F15577" w:rsidRDefault="00F91FD5">
      <w:pPr>
        <w:divId w:val="278030154"/>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Limitations on the Issuance of Commercial Driver Licenses with a Hazardous Materials Endorsement</w:t>
        </w:r>
      </w:hyperlink>
    </w:p>
    <w:p w:rsidR="00F15577" w:rsidRDefault="00F15577">
      <w:pPr>
        <w:rPr>
          <w:rFonts w:ascii="Times" w:eastAsia="Times New Roman" w:hAnsi="Times" w:cs="Times"/>
          <w:sz w:val="20"/>
          <w:szCs w:val="20"/>
        </w:rPr>
      </w:pPr>
    </w:p>
    <w:p w:rsidR="00F15577" w:rsidRDefault="00F91FD5">
      <w:pPr>
        <w:divId w:val="422537277"/>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Consumer Complaint Information</w:t>
        </w:r>
      </w:hyperlink>
    </w:p>
    <w:p w:rsidR="00F15577" w:rsidRDefault="00F15577">
      <w:pPr>
        <w:rPr>
          <w:rFonts w:ascii="Times" w:eastAsia="Times New Roman" w:hAnsi="Times" w:cs="Times"/>
          <w:sz w:val="20"/>
          <w:szCs w:val="20"/>
        </w:rPr>
      </w:pPr>
    </w:p>
    <w:p w:rsidR="00F15577" w:rsidRDefault="00F91FD5">
      <w:pPr>
        <w:divId w:val="548037313"/>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Carrier Safety Fitness Determination</w:t>
        </w:r>
      </w:hyperlink>
    </w:p>
    <w:p w:rsidR="00F15577" w:rsidRDefault="00F15577">
      <w:pPr>
        <w:rPr>
          <w:rFonts w:ascii="Times" w:eastAsia="Times New Roman" w:hAnsi="Times" w:cs="Times"/>
          <w:sz w:val="20"/>
          <w:szCs w:val="20"/>
        </w:rPr>
      </w:pPr>
    </w:p>
    <w:p w:rsidR="00F15577" w:rsidRDefault="00F91FD5">
      <w:pPr>
        <w:divId w:val="450365419"/>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New Entrant Safety Assurance Process: Implementation of Section 210(b) of the Motor Carrier Safety Improvement Act of 1999</w:t>
        </w:r>
      </w:hyperlink>
    </w:p>
    <w:p w:rsidR="00F15577" w:rsidRDefault="00F15577">
      <w:pPr>
        <w:rPr>
          <w:rFonts w:ascii="Times" w:eastAsia="Times New Roman" w:hAnsi="Times" w:cs="Times"/>
          <w:sz w:val="20"/>
          <w:szCs w:val="20"/>
        </w:rPr>
      </w:pPr>
    </w:p>
    <w:p w:rsidR="00F15577" w:rsidRDefault="00F91FD5">
      <w:pPr>
        <w:divId w:val="1323195718"/>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Commercial Driver's License Drug and Alcohol Clearinghouse (MAP-21)</w:t>
        </w:r>
      </w:hyperlink>
    </w:p>
    <w:p w:rsidR="00F15577" w:rsidRDefault="00F15577">
      <w:pPr>
        <w:rPr>
          <w:rFonts w:ascii="Times" w:eastAsia="Times New Roman" w:hAnsi="Times" w:cs="Times"/>
          <w:sz w:val="20"/>
          <w:szCs w:val="20"/>
        </w:rPr>
      </w:pPr>
    </w:p>
    <w:p w:rsidR="00F15577" w:rsidRDefault="00F91FD5">
      <w:pPr>
        <w:divId w:val="1806509082"/>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MAP-21 Enhancements and Other Updates to the Unified Registration System</w:t>
        </w:r>
      </w:hyperlink>
    </w:p>
    <w:p w:rsidR="00F15577" w:rsidRDefault="00F15577">
      <w:pPr>
        <w:rPr>
          <w:rFonts w:ascii="Times" w:eastAsia="Times New Roman" w:hAnsi="Times" w:cs="Times"/>
          <w:sz w:val="20"/>
          <w:szCs w:val="20"/>
        </w:rPr>
      </w:pPr>
    </w:p>
    <w:p w:rsidR="00F15577" w:rsidRDefault="00F91FD5">
      <w:pPr>
        <w:divId w:val="431706650"/>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Heavy Vehicle Speed Limiters</w:t>
        </w:r>
      </w:hyperlink>
    </w:p>
    <w:p w:rsidR="00F15577" w:rsidRDefault="00F15577">
      <w:pPr>
        <w:rPr>
          <w:rFonts w:ascii="Times" w:eastAsia="Times New Roman" w:hAnsi="Times" w:cs="Times"/>
          <w:sz w:val="20"/>
          <w:szCs w:val="20"/>
        </w:rPr>
      </w:pPr>
    </w:p>
    <w:p w:rsidR="00F15577" w:rsidRDefault="00F91FD5">
      <w:pPr>
        <w:divId w:val="1419786380"/>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Entry-Level Driver Training</w:t>
        </w:r>
      </w:hyperlink>
    </w:p>
    <w:p w:rsidR="00F15577" w:rsidRDefault="00F15577">
      <w:pPr>
        <w:rPr>
          <w:rFonts w:ascii="Times" w:eastAsia="Times New Roman" w:hAnsi="Times" w:cs="Times"/>
          <w:sz w:val="20"/>
          <w:szCs w:val="20"/>
        </w:rPr>
      </w:pPr>
    </w:p>
    <w:p w:rsidR="00F15577" w:rsidRDefault="00F91FD5">
      <w:pPr>
        <w:divId w:val="1969847282"/>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Financial Responsibility for Motor Carriers, Freight Forwarders, and Brokers</w:t>
        </w:r>
      </w:hyperlink>
    </w:p>
    <w:p w:rsidR="00F15577" w:rsidRDefault="00F15577">
      <w:pPr>
        <w:rPr>
          <w:rFonts w:ascii="Times" w:eastAsia="Times New Roman" w:hAnsi="Times" w:cs="Times"/>
          <w:sz w:val="20"/>
          <w:szCs w:val="20"/>
        </w:rPr>
      </w:pPr>
    </w:p>
    <w:p w:rsidR="00F15577" w:rsidRDefault="00F91FD5">
      <w:pPr>
        <w:divId w:val="455294784"/>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State Inspection Programs for Passenger Carrier Vehicles</w:t>
        </w:r>
      </w:hyperlink>
    </w:p>
    <w:p w:rsidR="00F15577" w:rsidRDefault="00F15577">
      <w:pPr>
        <w:rPr>
          <w:rFonts w:ascii="Times" w:eastAsia="Times New Roman" w:hAnsi="Times" w:cs="Times"/>
          <w:sz w:val="20"/>
          <w:szCs w:val="20"/>
        </w:rPr>
      </w:pPr>
    </w:p>
    <w:p w:rsidR="00F15577" w:rsidRDefault="00F91FD5">
      <w:pPr>
        <w:divId w:val="64836341"/>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Evaluation of Safety-Sensitive Personnel for Moderate-to-Severe Obstructive Sleep Apnea</w:t>
        </w:r>
      </w:hyperlink>
    </w:p>
    <w:p w:rsidR="00F15577" w:rsidRDefault="00F15577">
      <w:pPr>
        <w:rPr>
          <w:rFonts w:ascii="Times" w:eastAsia="Times New Roman" w:hAnsi="Times" w:cs="Times"/>
          <w:sz w:val="20"/>
          <w:szCs w:val="20"/>
        </w:rPr>
      </w:pPr>
    </w:p>
    <w:p w:rsidR="00F15577" w:rsidRDefault="00F91FD5">
      <w:pPr>
        <w:rPr>
          <w:rFonts w:ascii="Times" w:eastAsia="Times New Roman" w:hAnsi="Times" w:cs="Times"/>
        </w:rPr>
      </w:pPr>
      <w:r>
        <w:rPr>
          <w:rFonts w:ascii="Times" w:eastAsia="Times New Roman" w:hAnsi="Times" w:cs="Times"/>
          <w:b/>
          <w:bCs/>
        </w:rPr>
        <w:t>Federal Railroad Administration</w:t>
      </w:r>
    </w:p>
    <w:p w:rsidR="00F15577" w:rsidRDefault="00F91FD5">
      <w:pPr>
        <w:divId w:val="768623346"/>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Risk Reduction Program</w:t>
        </w:r>
      </w:hyperlink>
    </w:p>
    <w:p w:rsidR="00F15577" w:rsidRDefault="00F15577">
      <w:pPr>
        <w:rPr>
          <w:rFonts w:ascii="Times" w:eastAsia="Times New Roman" w:hAnsi="Times" w:cs="Times"/>
          <w:sz w:val="20"/>
          <w:szCs w:val="20"/>
        </w:rPr>
      </w:pPr>
    </w:p>
    <w:p w:rsidR="00F15577" w:rsidRDefault="00F91FD5">
      <w:pPr>
        <w:divId w:val="1185941495"/>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Emergency Escape Breathing Apparatus</w:t>
        </w:r>
      </w:hyperlink>
    </w:p>
    <w:p w:rsidR="00F15577" w:rsidRDefault="00F15577">
      <w:pPr>
        <w:rPr>
          <w:rFonts w:ascii="Times" w:eastAsia="Times New Roman" w:hAnsi="Times" w:cs="Times"/>
          <w:sz w:val="20"/>
          <w:szCs w:val="20"/>
        </w:rPr>
      </w:pPr>
    </w:p>
    <w:p w:rsidR="00F15577" w:rsidRDefault="00F91FD5">
      <w:pPr>
        <w:divId w:val="557011924"/>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High-Speed Rail Corridor Development and Capital Investment Grants to Support Intercity Passenger Rail Service</w:t>
        </w:r>
      </w:hyperlink>
    </w:p>
    <w:p w:rsidR="00F15577" w:rsidRDefault="00F15577">
      <w:pPr>
        <w:rPr>
          <w:rFonts w:ascii="Times" w:eastAsia="Times New Roman" w:hAnsi="Times" w:cs="Times"/>
          <w:sz w:val="20"/>
          <w:szCs w:val="20"/>
        </w:rPr>
      </w:pPr>
    </w:p>
    <w:p w:rsidR="00F15577" w:rsidRDefault="00F91FD5">
      <w:pPr>
        <w:divId w:val="88694582"/>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High-Speed Intercity Passenger Rail (HSIPR) Program; Buy America Program Requirements</w:t>
        </w:r>
      </w:hyperlink>
    </w:p>
    <w:p w:rsidR="00F15577" w:rsidRDefault="00F15577">
      <w:pPr>
        <w:rPr>
          <w:rFonts w:ascii="Times" w:eastAsia="Times New Roman" w:hAnsi="Times" w:cs="Times"/>
          <w:sz w:val="20"/>
          <w:szCs w:val="20"/>
        </w:rPr>
      </w:pPr>
    </w:p>
    <w:p w:rsidR="00F15577" w:rsidRDefault="00F91FD5">
      <w:pPr>
        <w:divId w:val="1333410304"/>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Railroad System Safety Program</w:t>
        </w:r>
      </w:hyperlink>
    </w:p>
    <w:p w:rsidR="00F15577" w:rsidRDefault="00F15577">
      <w:pPr>
        <w:rPr>
          <w:rFonts w:ascii="Times" w:eastAsia="Times New Roman" w:hAnsi="Times" w:cs="Times"/>
          <w:sz w:val="20"/>
          <w:szCs w:val="20"/>
        </w:rPr>
      </w:pPr>
    </w:p>
    <w:p w:rsidR="00F15577" w:rsidRDefault="00F91FD5">
      <w:pPr>
        <w:divId w:val="906233970"/>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Passenger Equipment Safety Standards Amendments (RRR)</w:t>
        </w:r>
      </w:hyperlink>
    </w:p>
    <w:p w:rsidR="00F15577" w:rsidRDefault="00F15577">
      <w:pPr>
        <w:rPr>
          <w:rFonts w:ascii="Times" w:eastAsia="Times New Roman" w:hAnsi="Times" w:cs="Times"/>
          <w:sz w:val="20"/>
          <w:szCs w:val="20"/>
        </w:rPr>
      </w:pPr>
    </w:p>
    <w:p w:rsidR="00F15577" w:rsidRDefault="00F91FD5">
      <w:pPr>
        <w:divId w:val="186335361"/>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Train Crew Staffing and Location</w:t>
        </w:r>
      </w:hyperlink>
    </w:p>
    <w:p w:rsidR="00F15577" w:rsidRDefault="00F15577">
      <w:pPr>
        <w:rPr>
          <w:rFonts w:ascii="Times" w:eastAsia="Times New Roman" w:hAnsi="Times" w:cs="Times"/>
          <w:sz w:val="20"/>
          <w:szCs w:val="20"/>
        </w:rPr>
      </w:pPr>
    </w:p>
    <w:p w:rsidR="00F15577" w:rsidRDefault="00F91FD5">
      <w:pPr>
        <w:divId w:val="606350397"/>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Locomotive Recording Devices</w:t>
        </w:r>
      </w:hyperlink>
    </w:p>
    <w:p w:rsidR="00F15577" w:rsidRDefault="00F15577">
      <w:pPr>
        <w:rPr>
          <w:rFonts w:ascii="Times" w:eastAsia="Times New Roman" w:hAnsi="Times" w:cs="Times"/>
          <w:sz w:val="20"/>
          <w:szCs w:val="20"/>
        </w:rPr>
      </w:pPr>
    </w:p>
    <w:p w:rsidR="00F15577" w:rsidRDefault="00F91FD5">
      <w:pPr>
        <w:divId w:val="866606305"/>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Evaluation of Safety-Sensitive Personnel for Moderate-to-Severe Obstructive Sleep Apnea</w:t>
        </w:r>
      </w:hyperlink>
    </w:p>
    <w:p w:rsidR="00F15577" w:rsidRDefault="00F15577">
      <w:pPr>
        <w:rPr>
          <w:rFonts w:ascii="Times" w:eastAsia="Times New Roman" w:hAnsi="Times" w:cs="Times"/>
          <w:sz w:val="20"/>
          <w:szCs w:val="20"/>
        </w:rPr>
      </w:pPr>
    </w:p>
    <w:p w:rsidR="00F15577" w:rsidRDefault="00F91FD5">
      <w:pPr>
        <w:divId w:val="1016149199"/>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Track Safety Standards; Improving Rail Integrity</w:t>
        </w:r>
      </w:hyperlink>
    </w:p>
    <w:p w:rsidR="00F15577" w:rsidRDefault="00F15577">
      <w:pPr>
        <w:rPr>
          <w:rFonts w:ascii="Times" w:eastAsia="Times New Roman" w:hAnsi="Times" w:cs="Times"/>
          <w:sz w:val="20"/>
          <w:szCs w:val="20"/>
        </w:rPr>
      </w:pPr>
    </w:p>
    <w:p w:rsidR="00F15577" w:rsidRDefault="00F91FD5">
      <w:pPr>
        <w:rPr>
          <w:rFonts w:ascii="Times" w:eastAsia="Times New Roman" w:hAnsi="Times" w:cs="Times"/>
        </w:rPr>
      </w:pPr>
      <w:r>
        <w:rPr>
          <w:rFonts w:ascii="Times" w:eastAsia="Times New Roman" w:hAnsi="Times" w:cs="Times"/>
          <w:b/>
          <w:bCs/>
        </w:rPr>
        <w:t>Federal Transit Administration</w:t>
      </w:r>
    </w:p>
    <w:p w:rsidR="00F15577" w:rsidRDefault="00F91FD5">
      <w:pPr>
        <w:divId w:val="1878085693"/>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Private Sector Participation</w:t>
        </w:r>
      </w:hyperlink>
    </w:p>
    <w:p w:rsidR="00F15577" w:rsidRDefault="00F15577">
      <w:pPr>
        <w:rPr>
          <w:rFonts w:ascii="Times" w:eastAsia="Times New Roman" w:hAnsi="Times" w:cs="Times"/>
          <w:sz w:val="20"/>
          <w:szCs w:val="20"/>
        </w:rPr>
      </w:pPr>
    </w:p>
    <w:p w:rsidR="00F15577" w:rsidRDefault="00F91FD5">
      <w:pPr>
        <w:divId w:val="1553806906"/>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Transit Asset Management</w:t>
        </w:r>
      </w:hyperlink>
    </w:p>
    <w:p w:rsidR="00F15577" w:rsidRDefault="00F15577">
      <w:pPr>
        <w:rPr>
          <w:rFonts w:ascii="Times" w:eastAsia="Times New Roman" w:hAnsi="Times" w:cs="Times"/>
          <w:sz w:val="20"/>
          <w:szCs w:val="20"/>
        </w:rPr>
      </w:pPr>
    </w:p>
    <w:p w:rsidR="00F15577" w:rsidRDefault="00F91FD5">
      <w:pPr>
        <w:divId w:val="1726947912"/>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Bus Testing: Pass/Fail and Safety Criteria (MAP-21)</w:t>
        </w:r>
      </w:hyperlink>
    </w:p>
    <w:p w:rsidR="00F15577" w:rsidRDefault="00F15577">
      <w:pPr>
        <w:rPr>
          <w:rFonts w:ascii="Times" w:eastAsia="Times New Roman" w:hAnsi="Times" w:cs="Times"/>
          <w:sz w:val="20"/>
          <w:szCs w:val="20"/>
        </w:rPr>
      </w:pPr>
    </w:p>
    <w:p w:rsidR="00F15577" w:rsidRDefault="00F91FD5">
      <w:pPr>
        <w:divId w:val="1032808042"/>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Buy America: Amendments (MAP-21)</w:t>
        </w:r>
      </w:hyperlink>
    </w:p>
    <w:p w:rsidR="00F15577" w:rsidRDefault="00F15577">
      <w:pPr>
        <w:rPr>
          <w:rFonts w:ascii="Times" w:eastAsia="Times New Roman" w:hAnsi="Times" w:cs="Times"/>
          <w:sz w:val="20"/>
          <w:szCs w:val="20"/>
        </w:rPr>
      </w:pPr>
    </w:p>
    <w:p w:rsidR="00F15577" w:rsidRDefault="00F91FD5">
      <w:pPr>
        <w:divId w:val="274145159"/>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Core Capacity Projects (MAP-21)</w:t>
        </w:r>
      </w:hyperlink>
    </w:p>
    <w:p w:rsidR="00F15577" w:rsidRDefault="00F15577">
      <w:pPr>
        <w:rPr>
          <w:rFonts w:ascii="Times" w:eastAsia="Times New Roman" w:hAnsi="Times" w:cs="Times"/>
          <w:sz w:val="20"/>
          <w:szCs w:val="20"/>
        </w:rPr>
      </w:pPr>
    </w:p>
    <w:p w:rsidR="00F15577" w:rsidRDefault="00F91FD5">
      <w:pPr>
        <w:divId w:val="2128086851"/>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New and Small Start Projects (MAP-21)</w:t>
        </w:r>
      </w:hyperlink>
    </w:p>
    <w:p w:rsidR="00F15577" w:rsidRDefault="00F15577">
      <w:pPr>
        <w:rPr>
          <w:rFonts w:ascii="Times" w:eastAsia="Times New Roman" w:hAnsi="Times" w:cs="Times"/>
          <w:sz w:val="20"/>
          <w:szCs w:val="20"/>
        </w:rPr>
      </w:pPr>
    </w:p>
    <w:p w:rsidR="00F15577" w:rsidRDefault="00F91FD5">
      <w:pPr>
        <w:divId w:val="215774954"/>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National and Public Transportation Safety Plans (MAP-21) and Transit Asset Management</w:t>
        </w:r>
      </w:hyperlink>
    </w:p>
    <w:p w:rsidR="00F15577" w:rsidRDefault="00F15577">
      <w:pPr>
        <w:rPr>
          <w:rFonts w:ascii="Times" w:eastAsia="Times New Roman" w:hAnsi="Times" w:cs="Times"/>
          <w:sz w:val="20"/>
          <w:szCs w:val="20"/>
        </w:rPr>
      </w:pPr>
    </w:p>
    <w:p w:rsidR="00F15577" w:rsidRDefault="00F91FD5">
      <w:pPr>
        <w:divId w:val="431903397"/>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Public Transportation Agency Safety Plans</w:t>
        </w:r>
      </w:hyperlink>
    </w:p>
    <w:p w:rsidR="00F15577" w:rsidRDefault="00F15577">
      <w:pPr>
        <w:rPr>
          <w:rFonts w:ascii="Times" w:eastAsia="Times New Roman" w:hAnsi="Times" w:cs="Times"/>
          <w:sz w:val="20"/>
          <w:szCs w:val="20"/>
        </w:rPr>
      </w:pPr>
    </w:p>
    <w:p w:rsidR="00F15577" w:rsidRDefault="00F91FD5">
      <w:pPr>
        <w:rPr>
          <w:rFonts w:ascii="Times" w:eastAsia="Times New Roman" w:hAnsi="Times" w:cs="Times"/>
        </w:rPr>
      </w:pPr>
      <w:r>
        <w:rPr>
          <w:rFonts w:ascii="Times" w:eastAsia="Times New Roman" w:hAnsi="Times" w:cs="Times"/>
          <w:b/>
          <w:bCs/>
        </w:rPr>
        <w:lastRenderedPageBreak/>
        <w:t>Maritime Administration</w:t>
      </w:r>
    </w:p>
    <w:p w:rsidR="00F15577" w:rsidRDefault="00F91FD5">
      <w:pPr>
        <w:divId w:val="598223281"/>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Cargo Preference</w:t>
        </w:r>
      </w:hyperlink>
    </w:p>
    <w:p w:rsidR="00F15577" w:rsidRDefault="00F15577">
      <w:pPr>
        <w:rPr>
          <w:rFonts w:ascii="Times" w:eastAsia="Times New Roman" w:hAnsi="Times" w:cs="Times"/>
          <w:sz w:val="20"/>
          <w:szCs w:val="20"/>
        </w:rPr>
      </w:pPr>
    </w:p>
    <w:p w:rsidR="00F15577" w:rsidRDefault="00F91FD5">
      <w:pPr>
        <w:rPr>
          <w:rFonts w:ascii="Times" w:eastAsia="Times New Roman" w:hAnsi="Times" w:cs="Times"/>
        </w:rPr>
      </w:pPr>
      <w:r>
        <w:rPr>
          <w:rFonts w:ascii="Times" w:eastAsia="Times New Roman" w:hAnsi="Times" w:cs="Times"/>
          <w:b/>
          <w:bCs/>
        </w:rPr>
        <w:t>National Highway Traffic Safety Administration</w:t>
      </w:r>
    </w:p>
    <w:p w:rsidR="00F15577" w:rsidRDefault="00F91FD5">
      <w:pPr>
        <w:divId w:val="256136202"/>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Tire Fuel Efficiency Consumer Information - Part 2</w:t>
        </w:r>
      </w:hyperlink>
    </w:p>
    <w:p w:rsidR="00F15577" w:rsidRDefault="00F15577">
      <w:pPr>
        <w:rPr>
          <w:rFonts w:ascii="Times" w:eastAsia="Times New Roman" w:hAnsi="Times" w:cs="Times"/>
          <w:sz w:val="20"/>
          <w:szCs w:val="20"/>
        </w:rPr>
      </w:pPr>
    </w:p>
    <w:p w:rsidR="00F15577" w:rsidRDefault="00F91FD5">
      <w:pPr>
        <w:divId w:val="552695751"/>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Mandatory Event Data Recorder Requirements</w:t>
        </w:r>
      </w:hyperlink>
    </w:p>
    <w:p w:rsidR="00F15577" w:rsidRDefault="00F15577">
      <w:pPr>
        <w:rPr>
          <w:rFonts w:ascii="Times" w:eastAsia="Times New Roman" w:hAnsi="Times" w:cs="Times"/>
          <w:sz w:val="20"/>
          <w:szCs w:val="20"/>
        </w:rPr>
      </w:pPr>
    </w:p>
    <w:p w:rsidR="00F15577" w:rsidRDefault="00F91FD5">
      <w:pPr>
        <w:divId w:val="972827790"/>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Heavy Vehicle Speed Limiters</w:t>
        </w:r>
      </w:hyperlink>
    </w:p>
    <w:p w:rsidR="00F15577" w:rsidRDefault="00F15577">
      <w:pPr>
        <w:rPr>
          <w:rFonts w:ascii="Times" w:eastAsia="Times New Roman" w:hAnsi="Times" w:cs="Times"/>
          <w:sz w:val="20"/>
          <w:szCs w:val="20"/>
        </w:rPr>
      </w:pPr>
    </w:p>
    <w:p w:rsidR="00F15577" w:rsidRDefault="00F91FD5">
      <w:pPr>
        <w:divId w:val="1279265277"/>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Sound for Hybrid and Electric Vehicles</w:t>
        </w:r>
      </w:hyperlink>
    </w:p>
    <w:p w:rsidR="00F15577" w:rsidRDefault="00F15577">
      <w:pPr>
        <w:rPr>
          <w:rFonts w:ascii="Times" w:eastAsia="Times New Roman" w:hAnsi="Times" w:cs="Times"/>
          <w:sz w:val="20"/>
          <w:szCs w:val="20"/>
        </w:rPr>
      </w:pPr>
    </w:p>
    <w:p w:rsidR="00F15577" w:rsidRDefault="00F91FD5">
      <w:pPr>
        <w:divId w:val="798378190"/>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Establish Side Impact Performance Requirements for Child Restraint Systems (MAP-21)</w:t>
        </w:r>
      </w:hyperlink>
    </w:p>
    <w:p w:rsidR="00F15577" w:rsidRDefault="00F15577">
      <w:pPr>
        <w:rPr>
          <w:rFonts w:ascii="Times" w:eastAsia="Times New Roman" w:hAnsi="Times" w:cs="Times"/>
          <w:sz w:val="20"/>
          <w:szCs w:val="20"/>
        </w:rPr>
      </w:pPr>
    </w:p>
    <w:p w:rsidR="00F15577" w:rsidRDefault="00F91FD5">
      <w:pPr>
        <w:divId w:val="540673709"/>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Motorcoach Rollover Structural Integrity (MAP-21)</w:t>
        </w:r>
      </w:hyperlink>
    </w:p>
    <w:p w:rsidR="00F15577" w:rsidRDefault="00F15577">
      <w:pPr>
        <w:rPr>
          <w:rFonts w:ascii="Times" w:eastAsia="Times New Roman" w:hAnsi="Times" w:cs="Times"/>
          <w:sz w:val="20"/>
          <w:szCs w:val="20"/>
        </w:rPr>
      </w:pPr>
    </w:p>
    <w:p w:rsidR="00F15577" w:rsidRDefault="00F91FD5">
      <w:pPr>
        <w:divId w:val="641156068"/>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FMVSS No. 218 and Enforcement Policy Concerning Novelty Helmets</w:t>
        </w:r>
      </w:hyperlink>
    </w:p>
    <w:p w:rsidR="00F15577" w:rsidRDefault="00F15577">
      <w:pPr>
        <w:rPr>
          <w:rFonts w:ascii="Times" w:eastAsia="Times New Roman" w:hAnsi="Times" w:cs="Times"/>
          <w:sz w:val="20"/>
          <w:szCs w:val="20"/>
        </w:rPr>
      </w:pPr>
    </w:p>
    <w:p w:rsidR="00F15577" w:rsidRDefault="00F91FD5">
      <w:pPr>
        <w:divId w:val="201788402"/>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Amend Definition of 3-Wheeled Vehicles</w:t>
        </w:r>
      </w:hyperlink>
    </w:p>
    <w:p w:rsidR="00F15577" w:rsidRDefault="00F15577">
      <w:pPr>
        <w:rPr>
          <w:rFonts w:ascii="Times" w:eastAsia="Times New Roman" w:hAnsi="Times" w:cs="Times"/>
          <w:sz w:val="20"/>
          <w:szCs w:val="20"/>
        </w:rPr>
      </w:pPr>
    </w:p>
    <w:p w:rsidR="00F15577" w:rsidRDefault="00F91FD5">
      <w:pPr>
        <w:divId w:val="1129782661"/>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Uniform Procedures for State Highway Safety Programs (MAP-21)</w:t>
        </w:r>
      </w:hyperlink>
    </w:p>
    <w:p w:rsidR="00F15577" w:rsidRDefault="00F15577">
      <w:pPr>
        <w:rPr>
          <w:rFonts w:ascii="Times" w:eastAsia="Times New Roman" w:hAnsi="Times" w:cs="Times"/>
          <w:sz w:val="20"/>
          <w:szCs w:val="20"/>
        </w:rPr>
      </w:pPr>
    </w:p>
    <w:p w:rsidR="00F15577" w:rsidRDefault="00F91FD5">
      <w:pPr>
        <w:divId w:val="2036299301"/>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Rear Seat Belt Reminder System</w:t>
        </w:r>
      </w:hyperlink>
    </w:p>
    <w:p w:rsidR="00F15577" w:rsidRDefault="00F15577">
      <w:pPr>
        <w:rPr>
          <w:rFonts w:ascii="Times" w:eastAsia="Times New Roman" w:hAnsi="Times" w:cs="Times"/>
          <w:sz w:val="20"/>
          <w:szCs w:val="20"/>
        </w:rPr>
      </w:pPr>
    </w:p>
    <w:p w:rsidR="00F15577" w:rsidRDefault="00F91FD5">
      <w:pPr>
        <w:divId w:val="82529068"/>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Fuel Efficiency Standards for Medium- and Heavy-Duty Vehicles and Work Trucks: Phase 2</w:t>
        </w:r>
      </w:hyperlink>
    </w:p>
    <w:p w:rsidR="00F15577" w:rsidRDefault="00F15577">
      <w:pPr>
        <w:rPr>
          <w:rFonts w:ascii="Times" w:eastAsia="Times New Roman" w:hAnsi="Times" w:cs="Times"/>
          <w:sz w:val="20"/>
          <w:szCs w:val="20"/>
        </w:rPr>
      </w:pPr>
    </w:p>
    <w:p w:rsidR="00F15577" w:rsidRDefault="00F91FD5">
      <w:pPr>
        <w:divId w:val="97723419"/>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Federal Motor Vehicle Safety Standard (FMVSS) 150 - Vehicle to Vehicle (V2V) Communication</w:t>
        </w:r>
      </w:hyperlink>
    </w:p>
    <w:p w:rsidR="00F15577" w:rsidRDefault="00F15577">
      <w:pPr>
        <w:rPr>
          <w:rFonts w:ascii="Times" w:eastAsia="Times New Roman" w:hAnsi="Times" w:cs="Times"/>
          <w:sz w:val="20"/>
          <w:szCs w:val="20"/>
        </w:rPr>
      </w:pPr>
    </w:p>
    <w:p w:rsidR="00F15577" w:rsidRDefault="00F91FD5">
      <w:pPr>
        <w:divId w:val="957029942"/>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Retroreflective Tape for Single Unit Trucks</w:t>
        </w:r>
      </w:hyperlink>
    </w:p>
    <w:p w:rsidR="00F15577" w:rsidRDefault="00F15577">
      <w:pPr>
        <w:rPr>
          <w:rFonts w:ascii="Times" w:eastAsia="Times New Roman" w:hAnsi="Times" w:cs="Times"/>
          <w:sz w:val="20"/>
          <w:szCs w:val="20"/>
        </w:rPr>
      </w:pPr>
    </w:p>
    <w:p w:rsidR="00F15577" w:rsidRDefault="00F91FD5">
      <w:pPr>
        <w:rPr>
          <w:rFonts w:ascii="Times" w:eastAsia="Times New Roman" w:hAnsi="Times" w:cs="Times"/>
        </w:rPr>
      </w:pPr>
      <w:r>
        <w:rPr>
          <w:rFonts w:ascii="Times" w:eastAsia="Times New Roman" w:hAnsi="Times" w:cs="Times"/>
          <w:b/>
          <w:bCs/>
        </w:rPr>
        <w:t>Office of the Secretary</w:t>
      </w:r>
    </w:p>
    <w:p w:rsidR="00F15577" w:rsidRDefault="00F91FD5">
      <w:pPr>
        <w:divId w:val="104086189"/>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Airline Pricing Transparency and Other Consumer Protection Issues</w:t>
        </w:r>
      </w:hyperlink>
    </w:p>
    <w:p w:rsidR="00F15577" w:rsidRDefault="00F15577">
      <w:pPr>
        <w:rPr>
          <w:rFonts w:ascii="Times" w:eastAsia="Times New Roman" w:hAnsi="Times" w:cs="Times"/>
          <w:sz w:val="20"/>
          <w:szCs w:val="20"/>
        </w:rPr>
      </w:pPr>
    </w:p>
    <w:p w:rsidR="00F15577" w:rsidRDefault="00F91FD5">
      <w:pPr>
        <w:divId w:val="128862981"/>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F15577" w:rsidRDefault="00F15577">
      <w:pPr>
        <w:rPr>
          <w:rFonts w:ascii="Times" w:eastAsia="Times New Roman" w:hAnsi="Times" w:cs="Times"/>
          <w:sz w:val="20"/>
          <w:szCs w:val="20"/>
        </w:rPr>
      </w:pPr>
    </w:p>
    <w:p w:rsidR="00F15577" w:rsidRDefault="00F91FD5">
      <w:pPr>
        <w:divId w:val="743532262"/>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Transportation Services for Individuals with Disabilities: Over-the-Road Buses (RRR)</w:t>
        </w:r>
      </w:hyperlink>
    </w:p>
    <w:p w:rsidR="00F15577" w:rsidRDefault="00F15577">
      <w:pPr>
        <w:rPr>
          <w:rFonts w:ascii="Times" w:eastAsia="Times New Roman" w:hAnsi="Times" w:cs="Times"/>
          <w:sz w:val="20"/>
          <w:szCs w:val="20"/>
        </w:rPr>
      </w:pPr>
    </w:p>
    <w:p w:rsidR="00F15577" w:rsidRDefault="00F91FD5">
      <w:pPr>
        <w:divId w:val="619995688"/>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Use of Mobile Wireless Devices for Voice Calls on Aircraft</w:t>
        </w:r>
      </w:hyperlink>
    </w:p>
    <w:p w:rsidR="00F15577" w:rsidRDefault="00F15577">
      <w:pPr>
        <w:rPr>
          <w:rFonts w:ascii="Times" w:eastAsia="Times New Roman" w:hAnsi="Times" w:cs="Times"/>
          <w:sz w:val="20"/>
          <w:szCs w:val="20"/>
        </w:rPr>
      </w:pPr>
    </w:p>
    <w:p w:rsidR="00F15577" w:rsidRDefault="00F91FD5">
      <w:pPr>
        <w:divId w:val="964776098"/>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Reporting Ancillary Airline Passenger Revenues</w:t>
        </w:r>
      </w:hyperlink>
    </w:p>
    <w:p w:rsidR="00F15577" w:rsidRDefault="00F15577">
      <w:pPr>
        <w:rPr>
          <w:rFonts w:ascii="Times" w:eastAsia="Times New Roman" w:hAnsi="Times" w:cs="Times"/>
          <w:sz w:val="20"/>
          <w:szCs w:val="20"/>
        </w:rPr>
      </w:pPr>
    </w:p>
    <w:p w:rsidR="00F15577" w:rsidRDefault="00F91FD5">
      <w:pPr>
        <w:divId w:val="1854299239"/>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Accessible In-Flight Entertainment</w:t>
        </w:r>
      </w:hyperlink>
    </w:p>
    <w:p w:rsidR="00F15577" w:rsidRDefault="00F15577">
      <w:pPr>
        <w:rPr>
          <w:rFonts w:ascii="Times" w:eastAsia="Times New Roman" w:hAnsi="Times" w:cs="Times"/>
          <w:sz w:val="20"/>
          <w:szCs w:val="20"/>
        </w:rPr>
      </w:pPr>
    </w:p>
    <w:p w:rsidR="00F15577" w:rsidRDefault="00F91FD5">
      <w:pPr>
        <w:rPr>
          <w:rFonts w:ascii="Times" w:eastAsia="Times New Roman" w:hAnsi="Times" w:cs="Times"/>
        </w:rPr>
      </w:pPr>
      <w:r>
        <w:rPr>
          <w:rFonts w:ascii="Times" w:eastAsia="Times New Roman" w:hAnsi="Times" w:cs="Times"/>
          <w:b/>
          <w:bCs/>
        </w:rPr>
        <w:t>Pipeline and Hazardous Materials Safety Administration</w:t>
      </w:r>
    </w:p>
    <w:p w:rsidR="00F15577" w:rsidRDefault="00F91FD5">
      <w:pPr>
        <w:divId w:val="1835686222"/>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Pipeline Safety: Safety of Hazardous Liquid Pipelines</w:t>
        </w:r>
      </w:hyperlink>
    </w:p>
    <w:p w:rsidR="00F15577" w:rsidRDefault="00F15577">
      <w:pPr>
        <w:rPr>
          <w:rFonts w:ascii="Times" w:eastAsia="Times New Roman" w:hAnsi="Times" w:cs="Times"/>
          <w:sz w:val="20"/>
          <w:szCs w:val="20"/>
        </w:rPr>
      </w:pPr>
    </w:p>
    <w:p w:rsidR="00F15577" w:rsidRDefault="00F91FD5">
      <w:pPr>
        <w:divId w:val="361250755"/>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Pipeline Safety: Excess Flow Valves In Applications Other Than Single-Family Residences in Gas Distribution Systems</w:t>
        </w:r>
      </w:hyperlink>
    </w:p>
    <w:p w:rsidR="00F15577" w:rsidRDefault="00F15577">
      <w:pPr>
        <w:rPr>
          <w:rFonts w:ascii="Times" w:eastAsia="Times New Roman" w:hAnsi="Times" w:cs="Times"/>
          <w:sz w:val="20"/>
          <w:szCs w:val="20"/>
        </w:rPr>
      </w:pPr>
    </w:p>
    <w:p w:rsidR="00F15577" w:rsidRDefault="00F91FD5">
      <w:pPr>
        <w:divId w:val="670185661"/>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Pipeline Safety: Gas Transmission (RRR)</w:t>
        </w:r>
      </w:hyperlink>
    </w:p>
    <w:p w:rsidR="00F15577" w:rsidRDefault="00F15577">
      <w:pPr>
        <w:rPr>
          <w:rFonts w:ascii="Times" w:eastAsia="Times New Roman" w:hAnsi="Times" w:cs="Times"/>
          <w:sz w:val="20"/>
          <w:szCs w:val="20"/>
        </w:rPr>
      </w:pPr>
    </w:p>
    <w:p w:rsidR="00F15577" w:rsidRDefault="00F91FD5">
      <w:pPr>
        <w:divId w:val="1115830552"/>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Pipeline Safety: Amendments to Parts 192 and 195 to require Valve installation and Minimum Rupture Detection Standards</w:t>
        </w:r>
      </w:hyperlink>
    </w:p>
    <w:p w:rsidR="00F15577" w:rsidRDefault="00F15577">
      <w:pPr>
        <w:rPr>
          <w:rFonts w:ascii="Times" w:eastAsia="Times New Roman" w:hAnsi="Times" w:cs="Times"/>
          <w:sz w:val="20"/>
          <w:szCs w:val="20"/>
        </w:rPr>
      </w:pPr>
    </w:p>
    <w:p w:rsidR="00F15577" w:rsidRDefault="00F91FD5">
      <w:pPr>
        <w:divId w:val="1495535431"/>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Hazardous Materials: Review and Update of Rail Carrier Regulations in Part 174 (RRR)</w:t>
        </w:r>
      </w:hyperlink>
    </w:p>
    <w:p w:rsidR="00F15577" w:rsidRDefault="00F15577">
      <w:pPr>
        <w:rPr>
          <w:rFonts w:ascii="Times" w:eastAsia="Times New Roman" w:hAnsi="Times" w:cs="Times"/>
          <w:sz w:val="20"/>
          <w:szCs w:val="20"/>
        </w:rPr>
      </w:pPr>
    </w:p>
    <w:p w:rsidR="00F15577" w:rsidRDefault="00F91FD5">
      <w:pPr>
        <w:divId w:val="806623667"/>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Hazardous Materials: Oil Spill Response Plans and Information Sharing for High-Hazard Flammable Trains</w:t>
        </w:r>
      </w:hyperlink>
    </w:p>
    <w:p w:rsidR="00F15577" w:rsidRDefault="00F15577">
      <w:pPr>
        <w:rPr>
          <w:rFonts w:ascii="Times" w:eastAsia="Times New Roman" w:hAnsi="Times" w:cs="Times"/>
          <w:sz w:val="20"/>
          <w:szCs w:val="20"/>
        </w:rPr>
      </w:pPr>
    </w:p>
    <w:p w:rsidR="00F15577" w:rsidRDefault="00F91FD5">
      <w:pPr>
        <w:divId w:val="97138444"/>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Hazardous Materials: FAST Act Requirements for Flammable Liquids and Rail Tank Cars</w:t>
        </w:r>
      </w:hyperlink>
    </w:p>
    <w:p w:rsidR="00F15577" w:rsidRDefault="00F15577">
      <w:pPr>
        <w:rPr>
          <w:rFonts w:ascii="Times" w:eastAsia="Times New Roman" w:hAnsi="Times" w:cs="Times"/>
          <w:sz w:val="20"/>
          <w:szCs w:val="20"/>
        </w:rPr>
      </w:pPr>
    </w:p>
    <w:p w:rsidR="00F15577" w:rsidRDefault="00F91FD5">
      <w:pPr>
        <w:divId w:val="1824466703"/>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Hazardous Materials: Revised Lithium Battery Provisions</w:t>
        </w:r>
      </w:hyperlink>
    </w:p>
    <w:p w:rsidR="00F15577" w:rsidRDefault="00F15577">
      <w:pPr>
        <w:rPr>
          <w:rFonts w:ascii="Times" w:eastAsia="Times New Roman" w:hAnsi="Times" w:cs="Times"/>
          <w:sz w:val="20"/>
          <w:szCs w:val="20"/>
        </w:rPr>
      </w:pPr>
    </w:p>
    <w:p w:rsidR="00F15577" w:rsidRDefault="00F91FD5">
      <w:pPr>
        <w:divId w:val="54817062"/>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Pipeline Safety: Underground Storage Facilities for Natural Gas</w:t>
        </w:r>
      </w:hyperlink>
    </w:p>
    <w:p w:rsidR="00F15577" w:rsidRDefault="00F15577">
      <w:pPr>
        <w:rPr>
          <w:rFonts w:ascii="Times" w:eastAsia="Times New Roman" w:hAnsi="Times" w:cs="Times"/>
          <w:sz w:val="20"/>
          <w:szCs w:val="20"/>
        </w:rPr>
      </w:pPr>
    </w:p>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0" w:name="1"/>
            <w:r>
              <w:rPr>
                <w:rFonts w:ascii="Times" w:eastAsia="Times New Roman" w:hAnsi="Times" w:cs="Times"/>
                <w:b/>
                <w:bCs/>
                <w:sz w:val="20"/>
                <w:szCs w:val="20"/>
              </w:rPr>
              <w:lastRenderedPageBreak/>
              <w:t>Federal Aviation Administration</w:t>
            </w:r>
          </w:p>
        </w:tc>
      </w:tr>
      <w:tr w:rsidR="00F15577">
        <w:trPr>
          <w:tblCellSpacing w:w="24" w:type="dxa"/>
        </w:trPr>
        <w:tc>
          <w:tcPr>
            <w:tcW w:w="0" w:type="auto"/>
            <w:gridSpan w:val="2"/>
            <w:vAlign w:val="center"/>
            <w:hideMark/>
          </w:tcPr>
          <w:p w:rsidR="00F15577" w:rsidRDefault="00A33CF3">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0"/>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2120-AJ38</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certain airport certificate holders to develop, implement, maintain, and adhere to a safety management system (SMS) for its aviation related activities.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Peer Review</w:t>
                  </w:r>
                  <w:r>
                    <w:rPr>
                      <w:rFonts w:ascii="Times" w:eastAsia="Times New Roman" w:hAnsi="Times" w:cs="Times"/>
                      <w:sz w:val="20"/>
                      <w:szCs w:val="20"/>
                    </w:rPr>
                    <w:br/>
                    <w:t>Foreign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05/24/2016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08/03/2016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1" w:name="2"/>
            <w:r>
              <w:rPr>
                <w:rFonts w:ascii="Times" w:eastAsia="Times New Roman" w:hAnsi="Times" w:cs="Times"/>
                <w:sz w:val="20"/>
                <w:szCs w:val="20"/>
              </w:rPr>
              <w:lastRenderedPageBreak/>
              <w:t>Federal Aviation Administration</w:t>
            </w:r>
            <w:bookmarkEnd w:id="1"/>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UAS Rule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2120-AJ60</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02/23/2015; C/P End: 04/24/2015 Final Rule: Publication Approved ;Publication Date ;Effective Date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allow the commercial operation of small unmanned aircraft systems (small UAS) in the National Airspace System (NAS). These changes would address the operation of small unmanned aircraft systems, certification of their operators, registration of the small unmanned aircraft, and display of registration markings. This action would also find airworthiness certification is not required for small unmanned aircraft system operations subject to this rulemaking.</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04"/>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03/11/2016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07/26/2016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2" w:name="3"/>
            <w:r>
              <w:rPr>
                <w:rFonts w:ascii="Times" w:eastAsia="Times New Roman" w:hAnsi="Times" w:cs="Times"/>
                <w:sz w:val="20"/>
                <w:szCs w:val="20"/>
              </w:rPr>
              <w:lastRenderedPageBreak/>
              <w:t>Federal Aviation Administration</w:t>
            </w:r>
            <w:bookmarkEnd w:id="2"/>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2120-AJ69</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3" w:name="4"/>
            <w:r>
              <w:rPr>
                <w:rFonts w:ascii="Times" w:eastAsia="Times New Roman" w:hAnsi="Times" w:cs="Times"/>
                <w:sz w:val="20"/>
                <w:szCs w:val="20"/>
              </w:rPr>
              <w:lastRenderedPageBreak/>
              <w:t>Federal Aviation Administration</w:t>
            </w:r>
            <w:bookmarkEnd w:id="3"/>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2120-AJ71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require certificated airports to complete a wildlife hazard assessment (WHA) and a wildlife hazard management plan (WHMP). It also would require periodic completion of a WHA, provide an option for continuous wildlife monitoring as an alternative to a periodic WHA, and clarify the requirements for airport wildlife biologists conducting a WHA or implementing a WHMP. This action would improve safety at airports through proactive identification and mitigation of wildlife hazards.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4" w:name="5"/>
            <w:r>
              <w:rPr>
                <w:rFonts w:ascii="Times" w:eastAsia="Times New Roman" w:hAnsi="Times" w:cs="Times"/>
                <w:sz w:val="20"/>
                <w:szCs w:val="20"/>
              </w:rPr>
              <w:lastRenderedPageBreak/>
              <w:t>Federal Aviation Administration</w:t>
            </w:r>
            <w:bookmarkEnd w:id="4"/>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2120-AJ78</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5" w:name="6"/>
            <w:r>
              <w:rPr>
                <w:rFonts w:ascii="Times" w:eastAsia="Times New Roman" w:hAnsi="Times" w:cs="Times"/>
                <w:sz w:val="20"/>
                <w:szCs w:val="20"/>
              </w:rPr>
              <w:lastRenderedPageBreak/>
              <w:t>Federal Aviation Administration</w:t>
            </w:r>
            <w:bookmarkEnd w:id="5"/>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2120-AJ79</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 The FAA has terminated this rulemaking due to concerns regarding the accidents used for its cost-benefit analysis, including whether some of the accidents would have been mitigated by the rule, and how far back the FAA should go to claim benefits to support the rule. In 2011, the FAA expected the proposed training requirements to mitigate 35 past accidents. In 2014, a reevaluation revealed that only 2 past accidents would be mitigated by the proposed training requirements, and further, these 2 accidents occurred outside the regulated community. In light of this re-evaluation, the FAA has terminated this rulemaking.</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6" w:name="7"/>
            <w:r>
              <w:rPr>
                <w:rFonts w:ascii="Times" w:eastAsia="Times New Roman" w:hAnsi="Times" w:cs="Times"/>
                <w:sz w:val="20"/>
                <w:szCs w:val="20"/>
              </w:rPr>
              <w:lastRenderedPageBreak/>
              <w:t>Federal Aviation Administration</w:t>
            </w:r>
            <w:bookmarkEnd w:id="6"/>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Pilot Professional Development</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2120-AJ87</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04/20/2015</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OMB/2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03/22/2016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07/06/2016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09/06/2016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7" w:name="8"/>
            <w:r>
              <w:rPr>
                <w:rFonts w:ascii="Times" w:eastAsia="Times New Roman" w:hAnsi="Times" w:cs="Times"/>
                <w:sz w:val="20"/>
                <w:szCs w:val="20"/>
              </w:rPr>
              <w:lastRenderedPageBreak/>
              <w:t>Federal Aviation Administration</w:t>
            </w:r>
            <w:bookmarkEnd w:id="7"/>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2120-AJ89</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01/08/2015; Comments End 04/08/2015; Comment Period Extended 04/13/2015; End of Extended Comment Period 05/08/2015.</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Foreign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FAA-2014-1073</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8" w:name="9"/>
            <w:r>
              <w:rPr>
                <w:rFonts w:ascii="Times" w:eastAsia="Times New Roman" w:hAnsi="Times" w:cs="Times"/>
                <w:sz w:val="20"/>
                <w:szCs w:val="20"/>
              </w:rPr>
              <w:lastRenderedPageBreak/>
              <w:t>Federal Aviation Administration</w:t>
            </w:r>
            <w:bookmarkEnd w:id="8"/>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2120-AK09</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05/16/2014; Extended Comment Period 05/01/2014; Extended Comment Period End 07/17/2014. ANPRM: Publication Approved 03/05/2014;Publication Date 03/17/2014;End of Comment Period 05/16/2014;Extension of Comment Period 05/01/2014;End of Extended of Comment Period 07/17/2014.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Reform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This rulemaking is required by the FAA Modernization and Reform Act of 2012.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08/28/2017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9" w:name="10"/>
            <w:r>
              <w:rPr>
                <w:rFonts w:ascii="Times" w:eastAsia="Times New Roman" w:hAnsi="Times" w:cs="Times"/>
                <w:sz w:val="20"/>
                <w:szCs w:val="20"/>
              </w:rPr>
              <w:lastRenderedPageBreak/>
              <w:t>Federal Aviation Administration</w:t>
            </w:r>
            <w:bookmarkEnd w:id="9"/>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F155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Applying the Flight, Duty, and Rest requirements to Ferry Flights that Follow Domestic, Flag, or Supplemental All-Cargo Operations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Green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2120-AK22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09/29/2016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10" w:name="11"/>
            <w:r>
              <w:rPr>
                <w:rFonts w:ascii="Times" w:eastAsia="Times New Roman" w:hAnsi="Times" w:cs="Times"/>
                <w:sz w:val="20"/>
                <w:szCs w:val="20"/>
              </w:rPr>
              <w:lastRenderedPageBreak/>
              <w:t>Federal Aviation Administration</w:t>
            </w:r>
            <w:bookmarkEnd w:id="10"/>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2120-AK26</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11" w:name="12"/>
            <w:r>
              <w:rPr>
                <w:rFonts w:ascii="Times" w:eastAsia="Times New Roman" w:hAnsi="Times" w:cs="Times"/>
                <w:sz w:val="20"/>
                <w:szCs w:val="20"/>
              </w:rPr>
              <w:lastRenderedPageBreak/>
              <w:t>Federal Aviation Administration</w:t>
            </w:r>
            <w:bookmarkEnd w:id="11"/>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2120-AK31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12" w:name="13"/>
            <w:r>
              <w:rPr>
                <w:rFonts w:ascii="Times" w:eastAsia="Times New Roman" w:hAnsi="Times" w:cs="Times"/>
                <w:sz w:val="20"/>
                <w:szCs w:val="20"/>
              </w:rPr>
              <w:lastRenderedPageBreak/>
              <w:t>Federal Aviation Administration</w:t>
            </w:r>
            <w:bookmarkEnd w:id="12"/>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F155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Green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2120-AK33</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13" w:name="14"/>
            <w:r>
              <w:rPr>
                <w:rFonts w:ascii="Times" w:eastAsia="Times New Roman" w:hAnsi="Times" w:cs="Times"/>
                <w:sz w:val="20"/>
                <w:szCs w:val="20"/>
              </w:rPr>
              <w:lastRenderedPageBreak/>
              <w:t>Federal Aviation Administration</w:t>
            </w:r>
            <w:bookmarkEnd w:id="13"/>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2120-AK37</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of legal opinions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12/06/2016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03/06/2017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14" w:name="15"/>
            <w:r>
              <w:rPr>
                <w:rFonts w:ascii="Times" w:eastAsia="Times New Roman" w:hAnsi="Times" w:cs="Times"/>
                <w:sz w:val="20"/>
                <w:szCs w:val="20"/>
              </w:rPr>
              <w:lastRenderedPageBreak/>
              <w:t>Federal Aviation Administration</w:t>
            </w:r>
            <w:bookmarkEnd w:id="14"/>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Permanent Requirement for Helicopters to use the New York North Shore Helicopter Route</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2120-AK39</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 will protect and enhance public welfare by making the current rule permanent, thereby continuing to reduce helicopter overflights and attendant noise disturbance over nearby communities.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15" w:name="16"/>
            <w:r>
              <w:rPr>
                <w:rFonts w:ascii="Times" w:eastAsia="Times New Roman" w:hAnsi="Times" w:cs="Times"/>
                <w:sz w:val="20"/>
                <w:szCs w:val="20"/>
              </w:rPr>
              <w:lastRenderedPageBreak/>
              <w:t>Federal Aviation Administration</w:t>
            </w:r>
            <w:bookmarkEnd w:id="15"/>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Medical Self-Evaluation for Certain Noncommercial Operations in Lieu of Airman Medical Certification</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Self-Certification</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2120-AK45</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allowing certain operations to be conducted by individuals exercising private-pilot privileges without holding a current FAA airman medical certificate. The intended effect of this action is to provide relief from having to obtain a medical certificate for pilots engaged in low-risk flying, such as private pilots operating a small, general aviation aircraft.</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02/04/2014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08/14/2014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07/24/2014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06/16/2016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16" w:name="17"/>
            <w:r>
              <w:rPr>
                <w:rFonts w:ascii="Times" w:eastAsia="Times New Roman" w:hAnsi="Times" w:cs="Times"/>
                <w:sz w:val="20"/>
                <w:szCs w:val="20"/>
              </w:rPr>
              <w:lastRenderedPageBreak/>
              <w:t>Federal Aviation Administration</w:t>
            </w:r>
            <w:bookmarkEnd w:id="16"/>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Air Ambulance II</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2120-AK57</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08/18/2014</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17" w:name="18"/>
            <w:r>
              <w:rPr>
                <w:rFonts w:ascii="Times" w:eastAsia="Times New Roman" w:hAnsi="Times" w:cs="Times"/>
                <w:sz w:val="20"/>
                <w:szCs w:val="20"/>
              </w:rPr>
              <w:lastRenderedPageBreak/>
              <w:t>Federal Aviation Administration</w:t>
            </w:r>
            <w:bookmarkEnd w:id="17"/>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Revision of Airworthiness Standards for Normal, Utility, Acrobatic, and Commuter Category Airplanes (RRR)</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23 Reorganization (RRR)</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2120-AK65</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Title 14, Code of Federal Regulations (14 CFR) part 23 as a set of performance based regulations for the design and certification of small transport category aircraft. This rulemaking would: (1) Reorganize part 23 into performance-based requirements by removing the detailed design requirements from part 23. The detailed design provisions that would assist applicants in complying with the new performance-based requirements would be identified in means of compliance (MOC) documents to support this effort; (2) Promote the adoption of the newly created performance-based airworthiness design standard as an internationally accepted standard by the majority of other civil aviation authorities; (3) Re-align the part 23 requirements to promote the development of entry-level airplanes similar to those certified under Certification Specification for Very Light Aircraft (CS-VLA); (4) enhance the FAA's ability to address new technology; (5) Increase the general aviation (GA) level of safety provided by new and modified airplanes; (6) Amend the stall, stall warning, and spin requirements to reduce fatal accidents and increase crashworthiness by allowing new methods for occupant protection; and (7) Address icing conditions that are currently not included in part 23 regulations.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017"/>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NPRM (Pub. L. 113-53) : 12/15/2015</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11/27/2013</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08/27/2015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03/07/2016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03/14/2016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04/01/2016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13452</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18" w:name="19"/>
            <w:r>
              <w:rPr>
                <w:rFonts w:ascii="Times" w:eastAsia="Times New Roman" w:hAnsi="Times" w:cs="Times"/>
                <w:sz w:val="20"/>
                <w:szCs w:val="20"/>
              </w:rPr>
              <w:lastRenderedPageBreak/>
              <w:t>Federal Aviation Administration</w:t>
            </w:r>
            <w:bookmarkEnd w:id="18"/>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Requirements to File Notice of Construction of Meteorological Evaluation Towers and Other Renewable Energy Projects</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77 Notice Requirements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2120-AK77</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specific requirements for proponents who wish to construct meteorological evaluation towers and other renewable energy projects at any height, technologies, to file notice with the FAA of proposal prior to construction.</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919"/>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 xml:space="preserve">EIS </w:t>
                  </w:r>
                  <w:r>
                    <w:rPr>
                      <w:rFonts w:ascii="Times" w:eastAsia="Times New Roman" w:hAnsi="Times" w:cs="Times"/>
                      <w:sz w:val="20"/>
                      <w:szCs w:val="20"/>
                    </w:rPr>
                    <w:br/>
                    <w:t>Privacy</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09/29/2014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06/20/2017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03/12/2018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19" w:name="20"/>
            <w:r>
              <w:rPr>
                <w:rFonts w:ascii="Times" w:eastAsia="Times New Roman" w:hAnsi="Times" w:cs="Times"/>
                <w:sz w:val="20"/>
                <w:szCs w:val="20"/>
              </w:rPr>
              <w:lastRenderedPageBreak/>
              <w:t>Federal Aviation Administration</w:t>
            </w:r>
            <w:bookmarkEnd w:id="19"/>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Registration and Marking Requirements for Small Unmanned Aircraft</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UAS Registration</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2120-AK82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Final rule Publication: 12/16/2015; End of Comment Period 01/15/2016</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interim final rule would establish an alternative, stream-lined, web-based aircraft registration system for certain small unmanned aircraft systems, to help facilitate compliance with existing statutory obligations for aircraft registration. The alternative process will help create a culture of accountability and ensure responsible use of small UAS. As evidenced by the recent reports of unsafe UAS operations, the lack of awareness of operators regarding what must be done to operate UAS safely in the NAS, and the lack of identification of UAS and their operators pose significant challenges in ensuring accountability for responsible use. Without increased awareness and knowledge of the statutory and regulatory requirements for safe operation, the risk of unsafe UAS operations will only rise. Aircraft registration, identification, and marking will assist the Department in identifying owners of UAS that are operated in an unsafe manner, so we may continue to educate these users, and when appropriate, take enforcement action. This rulemaking is based on public comment regarding the proposed aircraft registration process for small UAS in the Operation and Use of Small UAS notice of proposed rulemaking and recommendations from the UAS Registration task force.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11/24/2015</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01/15/2016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01/15/2016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80 FR 78593</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20" w:name="21"/>
            <w:r>
              <w:rPr>
                <w:rFonts w:ascii="Times" w:eastAsia="Times New Roman" w:hAnsi="Times" w:cs="Times"/>
                <w:sz w:val="20"/>
                <w:szCs w:val="20"/>
              </w:rPr>
              <w:lastRenderedPageBreak/>
              <w:t>Federal Aviation Administration</w:t>
            </w:r>
            <w:bookmarkEnd w:id="20"/>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Operations of Small Unmanned Aircraft Over People</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of Small Unmanned Aircraft over People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2120-AK85</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performance-based standards and means-of-compliance for operation of small unmanned aircraft systems (UAS) over people not directly participating in the operation or not under a covered structure or inside a stationary vehicle that can provide reasonable protection from a falling small unmanned aircraft. This rule would provide relief from certain operational restrictions implemented in the Operation and Certification of Small Unmanned Aircraft Systems final rule (RIN 2120-AJ60).</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03/30/2016</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21" w:name="22"/>
            <w:r>
              <w:rPr>
                <w:rFonts w:ascii="Times" w:eastAsia="Times New Roman" w:hAnsi="Times" w:cs="Times"/>
                <w:b/>
                <w:bCs/>
                <w:sz w:val="20"/>
                <w:szCs w:val="20"/>
              </w:rPr>
              <w:lastRenderedPageBreak/>
              <w:t>Federal Highway Administration</w:t>
            </w:r>
          </w:p>
        </w:tc>
      </w:tr>
      <w:tr w:rsidR="00F15577">
        <w:trPr>
          <w:tblCellSpacing w:w="24" w:type="dxa"/>
        </w:trPr>
        <w:tc>
          <w:tcPr>
            <w:tcW w:w="0" w:type="auto"/>
            <w:gridSpan w:val="2"/>
            <w:vAlign w:val="center"/>
            <w:hideMark/>
          </w:tcPr>
          <w:p w:rsidR="00F15577" w:rsidRDefault="00A33CF3">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1"/>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2125-AF34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04/04/2016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07/11/2016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22" w:name="23"/>
            <w:r>
              <w:rPr>
                <w:rFonts w:ascii="Times" w:eastAsia="Times New Roman" w:hAnsi="Times" w:cs="Times"/>
                <w:sz w:val="20"/>
                <w:szCs w:val="20"/>
              </w:rPr>
              <w:lastRenderedPageBreak/>
              <w:t>Federal Highway Administration</w:t>
            </w:r>
            <w:bookmarkEnd w:id="22"/>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F155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Green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2125-AF51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23" w:name="24"/>
            <w:r>
              <w:rPr>
                <w:rFonts w:ascii="Times" w:eastAsia="Times New Roman" w:hAnsi="Times" w:cs="Times"/>
                <w:sz w:val="20"/>
                <w:szCs w:val="20"/>
              </w:rPr>
              <w:lastRenderedPageBreak/>
              <w:t>Federal Highway Administration</w:t>
            </w:r>
            <w:bookmarkEnd w:id="23"/>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F155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National Goals and Performance Management Measures 2 (MAP-21)</w:t>
                  </w:r>
                </w:p>
              </w:tc>
              <w:tc>
                <w:tcPr>
                  <w:tcW w:w="360" w:type="dxa"/>
                  <w:tcBorders>
                    <w:top w:val="outset" w:sz="6" w:space="0" w:color="008000"/>
                    <w:left w:val="outset" w:sz="6" w:space="0" w:color="008000"/>
                    <w:bottom w:val="outset" w:sz="6" w:space="0" w:color="008000"/>
                    <w:right w:val="outset" w:sz="6" w:space="0" w:color="008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Green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2125-AF53</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1/5/15; End of C/P: 4/6/15; End of Extended C/P: 5/8/15. NPRM: Publication Approved 12/30/2014;Publication Date 01/05/2015;End of Comment Period 04/06/2015.</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FHWA-2013-0053</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06/07/2016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08/10/2016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24" w:name="25"/>
            <w:r>
              <w:rPr>
                <w:rFonts w:ascii="Times" w:eastAsia="Times New Roman" w:hAnsi="Times" w:cs="Times"/>
                <w:sz w:val="20"/>
                <w:szCs w:val="20"/>
              </w:rPr>
              <w:lastRenderedPageBreak/>
              <w:t>Federal Highway Administration</w:t>
            </w:r>
            <w:bookmarkEnd w:id="24"/>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F155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National Goals and Performance Management Measures 3 (MAP-21)</w:t>
                  </w:r>
                </w:p>
              </w:tc>
              <w:tc>
                <w:tcPr>
                  <w:tcW w:w="360" w:type="dxa"/>
                  <w:tcBorders>
                    <w:top w:val="outset" w:sz="6" w:space="0" w:color="008000"/>
                    <w:left w:val="outset" w:sz="6" w:space="0" w:color="008000"/>
                    <w:bottom w:val="outset" w:sz="6" w:space="0" w:color="008000"/>
                    <w:right w:val="outset" w:sz="6" w:space="0" w:color="008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Green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2125-AF54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11/18/2014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04/07/2016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04/14/2016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08/20/2016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23806</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25" w:name="26"/>
            <w:r>
              <w:rPr>
                <w:rFonts w:ascii="Times" w:eastAsia="Times New Roman" w:hAnsi="Times" w:cs="Times"/>
                <w:sz w:val="20"/>
                <w:szCs w:val="20"/>
              </w:rPr>
              <w:lastRenderedPageBreak/>
              <w:t>Federal Highway Administration</w:t>
            </w:r>
            <w:bookmarkEnd w:id="25"/>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F155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Green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2125-AF55</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10/09/2016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12/13/2016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26" w:name="27"/>
            <w:r>
              <w:rPr>
                <w:rFonts w:ascii="Times" w:eastAsia="Times New Roman" w:hAnsi="Times" w:cs="Times"/>
                <w:sz w:val="20"/>
                <w:szCs w:val="20"/>
              </w:rPr>
              <w:lastRenderedPageBreak/>
              <w:t>Federal Highway Administration</w:t>
            </w:r>
            <w:bookmarkEnd w:id="26"/>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F155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Green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Asset Management Plan</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2125-AF57</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2/20/15; End of C/P: 4/21/15; End of Extended C/P: 5/29/15.</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06/07/2016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01/29/2016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08/10/2016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05/10/2016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27" w:name="28"/>
            <w:r>
              <w:rPr>
                <w:rFonts w:ascii="Times" w:eastAsia="Times New Roman" w:hAnsi="Times" w:cs="Times"/>
                <w:sz w:val="20"/>
                <w:szCs w:val="20"/>
              </w:rPr>
              <w:lastRenderedPageBreak/>
              <w:t>Federal Highway Administration</w:t>
            </w:r>
            <w:bookmarkEnd w:id="27"/>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2125-AF63</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8/4/14; End of C/P: 10/3/14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28" w:name="29"/>
            <w:r>
              <w:rPr>
                <w:rFonts w:ascii="Times" w:eastAsia="Times New Roman" w:hAnsi="Times" w:cs="Times"/>
                <w:sz w:val="20"/>
                <w:szCs w:val="20"/>
              </w:rPr>
              <w:lastRenderedPageBreak/>
              <w:t>Federal Highway Administration</w:t>
            </w:r>
            <w:bookmarkEnd w:id="28"/>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2125-AF65</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29" w:name="30"/>
            <w:r>
              <w:rPr>
                <w:rFonts w:ascii="Times" w:eastAsia="Times New Roman" w:hAnsi="Times" w:cs="Times"/>
                <w:sz w:val="20"/>
                <w:szCs w:val="20"/>
              </w:rPr>
              <w:lastRenderedPageBreak/>
              <w:t>Federal Highway Administration</w:t>
            </w:r>
            <w:bookmarkEnd w:id="29"/>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Metropolitan Planning Organization (MPO) Coordination</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MPO Coordination</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2125-AF68</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provide methods for improving MPO coordination in the transportation planning process, recognizing the critical role that transportation plays in ensuring the economic well-being of a region and the role that MPOs play in identifying efficient improvements that serve the region's mobility needs. The changes under consideration in the rulemaking are intended to enable MPOs to speak with a stronger, more unified voice, to increase efficiencies and reduce project delivery times, and to improve the extent to which transportation investments reflect the needs and priorities of a metropolitan region.</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09/24/2015</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05/06/2016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05/09/2016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06/20/2016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30" w:name="31"/>
            <w:r>
              <w:rPr>
                <w:rFonts w:ascii="Times" w:eastAsia="Times New Roman" w:hAnsi="Times" w:cs="Times"/>
                <w:sz w:val="20"/>
                <w:szCs w:val="20"/>
              </w:rPr>
              <w:lastRenderedPageBreak/>
              <w:t>Federal Highway Administration</w:t>
            </w:r>
            <w:bookmarkEnd w:id="30"/>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Tribal Transportation Self-Governance Program</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Tribal Self-Governance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2125-AF70</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to implement section 1121 of the FAST Act to establish a Tribal Transportation Self-Governance Program.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936"/>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Tribal </w:t>
                  </w:r>
                  <w:r>
                    <w:rPr>
                      <w:rFonts w:ascii="Times" w:eastAsia="Times New Roman" w:hAnsi="Times" w:cs="Times"/>
                      <w:sz w:val="20"/>
                      <w:szCs w:val="20"/>
                    </w:rPr>
                    <w:br/>
                    <w:t xml:space="preserve">Negotiated Rulemaking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02/19/2016</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31" w:name="32"/>
            <w:r>
              <w:rPr>
                <w:rFonts w:ascii="Times" w:eastAsia="Times New Roman" w:hAnsi="Times" w:cs="Times"/>
                <w:b/>
                <w:bCs/>
                <w:sz w:val="20"/>
                <w:szCs w:val="20"/>
              </w:rPr>
              <w:lastRenderedPageBreak/>
              <w:t>Federal Motor Carrier Safety Administration</w:t>
            </w:r>
          </w:p>
        </w:tc>
      </w:tr>
      <w:tr w:rsidR="00F15577">
        <w:trPr>
          <w:tblCellSpacing w:w="24" w:type="dxa"/>
        </w:trPr>
        <w:tc>
          <w:tcPr>
            <w:tcW w:w="0" w:type="auto"/>
            <w:gridSpan w:val="2"/>
            <w:vAlign w:val="center"/>
            <w:hideMark/>
          </w:tcPr>
          <w:p w:rsidR="00F15577" w:rsidRDefault="00A33CF3">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1"/>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Mexico-Domiciled Motor Carriers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2126-AA34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32" w:name="33"/>
            <w:r>
              <w:rPr>
                <w:rFonts w:ascii="Times" w:eastAsia="Times New Roman" w:hAnsi="Times" w:cs="Times"/>
                <w:sz w:val="20"/>
                <w:szCs w:val="20"/>
              </w:rPr>
              <w:lastRenderedPageBreak/>
              <w:t>Federal Motor Carrier Safety Administration</w:t>
            </w:r>
            <w:bookmarkEnd w:id="32"/>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2126-AA35</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33" w:name="34"/>
            <w:r>
              <w:rPr>
                <w:rFonts w:ascii="Times" w:eastAsia="Times New Roman" w:hAnsi="Times" w:cs="Times"/>
                <w:sz w:val="20"/>
                <w:szCs w:val="20"/>
              </w:rPr>
              <w:lastRenderedPageBreak/>
              <w:t>Federal Motor Carrier Safety Administration</w:t>
            </w:r>
            <w:bookmarkEnd w:id="33"/>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2126-AA64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34" w:name="35"/>
            <w:r>
              <w:rPr>
                <w:rFonts w:ascii="Times" w:eastAsia="Times New Roman" w:hAnsi="Times" w:cs="Times"/>
                <w:sz w:val="20"/>
                <w:szCs w:val="20"/>
              </w:rPr>
              <w:lastRenderedPageBreak/>
              <w:t>Federal Motor Carrier Safety Administration</w:t>
            </w:r>
            <w:bookmarkEnd w:id="34"/>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Limitations on the Issuance of Commercial Driver Licenses with a Hazardous Materials Endorsement</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USA PATRIOT Act Rule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2126-AA70</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35" w:name="36"/>
            <w:r>
              <w:rPr>
                <w:rFonts w:ascii="Times" w:eastAsia="Times New Roman" w:hAnsi="Times" w:cs="Times"/>
                <w:sz w:val="20"/>
                <w:szCs w:val="20"/>
              </w:rPr>
              <w:lastRenderedPageBreak/>
              <w:t>Federal Motor Carrier Safety Administration</w:t>
            </w:r>
            <w:bookmarkEnd w:id="35"/>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2126-AB01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36" w:name="37"/>
            <w:r>
              <w:rPr>
                <w:rFonts w:ascii="Times" w:eastAsia="Times New Roman" w:hAnsi="Times" w:cs="Times"/>
                <w:sz w:val="20"/>
                <w:szCs w:val="20"/>
              </w:rPr>
              <w:lastRenderedPageBreak/>
              <w:t>Federal Motor Carrier Safety Administration</w:t>
            </w:r>
            <w:bookmarkEnd w:id="36"/>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Carrier Safety Fitness Determination</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2126-AB11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1/21/16, C/P ends 5/23/16, Reply C/P ends 6/23/16</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carrier's on-road safety performance in relation to five of the Agency's seven Behavioral Analysis and Safety Improvement Categories (BASICs); (2) an investigation; or (3) a combination of on-road safety data and investigation information. The intended effect of this action is to more effectively use FMCSA data and resources to identify unfit motor carriers and to remove them from the Nation's roadways.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12/10/2015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01/21/2016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Unanticipated issues requiring further analysis</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12062</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37" w:name="38"/>
            <w:r>
              <w:rPr>
                <w:rFonts w:ascii="Times" w:eastAsia="Times New Roman" w:hAnsi="Times" w:cs="Times"/>
                <w:sz w:val="20"/>
                <w:szCs w:val="20"/>
              </w:rPr>
              <w:lastRenderedPageBreak/>
              <w:t>Federal Motor Carrier Safety Administration</w:t>
            </w:r>
            <w:bookmarkEnd w:id="37"/>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2126-AB17</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38" w:name="39"/>
            <w:r>
              <w:rPr>
                <w:rFonts w:ascii="Times" w:eastAsia="Times New Roman" w:hAnsi="Times" w:cs="Times"/>
                <w:sz w:val="20"/>
                <w:szCs w:val="20"/>
              </w:rPr>
              <w:lastRenderedPageBreak/>
              <w:t>Federal Motor Carrier Safety Administration</w:t>
            </w:r>
            <w:bookmarkEnd w:id="38"/>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2126-AB18</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2/20/14, End of C/P 5/21/14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required creation of the Clearinghouse by 10/1/14.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08/29/2016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39" w:name="40"/>
            <w:r>
              <w:rPr>
                <w:rFonts w:ascii="Times" w:eastAsia="Times New Roman" w:hAnsi="Times" w:cs="Times"/>
                <w:sz w:val="20"/>
                <w:szCs w:val="20"/>
              </w:rPr>
              <w:lastRenderedPageBreak/>
              <w:t>Federal Motor Carrier Safety Administration</w:t>
            </w:r>
            <w:bookmarkEnd w:id="39"/>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F155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Green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2126-AB56</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implement several provisions of the Moving Ahead for Progress in the 21st Century Act (MAP-21) that relate to the FMCSA's Unified Registration System (URS) as well as update and codify the Agency's procedures for granting, suspending, and revoking registration. These procedures would apply to all entities required to register under the Agency's commercial or safety jurisdiction. Many of the proposed provisions codify existing Agency practices, while others improve on existing processes and procedures. FMCSA proposes this rule to achieve greater transparency, uniformity, efficiency, and predictability with respect to granting, suspending, or revoking registration.</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01/18/2017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40" w:name="41"/>
            <w:r>
              <w:rPr>
                <w:rFonts w:ascii="Times" w:eastAsia="Times New Roman" w:hAnsi="Times" w:cs="Times"/>
                <w:sz w:val="20"/>
                <w:szCs w:val="20"/>
              </w:rPr>
              <w:lastRenderedPageBreak/>
              <w:t>Federal Motor Carrier Safety Administration</w:t>
            </w:r>
            <w:bookmarkEnd w:id="40"/>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2126-AB63</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E95E37"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Spring </w:t>
                  </w:r>
                  <w:r w:rsidR="00F91FD5">
                    <w:rPr>
                      <w:rFonts w:ascii="Times" w:eastAsia="Times New Roman" w:hAnsi="Times" w:cs="Times"/>
                      <w:sz w:val="20"/>
                      <w:szCs w:val="20"/>
                    </w:rPr>
                    <w:t>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E95E37"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Spring </w:t>
                  </w:r>
                  <w:r w:rsidR="00F91FD5">
                    <w:rPr>
                      <w:rFonts w:ascii="Times" w:eastAsia="Times New Roman" w:hAnsi="Times" w:cs="Times"/>
                      <w:sz w:val="20"/>
                      <w:szCs w:val="20"/>
                    </w:rPr>
                    <w:t>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E95E37"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Summer </w:t>
                  </w:r>
                  <w:r w:rsidR="00F91FD5">
                    <w:rPr>
                      <w:rFonts w:ascii="Times" w:eastAsia="Times New Roman" w:hAnsi="Times" w:cs="Times"/>
                      <w:sz w:val="20"/>
                      <w:szCs w:val="20"/>
                    </w:rPr>
                    <w:t>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bookmarkStart w:id="41" w:name="_GoBack"/>
            <w:bookmarkEnd w:id="41"/>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Entry-Level Driver Training</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ELDT</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2126-AB66</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new training standards for certain individuals applying for their initial commercial driver's license (CDL); an upgrade of their CDL (e.g., a Class B CDL holder seeking a Class A CDL); or a hazardous materials, passenger, or school bus endorsement for their license; and a "refresher" training curriculum. These individuals would be subject to the proposed entry-level driver training requirements and must complete a course of instruction provided by an entity that (1) meets the minimum qualifications for training providers, (2) covers the curriculum, (3) is listed on FMCSA's proposed Training Provider Registry, and (4) submits electronically to FMCSA the training certificate for each individual who completes the training. This NPRM responds to a Congressional mandate imposed under the Moving Ahead for Progress in the 21st Century Act. The proposed rule is based on consensus recommendations from the Agency's Entry-Level Driver Training Advisory Committee (ELDTAC), a negotiated rulemaking committee which held a series of meetings between February and May 2015. The compliance date of the rule would be three years after the effective date of the final rule.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Negotiated Rulemaking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10/24/2013</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11/05/2015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03/07/2016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04/06/2016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11944</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Financial Responsibility for Motor Carriers, Freight Forwarders, and Brokers</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2126-AB74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11/28/2014;End of Comment Period 02/26/2015.</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FMCSA is proposing a rulemaking to increase the minimum levels of financial responsibility for motor carriers, including liability coverage for bodily injury or property damage in the case of freight and passenger motor carriers. The legislative history of the Federal minimum insurance requirements strongly suggests that Congress recognized that crash costs would change and that DOT would regularly examine the levels and make adjustments as necessary. In completing the report Congress required under section 32104 of the Moving Ahead for Progress in the 21st Century Act (MAP-21), FMCSA has determined that the current financial responsibility minimums are inadequate to fully cover the costs of some crashes in light of increased medical costs and DOT´s revised value of statistical life estimates. The FMCSA is also considering proposing to extend the financial responsibility requirements to private motor carriers, as authorized by section 4120 of the Safe, Accountable, Flexible, Efficient, Transportation Equity Act: A Legacy for Users (SAFETEA-LU). In addition, FMCSA is considering financial responsibility requirements for passenger carrier brokers, implementation of certain MAP-21 provisions concerning broker and freight forwarder financial responsibility, revisions of the rules concerning self-insurance and trip insurance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State Inspection Programs for Passenger Carrier Vehicles</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Carrier Inspections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2126-AB84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is considering a rulemaking that would require States to establish a program for annual inspections of commercial motor vehicles designed or used to transport passengers as required by the provision from section 32710 of the Moving Ahead for Progress in the 21st Century Act (Pub. L. 112-141, MAP-21).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04/29/2015</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02/25/2016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03/03/2016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04/07/2016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04/26/2016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04/27/2016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06/27/2016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81 FR 24769</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Motor Carrier Safety Administration</w:t>
            </w:r>
            <w:bookmarkEnd w:id="45"/>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Evaluation of Safety-Sensitive Personnel for Moderate-to-Severe Obstructive Sleep Apnea</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Evaluation of Safety Sensitive Personnel for OSA</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2126-AB88</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Federal Motor Carrier Safety Administration (FMCSA) and Federal Railroad Administration (FRA) request data and information concerning the prevalence of moderate-to-severe obstructive sleep apnea (OSA) among individuals occupying safety sensitive positions in highway and rail transportation, and on its potential consequences for the safety of rail and highway transportation. FMCSA and FRA (collectively "the Agencies") also request information on potential costs and benefits from regulatory actions that address the safety risks associated with motor carrier and rail transportation workers in safety sensitive positions who have OSA. For instance, the agencies request comment on the costs and benefits of requiring motor carrier and rail transportation workers in safety sensitive positions who exhibit multiple risk factors for OSA to undergo evaluation and treatment by a healthcare professional with expertise in sleep disorders.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10/01/2015</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02/03/2016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03/10/2016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04/14/2015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06/08/2016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81 FR 12642</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46" w:name="46"/>
            <w:r>
              <w:rPr>
                <w:rFonts w:ascii="Times" w:eastAsia="Times New Roman" w:hAnsi="Times" w:cs="Times"/>
                <w:b/>
                <w:bCs/>
                <w:sz w:val="20"/>
                <w:szCs w:val="20"/>
              </w:rPr>
              <w:lastRenderedPageBreak/>
              <w:t>Federal Railroad Administration</w:t>
            </w:r>
          </w:p>
        </w:tc>
      </w:tr>
      <w:tr w:rsidR="00F15577">
        <w:trPr>
          <w:tblCellSpacing w:w="24" w:type="dxa"/>
        </w:trPr>
        <w:tc>
          <w:tcPr>
            <w:tcW w:w="0" w:type="auto"/>
            <w:gridSpan w:val="2"/>
            <w:vAlign w:val="center"/>
            <w:hideMark/>
          </w:tcPr>
          <w:p w:rsidR="00F15577" w:rsidRDefault="00A33CF3">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6"/>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2130-AC11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 NPRM: Publication Date 02/27/14; End of Comment Period 04/27/15.</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07/12/2016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10/19/2016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Railroad Administration</w:t>
            </w:r>
            <w:bookmarkEnd w:id="47"/>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2130-AC14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02/07/2017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Federal Railroad Administration</w:t>
            </w:r>
            <w:bookmarkEnd w:id="48"/>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2130-AC17</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Railroad Administration</w:t>
            </w:r>
            <w:bookmarkEnd w:id="49"/>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2130-AC23</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Railroad Administration</w:t>
            </w:r>
            <w:bookmarkEnd w:id="50"/>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Railroad System Safety Program</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Railroad System Safety Program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2130-AC31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9/07/12; End of Comment Period: 11/06/12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improve passenger railroad safety through structured, proactive processes and procedures developed by passenger railroad operators. It would require passenger railroads to establish a System Safety Program that would systematically evaluate and manage risks in order to reduce the number and rates of railroad accidents, incidents, injuries and fatalities. This rulemaking was bifurcated from 2130-AC11.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519"/>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FRA-2011-0060</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05/24/2016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Railroad Administration</w:t>
            </w:r>
            <w:bookmarkEnd w:id="51"/>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Passenger Equipment Safety Standards Amendments (RRR)</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Safety Standards Amendments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2130-AC46</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04/05/2016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04/04/2016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52" w:name="52"/>
            <w:r>
              <w:rPr>
                <w:rFonts w:ascii="Times" w:eastAsia="Times New Roman" w:hAnsi="Times" w:cs="Times"/>
                <w:sz w:val="20"/>
                <w:szCs w:val="20"/>
              </w:rPr>
              <w:lastRenderedPageBreak/>
              <w:t>Federal Railroad Administration</w:t>
            </w:r>
            <w:bookmarkEnd w:id="52"/>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2130-AC48</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03/15/2016; End of Comment Period 05/16/2016.</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minimum requirements for the size of different train crew staffs depending on the type of operation. The minimum crew staffing requirements would reflect the safety risks posed to railroad employees, the general public, and the environment. This rulemaking would also establish minimum requirements for the roles and responsibilities of the second train crew member on a moving train, and promote safe and effective teamwork. Additionally, this rulemaking would permit a railroad to submit information to FRA and seek approval if it wants to continue an existing operation with a one-person train crew or start up an operation with less than two crew members.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09/08/2017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11/08/2017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53" w:name="53"/>
            <w:r>
              <w:rPr>
                <w:rFonts w:ascii="Times" w:eastAsia="Times New Roman" w:hAnsi="Times" w:cs="Times"/>
                <w:sz w:val="20"/>
                <w:szCs w:val="20"/>
              </w:rPr>
              <w:lastRenderedPageBreak/>
              <w:t>Federal Railroad Administration</w:t>
            </w:r>
            <w:bookmarkEnd w:id="53"/>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Locomotive Recording Devices</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Locomotive Recording Devices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2130-AC51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installation of inward- and outward-facing locomotive video cameras on controlling locomotives of trains traveling over 30 mph. The recordings would be used to help determine the cause of railroad accidents in order to prevent the occurrence of similar accidents. They would also be used to ensure railroad employee compliance with applicable Federal railroad safety regulations and railroad rules, particularly regulations prohibiting the use of personal electronic devices. This rulemaking attempts to fulfill NTSB recommendations urging FRA to adopt regulations requiring locomotive-mounted audio and video recording devices. FRA is requesting comments regarding whether audio recording devices should be required. This rulemaking would amend 49 CFR parts 217, 218, and 229.</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95"/>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FAST Act : 12/04/2017</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06/18/2015</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04/28/2016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01/11/2016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11/09/2016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Railroad Administration</w:t>
            </w:r>
            <w:bookmarkEnd w:id="54"/>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Evaluation of Safety-Sensitive Personnel for Moderate-to-Severe Obstructive Sleep Apnea</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Evaluation of Safety Sensitive Personnel for OSA</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2130-AC52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 Publication Approved ;Publication Date ;End of Comment Period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Federal Motor Carrier Safety Administration (FMCSA) and Federal Railroad Administration (FRA) request data and information concerning the prevalence of moderate-to-severe obstructive sleep apnea (OSA) among individuals occupying safety sensitive positions in rail and highway transportation. FMCSA and FRA also request information about the potential economic impact and safety benefits associated with regulatory actions that would result in transportation workers in these positions, who exhibit multiple risk factors for OSA, undergoing evaluation by a healthcare professional with expertise in sleep disorders, and subsequent treatment.</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10/08/2015</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02/03/2016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03/10/2016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04/14/2016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06/08/2016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81 FR 12642</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Railroad Administration</w:t>
            </w:r>
            <w:bookmarkEnd w:id="55"/>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Track Safety Standards; Improving Rail Integrity</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Track Safety Standards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2130-AC53</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213, Track Safety Standards. Specifically, the rulemaking would amend or add regulations addressing continuous testing of rail defects, rail head wear, inspection records, continuous welded rail, qualified operators, and Class 6-9 rail inspection frequencies.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05/26/2014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01/31/2017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06/14/2017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05/27/2016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06/28/2017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08/28/2017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r>
                    <w:rPr>
                      <w:rFonts w:ascii="Times" w:eastAsia="Times New Roman" w:hAnsi="Times" w:cs="Times"/>
                      <w:sz w:val="20"/>
                      <w:szCs w:val="20"/>
                    </w:rPr>
                    <w:br/>
                    <w:t>Awaiting development of additional data</w:t>
                  </w:r>
                  <w:r>
                    <w:rPr>
                      <w:rFonts w:ascii="Times" w:eastAsia="Times New Roman" w:hAnsi="Times" w:cs="Times"/>
                      <w:sz w:val="20"/>
                      <w:szCs w:val="20"/>
                    </w:rPr>
                    <w:br/>
                    <w:t>Additional coordination necessary</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56" w:name="56"/>
            <w:r>
              <w:rPr>
                <w:rFonts w:ascii="Times" w:eastAsia="Times New Roman" w:hAnsi="Times" w:cs="Times"/>
                <w:b/>
                <w:bCs/>
                <w:sz w:val="20"/>
                <w:szCs w:val="20"/>
              </w:rPr>
              <w:lastRenderedPageBreak/>
              <w:t>Federal Transit Administration</w:t>
            </w:r>
          </w:p>
        </w:tc>
      </w:tr>
      <w:tr w:rsidR="00F15577">
        <w:trPr>
          <w:tblCellSpacing w:w="24" w:type="dxa"/>
        </w:trPr>
        <w:tc>
          <w:tcPr>
            <w:tcW w:w="0" w:type="auto"/>
            <w:gridSpan w:val="2"/>
            <w:vAlign w:val="center"/>
            <w:hideMark/>
          </w:tcPr>
          <w:p w:rsidR="00F15577" w:rsidRDefault="00A33CF3">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6"/>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F155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Green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2132-AB06</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sector's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 FTA has determined that the Agency will terminate this action and initiate this rulemaking under a new RIN Number (2132-AB27)entitled Private Investment Project Procedures; therefore, this rule will not appear on next month's report.</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07/04/2016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10/05/2016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11/12/2016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Federal Transit Administration</w:t>
            </w:r>
            <w:bookmarkEnd w:id="57"/>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F155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Green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2132-AB07</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 NPRM: Publication Approved 09/27/2015;Publication Date 09/30/2015;End of Comment Period 11/30/2015.</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02/17/2016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04/01/2016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04/15/2016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07/01/2016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07/12/2016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Transit Administration</w:t>
            </w:r>
            <w:bookmarkEnd w:id="58"/>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2132-AB11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06/17/2015;Publication Date 06/23/2015;End of Comment Period 08/25/2015.</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02/01/2016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06/06/2016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06/14/2016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09/06/2016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06/20/2016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Transit Administration</w:t>
            </w:r>
            <w:bookmarkEnd w:id="59"/>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2132-AB16</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07/01/2016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11/05/2016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11/08/2016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60" w:name="60"/>
            <w:r>
              <w:rPr>
                <w:rFonts w:ascii="Times" w:eastAsia="Times New Roman" w:hAnsi="Times" w:cs="Times"/>
                <w:sz w:val="20"/>
                <w:szCs w:val="20"/>
              </w:rPr>
              <w:lastRenderedPageBreak/>
              <w:t>Federal Transit Administration</w:t>
            </w:r>
            <w:bookmarkEnd w:id="60"/>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F155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Green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2132-AB17</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;Publication Date ;End of Comment Period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61" w:name="61"/>
            <w:r>
              <w:rPr>
                <w:rFonts w:ascii="Times" w:eastAsia="Times New Roman" w:hAnsi="Times" w:cs="Times"/>
                <w:sz w:val="20"/>
                <w:szCs w:val="20"/>
              </w:rPr>
              <w:lastRenderedPageBreak/>
              <w:t>Federal Transit Administration</w:t>
            </w:r>
            <w:bookmarkEnd w:id="61"/>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F155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Green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2132-AB18</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62" w:name="62"/>
            <w:r>
              <w:rPr>
                <w:rFonts w:ascii="Times" w:eastAsia="Times New Roman" w:hAnsi="Times" w:cs="Times"/>
                <w:sz w:val="20"/>
                <w:szCs w:val="20"/>
              </w:rPr>
              <w:lastRenderedPageBreak/>
              <w:t>Federal Transit Administration</w:t>
            </w:r>
            <w:bookmarkEnd w:id="62"/>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F155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Green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2132-AB20</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has been broken into three separate rulemakings under different RINs for the Agency Safety Plans, the training certification program, and Transit Asset Management, and, as such, this RIN will be withdrawn.</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Federal Transit Administration</w:t>
            </w:r>
            <w:bookmarkEnd w:id="63"/>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Public Transportation Agency Safety Plans</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Public Transportation Agency Safety Plans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2132-AB23</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requirements for States or recipients to develop and implement individual agency safety plans. The requirements of this rulemaking will be based on the principles and concepts of Safety Management Systems (SMS). SMS is the formal, top-down, organization-wide approach to managing safety risks and assuring the effectiveness of a transit agency´s safety risk controls. SMS includes systematic procedures, practices, and policies for managing hazards and risks.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05/12/2015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09/11/2015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01/21/2016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02/01/2016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02/05/2016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04/05/2016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CFR 6343</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64" w:name="64"/>
            <w:r>
              <w:rPr>
                <w:rFonts w:ascii="Times" w:eastAsia="Times New Roman" w:hAnsi="Times" w:cs="Times"/>
                <w:b/>
                <w:bCs/>
                <w:sz w:val="20"/>
                <w:szCs w:val="20"/>
              </w:rPr>
              <w:lastRenderedPageBreak/>
              <w:t>Maritime Administration</w:t>
            </w:r>
          </w:p>
        </w:tc>
      </w:tr>
      <w:tr w:rsidR="00F15577">
        <w:trPr>
          <w:tblCellSpacing w:w="24" w:type="dxa"/>
        </w:trPr>
        <w:tc>
          <w:tcPr>
            <w:tcW w:w="0" w:type="auto"/>
            <w:gridSpan w:val="2"/>
            <w:vAlign w:val="center"/>
            <w:hideMark/>
          </w:tcPr>
          <w:p w:rsidR="00F15577" w:rsidRDefault="00A33CF3">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64"/>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Cargo Preference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2133-AB74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r>
                    <w:rPr>
                      <w:rFonts w:ascii="Times" w:eastAsia="Times New Roman" w:hAnsi="Times" w:cs="Times"/>
                      <w:sz w:val="20"/>
                      <w:szCs w:val="20"/>
                    </w:rPr>
                    <w:br/>
                    <w:t>Awaiting development of additional data</w:t>
                  </w:r>
                  <w:r>
                    <w:rPr>
                      <w:rFonts w:ascii="Times" w:eastAsia="Times New Roman" w:hAnsi="Times" w:cs="Times"/>
                      <w:sz w:val="20"/>
                      <w:szCs w:val="20"/>
                    </w:rPr>
                    <w:br/>
                    <w:t>Additional coordination necessary</w:t>
                  </w:r>
                  <w:r>
                    <w:rPr>
                      <w:rFonts w:ascii="Times" w:eastAsia="Times New Roman" w:hAnsi="Times" w:cs="Times"/>
                      <w:sz w:val="20"/>
                      <w:szCs w:val="20"/>
                    </w:rPr>
                    <w:br/>
                    <w:t>Additional coordination needed for regulatory evaluation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65" w:name="65"/>
            <w:r>
              <w:rPr>
                <w:rFonts w:ascii="Times" w:eastAsia="Times New Roman" w:hAnsi="Times" w:cs="Times"/>
                <w:b/>
                <w:bCs/>
                <w:sz w:val="20"/>
                <w:szCs w:val="20"/>
              </w:rPr>
              <w:lastRenderedPageBreak/>
              <w:t>National Highway Traffic Safety Administration</w:t>
            </w:r>
          </w:p>
        </w:tc>
      </w:tr>
      <w:tr w:rsidR="00F15577">
        <w:trPr>
          <w:tblCellSpacing w:w="24" w:type="dxa"/>
        </w:trPr>
        <w:tc>
          <w:tcPr>
            <w:tcW w:w="0" w:type="auto"/>
            <w:gridSpan w:val="2"/>
            <w:vAlign w:val="center"/>
            <w:hideMark/>
          </w:tcPr>
          <w:p w:rsidR="00F15577" w:rsidRDefault="00A33CF3">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65"/>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2127-AK76</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07/01/2016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10/05/2016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66" w:name="66"/>
            <w:r>
              <w:rPr>
                <w:rFonts w:ascii="Times" w:eastAsia="Times New Roman" w:hAnsi="Times" w:cs="Times"/>
                <w:sz w:val="20"/>
                <w:szCs w:val="20"/>
              </w:rPr>
              <w:lastRenderedPageBreak/>
              <w:t>National Highway Traffic Safety Administration</w:t>
            </w:r>
            <w:bookmarkEnd w:id="66"/>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Mandatory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2127-AK86</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06/20/2016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67" w:name="67"/>
            <w:r>
              <w:rPr>
                <w:rFonts w:ascii="Times" w:eastAsia="Times New Roman" w:hAnsi="Times" w:cs="Times"/>
                <w:sz w:val="20"/>
                <w:szCs w:val="20"/>
              </w:rPr>
              <w:lastRenderedPageBreak/>
              <w:t>National Highway Traffic Safety Administration</w:t>
            </w:r>
            <w:bookmarkEnd w:id="67"/>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2127-AK92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654E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Spring </w:t>
                  </w:r>
                  <w:r w:rsidR="00F91FD5">
                    <w:rPr>
                      <w:rFonts w:ascii="Times" w:eastAsia="Times New Roman" w:hAnsi="Times" w:cs="Times"/>
                      <w:sz w:val="20"/>
                      <w:szCs w:val="20"/>
                    </w:rPr>
                    <w:t>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654E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Spring </w:t>
                  </w:r>
                  <w:r w:rsidR="00F91FD5">
                    <w:rPr>
                      <w:rFonts w:ascii="Times" w:eastAsia="Times New Roman" w:hAnsi="Times" w:cs="Times"/>
                      <w:sz w:val="20"/>
                      <w:szCs w:val="20"/>
                    </w:rPr>
                    <w:t>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654E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Summer </w:t>
                  </w:r>
                  <w:r w:rsidR="00F91FD5">
                    <w:rPr>
                      <w:rFonts w:ascii="Times" w:eastAsia="Times New Roman" w:hAnsi="Times" w:cs="Times"/>
                      <w:sz w:val="20"/>
                      <w:szCs w:val="20"/>
                    </w:rPr>
                    <w:t>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68" w:name="68"/>
            <w:r>
              <w:rPr>
                <w:rFonts w:ascii="Times" w:eastAsia="Times New Roman" w:hAnsi="Times" w:cs="Times"/>
                <w:sz w:val="20"/>
                <w:szCs w:val="20"/>
              </w:rPr>
              <w:lastRenderedPageBreak/>
              <w:t>National Highway Traffic Safety Administration</w:t>
            </w:r>
            <w:bookmarkEnd w:id="68"/>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Sound for Hybrid and Electric Vehicles</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2127-AK93</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03/25/2016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National Highway Traffic Safety Administration</w:t>
            </w:r>
            <w:bookmarkEnd w:id="69"/>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Establish Side Impact Performance Requirements for Child Restraint Systems (MAP-21)</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2127-AK95</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70" w:name="70"/>
            <w:r>
              <w:rPr>
                <w:rFonts w:ascii="Times" w:eastAsia="Times New Roman" w:hAnsi="Times" w:cs="Times"/>
                <w:sz w:val="20"/>
                <w:szCs w:val="20"/>
              </w:rPr>
              <w:lastRenderedPageBreak/>
              <w:t>National Highway Traffic Safety Administration</w:t>
            </w:r>
            <w:bookmarkEnd w:id="70"/>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Motorcoach Rollover Structural Integrity (MAP-21)</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Motorcoach Rollover Structural Integrity</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2127-AK96</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NHTSA–2014–0085</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10/28/2016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71" w:name="71"/>
            <w:r>
              <w:rPr>
                <w:rFonts w:ascii="Times" w:eastAsia="Times New Roman" w:hAnsi="Times" w:cs="Times"/>
                <w:sz w:val="20"/>
                <w:szCs w:val="20"/>
              </w:rPr>
              <w:lastRenderedPageBreak/>
              <w:t>National Highway Traffic Safety Administration</w:t>
            </w:r>
            <w:bookmarkEnd w:id="71"/>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2127-AL01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72" w:name="72"/>
            <w:r>
              <w:rPr>
                <w:rFonts w:ascii="Times" w:eastAsia="Times New Roman" w:hAnsi="Times" w:cs="Times"/>
                <w:sz w:val="20"/>
                <w:szCs w:val="20"/>
              </w:rPr>
              <w:lastRenderedPageBreak/>
              <w:t>National Highway Traffic Safety Administration</w:t>
            </w:r>
            <w:bookmarkEnd w:id="72"/>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6" w:rightFromText="36"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4" w:type="dxa"/>
                <w:left w:w="24" w:type="dxa"/>
                <w:bottom w:w="24" w:type="dxa"/>
                <w:right w:w="24" w:type="dxa"/>
              </w:tblCellMar>
              <w:tblLook w:val="04A0" w:firstRow="1" w:lastRow="0" w:firstColumn="1" w:lastColumn="0" w:noHBand="0" w:noVBand="1"/>
            </w:tblPr>
            <w:tblGrid>
              <w:gridCol w:w="7973"/>
              <w:gridCol w:w="667"/>
            </w:tblGrid>
            <w:tr w:rsidR="00F15577">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Yellow</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2127-AL15</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;End of Comment Period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National Highway Traffic Safety Administration</w:t>
            </w:r>
            <w:bookmarkEnd w:id="73"/>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F155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Green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2127-AL30</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National Highway Traffic Safety Administration</w:t>
            </w:r>
            <w:bookmarkEnd w:id="74"/>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2127-AL37</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Safety Standard No. 208, Occupant Crash Protection, to require automobile manufacturers to install a seat belt reminder system for the front passenger and rear designated seating positions in passenger vehicles. The seat belt reminder system is intended to increase belt usage and thereby improve the crash protection of vehicle occupants who would otherwise have been unbelted. This rulemaking would respond in part to a petition for rulemaking submitted by Public Citizen and Advocates for Highway and Auto Safety, as well as to requirements in MAP-21.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 10/01/2014</w:t>
                  </w:r>
                  <w:r>
                    <w:rPr>
                      <w:rFonts w:ascii="Times" w:eastAsia="Times New Roman" w:hAnsi="Times" w:cs="Times"/>
                      <w:sz w:val="20"/>
                      <w:szCs w:val="20"/>
                    </w:rPr>
                    <w:br/>
                    <w:t>Final Rule : 10/01/2015</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06/20/2016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National Highway Traffic Safety Administration</w:t>
            </w:r>
            <w:bookmarkEnd w:id="75"/>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2127-AL52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President's Climate Action Plan called for the Department of Transportation to develop fuel efficiency standards and the Environmental Protection Agency to develop greenhouse gas emission standards in joint rulemaking within the President's second term. In February 2014, the President directed DOT and EPA to complete the second phase of Greenhouse Gas Emissions Standards and Fuel Efficiency Standards for Medium- and Heavy-Duty Engines and Vehicles during his second term.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11/23/2014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06/18/2015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40138</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National Highway Traffic Safety Administration</w:t>
            </w:r>
            <w:bookmarkEnd w:id="76"/>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2127-AL55</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V2V communications uses on-board dedicated short-range radio communication (DSRC) devices to broadcast messages about a vehicle's speed, heading, brake status, and other information to other vehicles and receive the same information from the messages, with extended range and ´line-of-sight´ capabilities. V2V's enhanced detection distance and ability to ´see´ around corners or "through" other vehicles helps V2V-equipped vehicles uniquely perceive some threats and warn their drivers accordingly. V2V technology can also be fused with vehicle-resident technologies to potentially provide greater benefits than either approach alone. V2V can augment vehicle-resident systems by acting as a complete system, extending the ability of the overall safety system to address other crash scenarios not covered by V2V communications, such as lane and road departure. Additionally, V2V communication is currently perceived to become a foundational aspect of vehicle automation.</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Privacy</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11/02/2015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01/12/2016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06/16/2016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06/18/2016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National Highway Traffic Safety Administration</w:t>
            </w:r>
            <w:bookmarkEnd w:id="77"/>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Retroreflective Tape for Single Unit Trucks</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Retroreflective Tape for Single Unit Trucks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2127-AL57</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07/23/2015;End of Comment Period 09/21/2015.</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requirements for rear impact guards and other safety strategies on single unit trucks to mitigate underride crashes into the rear of single unit trucks. This rulemaking would respond, in part, to a petition for rulemaking from the Insurance Institute for Highway Safety and another from Mrs. Karth and the Truck Safety Coalition regarding improved rear impact guards for single unit trucks, as outlined in the July 10, 2014 grant of the petition.</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78" w:name="78"/>
            <w:r>
              <w:rPr>
                <w:rFonts w:ascii="Times" w:eastAsia="Times New Roman" w:hAnsi="Times" w:cs="Times"/>
                <w:b/>
                <w:bCs/>
                <w:sz w:val="20"/>
                <w:szCs w:val="20"/>
              </w:rPr>
              <w:lastRenderedPageBreak/>
              <w:t>Office of the Secretary</w:t>
            </w:r>
          </w:p>
        </w:tc>
      </w:tr>
      <w:tr w:rsidR="00F15577">
        <w:trPr>
          <w:tblCellSpacing w:w="24" w:type="dxa"/>
        </w:trPr>
        <w:tc>
          <w:tcPr>
            <w:tcW w:w="0" w:type="auto"/>
            <w:gridSpan w:val="2"/>
            <w:vAlign w:val="center"/>
            <w:hideMark/>
          </w:tcPr>
          <w:p w:rsidR="00F15577" w:rsidRDefault="00A33CF3">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78"/>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Airline Pricing Transparency and Other Consumer Protection Issues</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2105-AE11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05/23/14; End of Extended C/P: 09/09/14.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a number of proposals to enhance protections for air travelers and to improve the air travel environment. This rulemaking would explore whether to codify in regulation a definition of the term "ticket agent," to require airlines and ticket agents to disclose at all points of sale the fees for certain basic ancillary services associated with the air transportation consumers are buying or considering buying. The rulemaking would also consider whether to enhance airline passenger protections such as: expanding the pool of "reporting" carriers; requiring enhanced reporting by mainline carriers for their domestic code-share partner operations; requiring large travel agents to adopt minimum customer service standards; codifying the statutory requirement that carriers and ticket agents disclose any code-share arrangements on their websites; and prohibiting unfair and deceptive practices such as undisclosed biasing and post-purchase price increases. The rulemaking would also consider whether to require ticket agents to disclose the carriers whose tickets they sell in order to avoid having consumers mistakenly believe they are searching all possible flight options for a particular city-pair market when in fact there may be other options available. Additionally, the rulemaking would correct drafting errors and make minor changes to the Department's second Enhancing Airline Passenger Protections rule to conform to guidance issued by the Department's Office of Aviation Enforcement and Proceedings (Enforcement Office) regarding its interpretation of the rule.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Office of the Secretary</w:t>
            </w:r>
            <w:bookmarkEnd w:id="79"/>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2105-AE12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SNPRM: Publication Approved ;Publication Date ;End of Comment Period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Office of the Secretary</w:t>
            </w:r>
            <w:bookmarkEnd w:id="80"/>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2105-AE29</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Department´s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08/03/2016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11/05/2016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01/14/2017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81" w:name="81"/>
            <w:r>
              <w:rPr>
                <w:rFonts w:ascii="Times" w:eastAsia="Times New Roman" w:hAnsi="Times" w:cs="Times"/>
                <w:sz w:val="20"/>
                <w:szCs w:val="20"/>
              </w:rPr>
              <w:lastRenderedPageBreak/>
              <w:t>Office of the Secretary</w:t>
            </w:r>
            <w:bookmarkEnd w:id="81"/>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Use of Mobile Wireless Devices for Voice Calls on Aircraft</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2105-AE30</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Comment Period 03/26/2014.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restrict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DOT supports the FCC´s proposal to revise its rules in light of the technology available and to expand access to mobile wireless data services on board aircraft; however, under the Department´s aviation consumer protection authority and because of concerns raised, we are seeking comment on whether to ban voice calls on aircraft.</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11/27/2015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82" w:name="82"/>
            <w:r>
              <w:rPr>
                <w:rFonts w:ascii="Times" w:eastAsia="Times New Roman" w:hAnsi="Times" w:cs="Times"/>
                <w:sz w:val="20"/>
                <w:szCs w:val="20"/>
              </w:rPr>
              <w:lastRenderedPageBreak/>
              <w:t>Office of the Secretary</w:t>
            </w:r>
            <w:bookmarkEnd w:id="82"/>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Ancillary Airline Passenger Revenues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2105-AE31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Department bifurcated its rulemaking on reporting of airline ancillary passenger revenue into two separate rules – one rule to address computation of mishandled baggage and wheelchair rates (2104-AE41), and this rule to address reporting of airline ancillary passenger revenues (2105-AE31). These rulemakings were split into two separate rules as they address unrelated matters and splitting these rules apart makes it easier for the public to search for a particular topic embodied by each separate rule. Additionally, any delays in finalizing one issue would not unnecessarily cause a delay in the other.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83" w:name="83"/>
            <w:r>
              <w:rPr>
                <w:rFonts w:ascii="Times" w:eastAsia="Times New Roman" w:hAnsi="Times" w:cs="Times"/>
                <w:sz w:val="20"/>
                <w:szCs w:val="20"/>
              </w:rPr>
              <w:lastRenderedPageBreak/>
              <w:t>Office of the Secretary</w:t>
            </w:r>
            <w:bookmarkEnd w:id="83"/>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Accessible In-Flight Entertainment</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2105-AE32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SNPRM: Publication Approved ;Publication Date ;End of Comment Period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2105-AD96, the third is RIN 2105-AE12.) This rulemaking action would consider whether carriers should be required to ensure that the same in-flight entertainment available to all passengers is accessible to passengers with disabilities.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84" w:name="84"/>
            <w:r>
              <w:rPr>
                <w:rFonts w:ascii="Times" w:eastAsia="Times New Roman" w:hAnsi="Times" w:cs="Times"/>
                <w:b/>
                <w:bCs/>
                <w:sz w:val="20"/>
                <w:szCs w:val="20"/>
              </w:rPr>
              <w:lastRenderedPageBreak/>
              <w:t>Pipeline and Hazardous Materials Safety Administration</w:t>
            </w:r>
          </w:p>
        </w:tc>
      </w:tr>
      <w:tr w:rsidR="00F15577">
        <w:trPr>
          <w:tblCellSpacing w:w="24" w:type="dxa"/>
        </w:trPr>
        <w:tc>
          <w:tcPr>
            <w:tcW w:w="0" w:type="auto"/>
            <w:gridSpan w:val="2"/>
            <w:vAlign w:val="center"/>
            <w:hideMark/>
          </w:tcPr>
          <w:p w:rsidR="00F15577" w:rsidRDefault="00A33CF3">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84"/>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Pipeline Safety: Safety of Hazardous Liquid Pipelines</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Liquid Hazardous Pipelines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2137-AE66</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10/13/2015</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recent years, there have been significant hazardous liquid pipeline accidents, most notably the 2010 crude oil spill near Marshall, Michigan, during which almost one million gallons of crude oil were spilled into the Kalamazoo River. In response to accident investigation findings, incident report data and trends, and stakeholder input, PHMSA published a Notice of Proposed Rulemaking (NPRM) in the Federal Register on October 13, 2015. Previously, Congress had enacted the Pipeline Safety, Regulatory Certainty, and Job Creation Act that included several provisions that are relevant to the regulation of hazardous liquid pipelines. Shortly after the Pipeline Safety, Regulatory Certainty, and Job Creation Act was passed, the National Transportation Safety Board (NTSB) issued its accident investigation report on the Marshall, Michigan accident. In this rulemaking action, PHMSA is amending the Pipeline Safety Regulations to improve protection of the public, property, and the environment by closing regulatory gaps where appropriate, and ensuring that operators are increasing the detection and remediation of unsafe conditions, and mitigating the adverse effects of hazardous liquid pipeline failures.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10/03/2016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85" w:name="85"/>
            <w:r>
              <w:rPr>
                <w:rFonts w:ascii="Times" w:eastAsia="Times New Roman" w:hAnsi="Times" w:cs="Times"/>
                <w:sz w:val="20"/>
                <w:szCs w:val="20"/>
              </w:rPr>
              <w:lastRenderedPageBreak/>
              <w:t>Pipeline and Hazardous Materials Safety Administration</w:t>
            </w:r>
            <w:bookmarkEnd w:id="85"/>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Excess Flow Valves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2137-AE71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 NPRM 7/15/2015, End of C/P 9/14/2015.</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makes changes to part 192 to expand excess flow valve requirement to include new or replaced branched service lines servicing single-family residences, multi-family residences, and small commercial entities consuming gas volumes not exceeding 1,000 Standard Cubic Feet per Hour (SCFH). PHMSA is also amending the Federal pipeline safety regulations to require the use of either manual service line shut-off valves (e.g., curb valves) or EFVs, if appropriate, for new or replaced service lines with meter capacities exceeding 1,000 SCFH. In addition, this final rule will codify a requirement for operators to notify customers of their right to request installation of an EFV on service lines that are not being newly installed or replaced. PHMSA has delegated the question of who bears the cost of installing EFVs to service lines that are not being newly installed or replaced to the operator's rate-setter.</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784"/>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Section 22 2011 PSA : 01/03/2014</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01/03/2017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86" w:name="86"/>
            <w:r>
              <w:rPr>
                <w:rFonts w:ascii="Times" w:eastAsia="Times New Roman" w:hAnsi="Times" w:cs="Times"/>
                <w:sz w:val="20"/>
                <w:szCs w:val="20"/>
              </w:rPr>
              <w:lastRenderedPageBreak/>
              <w:t>Pipeline and Hazardous Materials Safety Administration</w:t>
            </w:r>
            <w:bookmarkEnd w:id="86"/>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F155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Red</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Gas Transmission (RRR)</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2137-AE72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12/2/2011; End of Extended C/P 1/20/2012.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proposed rulemaking, PHMSA would be revisiting the requirements in the Pipeline Safety Regulations addressing integrity management principles for Gas Transmission pipelines. In particular, PHMSA would address: repair criteria for both HCA and non-HCA areas, assessment methods, validating and integrating pipeline data, risk assessments, knowledge gained through the IM program, corrosion control, change management, gathering lines, and safety features on launchers and receivers.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03/12/2014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04/28/2014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06/27/2014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02/19/2016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02/29/2016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03/23/2016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04/08/2016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06/08/2016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20721</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87" w:name="87"/>
            <w:r>
              <w:rPr>
                <w:rFonts w:ascii="Times" w:eastAsia="Times New Roman" w:hAnsi="Times" w:cs="Times"/>
                <w:sz w:val="20"/>
                <w:szCs w:val="20"/>
              </w:rPr>
              <w:lastRenderedPageBreak/>
              <w:t>Pipeline and Hazardous Materials Safety Administration</w:t>
            </w:r>
            <w:bookmarkEnd w:id="87"/>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Pipeline Safety: Amendments to Parts 192 and 195 to require Valve installation and Minimum Rupture Detection Standards</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Rupture Detection and Valves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2137-AF06</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propose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88" w:name="88"/>
            <w:r>
              <w:rPr>
                <w:rFonts w:ascii="Times" w:eastAsia="Times New Roman" w:hAnsi="Times" w:cs="Times"/>
                <w:sz w:val="20"/>
                <w:szCs w:val="20"/>
              </w:rPr>
              <w:lastRenderedPageBreak/>
              <w:t>Pipeline and Hazardous Materials Safety Administration</w:t>
            </w:r>
            <w:bookmarkEnd w:id="88"/>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Hazardous Materials: Review and Update of Rail Carrier Regulations in Part 174 (RRR)</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Update Rail Carrier Regulations (RRR)</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2137-AF07</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Hazardous Materials Regulations (HMR) applicable to the transportation of hazardous materials by rail. In accordance with Executive Order 13563, Regulatory Review and Reinvention (E.O. 13563; January 18, 2011), the Federal Rail Administration (FRA) has completed an internal review of the existing regulations set forth by PHMSA in 49 CFR Part 174, which apply to persons who accept and transport hazardous materials by rail. Using the principals set forth in E.O. 13563, FRA has reviewed the regulations in Part 174 and other relevant sections of the HMR, and identified regulations that are outdated, unclear, no longer necessary, may present an undue economic burden on the regulated community, conflict with other North American standards and regulations, or do not sufficiently address technological advancements in the railroad operating environment. Further, FRA has identified several trends in industry practices and operating procedures that present new and different risks to safety that should be addressed in Part 174 of the HMR. This rulemaking would more fully align the HMR with the results of the FRA review and would update, clarify, correct and provide relief of certain regulatory requirements applicable to the transportation of hazardous materials by rail. PHMSA projects that this rulemaking action will be designated as non-significant, and this rulemaking will not appear in next month's report.</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PHMSA-2014-0031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02/25/2015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01/20/2017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Other, higher priorities</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89" w:name="89"/>
            <w:r>
              <w:rPr>
                <w:rFonts w:ascii="Times" w:eastAsia="Times New Roman" w:hAnsi="Times" w:cs="Times"/>
                <w:sz w:val="20"/>
                <w:szCs w:val="20"/>
              </w:rPr>
              <w:lastRenderedPageBreak/>
              <w:t>Pipeline and Hazardous Materials Safety Administration</w:t>
            </w:r>
            <w:bookmarkEnd w:id="89"/>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Hazardous Materials: Oil Spill Response Plans and Information Sharing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Oil Spill Resp Plans and Info Sharing HHFT</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2137-AF08</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developed in consultation with the Federal Railroad Administration, would revise PHMSA's regulations to expand the applicability of comprehensive oil spill response plans (OSRPs) based on thresholds of liquid petroleum oil that apply to an entire train. We are also proposing to revise the format and clarify requirements of a comprehensive OSRP and to require railroads to share information about high-hazard flammable train operations with state and tribal emergency response organizations (i.e., State Emergency Response Commissions and Tribal Emergency Response Commissions) to improve community preparedness. Lastly, PHMSA is proposing an update to boiling point testing procedures to provide regulatory flexibility and promotes enhanced safety in transport through accurate packing group assignment.</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10/07/2015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05/21/2015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02/24/2016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06/09/2016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90" w:name="90"/>
            <w:r>
              <w:rPr>
                <w:rFonts w:ascii="Times" w:eastAsia="Times New Roman" w:hAnsi="Times" w:cs="Times"/>
                <w:sz w:val="20"/>
                <w:szCs w:val="20"/>
              </w:rPr>
              <w:lastRenderedPageBreak/>
              <w:t>Pipeline and Hazardous Materials Safety Administration</w:t>
            </w:r>
            <w:bookmarkEnd w:id="90"/>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Hazardous Materials: FAST Act Requirements for Flammable Liquids and Rail Tank Cars</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FAST Act Flammable Liquids and Rail Tank Car</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2137-AF17</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issuing a final rule to codify certain mandates and minimum requirements set forth by the Fixing America's Surface Transportation Act of 2015, or the FAST Act. Specifically, the FAST Act mandates a new phase-out schedule for DOT-111 specification tank cars, including DOT-111 tank cars constructed to the Casualty Prevention Circular (CPC) 1232 (CPC-1232) industry standard, used to transport unrefined petroleum products (e.g., petroleum crude oil), ethanol, and other Class 3 flammable liquids, irrespective of train composition. In addition, the FAST Act mandates that each tank car built to meet the DOT-117 specification, and each non-jacketed tank car retrofit to meet the DOT-117R specification, be equipped with an insulating blanket with at least an inch-thick material that has been approved by the Secretary pursuant to 49 CFR 179.18(c). Moreover, the FAST Act specifies minimum top fittings protection requirements for tank cars retrofit to meet the DOT-117R specification. Because the actions taken in this final rule address congressional mandates that instruct the Secretary to issue conforming regulatory amendments immediately or soon after the FAST Act's date of enactment, PHMSA finds that due and timely execution of agency functions would be impeded by the procedures of public notice that are normally required by the Administrative Procedure Act (APA). Therefore, PHMSA finds that public notice is impracticable and that good cause exists to amend the regulations without advance notice and opportunity for public comment.</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01/11/2016</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PHMSA-2016-0011</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05/02/2016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91" w:name="91"/>
            <w:r>
              <w:rPr>
                <w:rFonts w:ascii="Times" w:eastAsia="Times New Roman" w:hAnsi="Times" w:cs="Times"/>
                <w:sz w:val="20"/>
                <w:szCs w:val="20"/>
              </w:rPr>
              <w:lastRenderedPageBreak/>
              <w:t>Pipeline and Hazardous Materials Safety Administration</w:t>
            </w:r>
            <w:bookmarkEnd w:id="91"/>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Hazardous Materials: Revised Lithium Battery Provisions</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Revised Lithium Battery Provisions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2137-AF20</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amend the Hazardous Materials Regulations to incorporate three amendments that impact the transport regulations for packaged lithium cells and batteries (i.e. not packed with or contained in equipment). These amendments would: (1) prohibit the transport of lithium ion cells and batteries as cargo aboard passenger carrying aircraft; (2) limit lithium ion cells and batteries to a 30 percent state of charge; and (3) limit the number of packages that may be offered under current provisions for small (excepted) cells and batteries to not more than one package per consignment. We anticipate these amendments will result in temporary supply chain disruptions but will produce immediate safety benefits by eliminating vulnerability in the existing transport regulations.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01/25/2016</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PHMSA-2016-0014</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11/01/2016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09/28/2016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10/28/2016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F15577">
        <w:trPr>
          <w:tblCellSpacing w:w="24" w:type="dxa"/>
        </w:trPr>
        <w:tc>
          <w:tcPr>
            <w:tcW w:w="0" w:type="auto"/>
            <w:gridSpan w:val="2"/>
            <w:vAlign w:val="center"/>
            <w:hideMark/>
          </w:tcPr>
          <w:p w:rsidR="00F15577" w:rsidRDefault="00F91FD5">
            <w:pPr>
              <w:jc w:val="center"/>
              <w:rPr>
                <w:rFonts w:ascii="Times" w:eastAsia="Times New Roman" w:hAnsi="Times" w:cs="Times"/>
                <w:sz w:val="20"/>
                <w:szCs w:val="20"/>
              </w:rPr>
            </w:pPr>
            <w:bookmarkStart w:id="92" w:name="92"/>
            <w:r>
              <w:rPr>
                <w:rFonts w:ascii="Times" w:eastAsia="Times New Roman" w:hAnsi="Times" w:cs="Times"/>
                <w:sz w:val="20"/>
                <w:szCs w:val="20"/>
              </w:rPr>
              <w:lastRenderedPageBreak/>
              <w:t>Pipeline and Hazardous Materials Safety Administration</w:t>
            </w:r>
            <w:bookmarkEnd w:id="92"/>
          </w:p>
        </w:tc>
      </w:tr>
      <w:tr w:rsidR="00F15577">
        <w:trPr>
          <w:tblCellSpacing w:w="24" w:type="dxa"/>
        </w:trPr>
        <w:tc>
          <w:tcPr>
            <w:tcW w:w="360" w:type="dxa"/>
            <w:vAlign w:val="center"/>
            <w:hideMark/>
          </w:tcPr>
          <w:p w:rsidR="00F15577" w:rsidRDefault="00F91FD5">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F155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Pipeline Safety: Underground Storage Facilities for Natural Gas</w:t>
                  </w:r>
                </w:p>
              </w:tc>
              <w:tc>
                <w:tcPr>
                  <w:tcW w:w="360" w:type="dxa"/>
                  <w:tcBorders>
                    <w:top w:val="outset" w:sz="6" w:space="0" w:color="000000"/>
                    <w:left w:val="outset" w:sz="6" w:space="0" w:color="000000"/>
                    <w:bottom w:val="outset" w:sz="6" w:space="0" w:color="000000"/>
                    <w:right w:val="outset" w:sz="6" w:space="0" w:color="000000"/>
                  </w:tcBorders>
                  <w:hideMark/>
                </w:tcPr>
                <w:p w:rsidR="00F15577" w:rsidRDefault="00F91FD5">
                  <w:pPr>
                    <w:rPr>
                      <w:rFonts w:ascii="Times" w:eastAsia="Times New Roman" w:hAnsi="Times" w:cs="Times"/>
                      <w:sz w:val="20"/>
                      <w:szCs w:val="20"/>
                    </w:rPr>
                  </w:pPr>
                  <w:r>
                    <w:rPr>
                      <w:rFonts w:ascii="Times" w:eastAsia="Times New Roman" w:hAnsi="Times" w:cs="Times"/>
                      <w:sz w:val="20"/>
                      <w:szCs w:val="20"/>
                    </w:rPr>
                    <w:t>Black</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Underground Storage Facilities Natural Gas</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RIN 2137-AF22</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has safety authority over the underground storage facilities used in natural gas pipeline transportation, but has no safety regulations in the DOT Code (49 CFR Part 192) that apply to the down-hole underground storage reservoir for natural gas. PHMSA is planning to issue an interim final rule will use this regulation to require operators of underground storage facilities for natural gas to comply with minimum safety standards, including compliance with API RP 1171, Functional Integrity of Natural Gas Storage in Depleted Hydrocarbon Reservoirs and Aquifer Reservoirs, and API RP 1170, Design and Operation of Solution-mined Salt Caverns Used for Natural Gas Storage. PHMSA is considering adopting the non-mandatory provisions of the RPs in a manner that would make them mandatory, except that operators would be permitted to deviate from the RPs if they provide justification.</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519"/>
            </w:tblGrid>
            <w:tr w:rsidR="00F15577">
              <w:trPr>
                <w:tblCellSpacing w:w="0" w:type="dxa"/>
              </w:trPr>
              <w:tc>
                <w:tcPr>
                  <w:tcW w:w="360" w:type="dxa"/>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155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15577">
              <w:trPr>
                <w:tblCellSpacing w:w="0" w:type="dxa"/>
              </w:trPr>
              <w:tc>
                <w:tcPr>
                  <w:tcW w:w="0" w:type="auto"/>
                  <w:noWrap/>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15577" w:rsidRDefault="00F15577">
                  <w:pPr>
                    <w:framePr w:hSpace="36" w:wrap="around" w:vAnchor="text" w:hAnchor="text"/>
                    <w:rPr>
                      <w:rFonts w:ascii="Times" w:eastAsia="Times New Roman" w:hAnsi="Times" w:cs="Times"/>
                      <w:sz w:val="20"/>
                      <w:szCs w:val="20"/>
                    </w:rPr>
                  </w:pP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02/17/2016</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F155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11/15/2016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155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11/25/2016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F15577" w:rsidRDefault="00F91FD5" w:rsidP="00A33CF3">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15577">
              <w:trPr>
                <w:tblCellSpacing w:w="15" w:type="dxa"/>
              </w:trPr>
              <w:tc>
                <w:tcPr>
                  <w:tcW w:w="0" w:type="auto"/>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15577" w:rsidRDefault="00F91FD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15577" w:rsidRDefault="00F15577">
            <w:pPr>
              <w:rPr>
                <w:rFonts w:ascii="Times" w:eastAsia="Times New Roman" w:hAnsi="Times" w:cs="Times"/>
                <w:sz w:val="20"/>
                <w:szCs w:val="20"/>
              </w:rPr>
            </w:pPr>
          </w:p>
        </w:tc>
      </w:tr>
      <w:tr w:rsidR="00F15577">
        <w:trPr>
          <w:tblCellSpacing w:w="24" w:type="dxa"/>
        </w:trPr>
        <w:tc>
          <w:tcPr>
            <w:tcW w:w="0" w:type="auto"/>
            <w:gridSpan w:val="2"/>
            <w:vAlign w:val="center"/>
            <w:hideMark/>
          </w:tcPr>
          <w:p w:rsidR="00F15577" w:rsidRDefault="00F91FD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F15577" w:rsidRDefault="00F91FD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p>
    <w:sectPr w:rsidR="00F1557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851" w:rsidRDefault="00185851" w:rsidP="00185851">
      <w:r>
        <w:separator/>
      </w:r>
    </w:p>
  </w:endnote>
  <w:endnote w:type="continuationSeparator" w:id="0">
    <w:p w:rsidR="00185851" w:rsidRDefault="00185851" w:rsidP="0018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715353"/>
      <w:docPartObj>
        <w:docPartGallery w:val="Page Numbers (Bottom of Page)"/>
        <w:docPartUnique/>
      </w:docPartObj>
    </w:sdtPr>
    <w:sdtEndPr/>
    <w:sdtContent>
      <w:sdt>
        <w:sdtPr>
          <w:id w:val="860082579"/>
          <w:docPartObj>
            <w:docPartGallery w:val="Page Numbers (Top of Page)"/>
            <w:docPartUnique/>
          </w:docPartObj>
        </w:sdtPr>
        <w:sdtEndPr/>
        <w:sdtContent>
          <w:p w:rsidR="00185851" w:rsidRDefault="00185851">
            <w:pPr>
              <w:pStyle w:val="Footer"/>
              <w:jc w:val="right"/>
            </w:pPr>
            <w:r>
              <w:t xml:space="preserve">May Internet Report:  Page </w:t>
            </w:r>
            <w:r>
              <w:rPr>
                <w:b/>
                <w:bCs/>
              </w:rPr>
              <w:fldChar w:fldCharType="begin"/>
            </w:r>
            <w:r>
              <w:rPr>
                <w:b/>
                <w:bCs/>
              </w:rPr>
              <w:instrText xml:space="preserve"> PAGE </w:instrText>
            </w:r>
            <w:r>
              <w:rPr>
                <w:b/>
                <w:bCs/>
              </w:rPr>
              <w:fldChar w:fldCharType="separate"/>
            </w:r>
            <w:r w:rsidR="00A33CF3">
              <w:rPr>
                <w:b/>
                <w:bCs/>
                <w:noProof/>
              </w:rPr>
              <w:t>46</w:t>
            </w:r>
            <w:r>
              <w:rPr>
                <w:b/>
                <w:bCs/>
              </w:rPr>
              <w:fldChar w:fldCharType="end"/>
            </w:r>
            <w:r>
              <w:t xml:space="preserve"> of </w:t>
            </w:r>
            <w:r>
              <w:rPr>
                <w:b/>
                <w:bCs/>
              </w:rPr>
              <w:fldChar w:fldCharType="begin"/>
            </w:r>
            <w:r>
              <w:rPr>
                <w:b/>
                <w:bCs/>
              </w:rPr>
              <w:instrText xml:space="preserve"> NUMPAGES  </w:instrText>
            </w:r>
            <w:r>
              <w:rPr>
                <w:b/>
                <w:bCs/>
              </w:rPr>
              <w:fldChar w:fldCharType="separate"/>
            </w:r>
            <w:r w:rsidR="00A33CF3">
              <w:rPr>
                <w:b/>
                <w:bCs/>
                <w:noProof/>
              </w:rPr>
              <w:t>97</w:t>
            </w:r>
            <w:r>
              <w:rPr>
                <w:b/>
                <w:bCs/>
              </w:rPr>
              <w:fldChar w:fldCharType="end"/>
            </w:r>
          </w:p>
        </w:sdtContent>
      </w:sdt>
    </w:sdtContent>
  </w:sdt>
  <w:p w:rsidR="00185851" w:rsidRDefault="00185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851" w:rsidRDefault="00185851" w:rsidP="00185851">
      <w:r>
        <w:separator/>
      </w:r>
    </w:p>
  </w:footnote>
  <w:footnote w:type="continuationSeparator" w:id="0">
    <w:p w:rsidR="00185851" w:rsidRDefault="00185851" w:rsidP="00185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8F410D"/>
    <w:rsid w:val="00185851"/>
    <w:rsid w:val="006F5FE3"/>
    <w:rsid w:val="008F410D"/>
    <w:rsid w:val="00A33CF3"/>
    <w:rsid w:val="00E95E37"/>
    <w:rsid w:val="00F15577"/>
    <w:rsid w:val="00F654E5"/>
    <w:rsid w:val="00F91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185851"/>
    <w:pPr>
      <w:tabs>
        <w:tab w:val="center" w:pos="4680"/>
        <w:tab w:val="right" w:pos="9360"/>
      </w:tabs>
    </w:pPr>
  </w:style>
  <w:style w:type="character" w:customStyle="1" w:styleId="HeaderChar">
    <w:name w:val="Header Char"/>
    <w:basedOn w:val="DefaultParagraphFont"/>
    <w:link w:val="Header"/>
    <w:uiPriority w:val="99"/>
    <w:rsid w:val="00185851"/>
    <w:rPr>
      <w:rFonts w:eastAsiaTheme="minorEastAsia"/>
      <w:sz w:val="24"/>
      <w:szCs w:val="24"/>
    </w:rPr>
  </w:style>
  <w:style w:type="paragraph" w:styleId="Footer">
    <w:name w:val="footer"/>
    <w:basedOn w:val="Normal"/>
    <w:link w:val="FooterChar"/>
    <w:uiPriority w:val="99"/>
    <w:unhideWhenUsed/>
    <w:rsid w:val="00185851"/>
    <w:pPr>
      <w:tabs>
        <w:tab w:val="center" w:pos="4680"/>
        <w:tab w:val="right" w:pos="9360"/>
      </w:tabs>
    </w:pPr>
  </w:style>
  <w:style w:type="character" w:customStyle="1" w:styleId="FooterChar">
    <w:name w:val="Footer Char"/>
    <w:basedOn w:val="DefaultParagraphFont"/>
    <w:link w:val="Footer"/>
    <w:uiPriority w:val="99"/>
    <w:rsid w:val="00185851"/>
    <w:rPr>
      <w:rFonts w:eastAsiaTheme="minorEastAsia"/>
      <w:sz w:val="24"/>
      <w:szCs w:val="24"/>
    </w:rPr>
  </w:style>
  <w:style w:type="paragraph" w:styleId="BalloonText">
    <w:name w:val="Balloon Text"/>
    <w:basedOn w:val="Normal"/>
    <w:link w:val="BalloonTextChar"/>
    <w:uiPriority w:val="99"/>
    <w:semiHidden/>
    <w:unhideWhenUsed/>
    <w:rsid w:val="00185851"/>
    <w:rPr>
      <w:rFonts w:ascii="Tahoma" w:hAnsi="Tahoma" w:cs="Tahoma"/>
      <w:sz w:val="16"/>
      <w:szCs w:val="16"/>
    </w:rPr>
  </w:style>
  <w:style w:type="character" w:customStyle="1" w:styleId="BalloonTextChar">
    <w:name w:val="Balloon Text Char"/>
    <w:basedOn w:val="DefaultParagraphFont"/>
    <w:link w:val="BalloonText"/>
    <w:uiPriority w:val="99"/>
    <w:semiHidden/>
    <w:rsid w:val="0018585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185851"/>
    <w:pPr>
      <w:tabs>
        <w:tab w:val="center" w:pos="4680"/>
        <w:tab w:val="right" w:pos="9360"/>
      </w:tabs>
    </w:pPr>
  </w:style>
  <w:style w:type="character" w:customStyle="1" w:styleId="HeaderChar">
    <w:name w:val="Header Char"/>
    <w:basedOn w:val="DefaultParagraphFont"/>
    <w:link w:val="Header"/>
    <w:uiPriority w:val="99"/>
    <w:rsid w:val="00185851"/>
    <w:rPr>
      <w:rFonts w:eastAsiaTheme="minorEastAsia"/>
      <w:sz w:val="24"/>
      <w:szCs w:val="24"/>
    </w:rPr>
  </w:style>
  <w:style w:type="paragraph" w:styleId="Footer">
    <w:name w:val="footer"/>
    <w:basedOn w:val="Normal"/>
    <w:link w:val="FooterChar"/>
    <w:uiPriority w:val="99"/>
    <w:unhideWhenUsed/>
    <w:rsid w:val="00185851"/>
    <w:pPr>
      <w:tabs>
        <w:tab w:val="center" w:pos="4680"/>
        <w:tab w:val="right" w:pos="9360"/>
      </w:tabs>
    </w:pPr>
  </w:style>
  <w:style w:type="character" w:customStyle="1" w:styleId="FooterChar">
    <w:name w:val="Footer Char"/>
    <w:basedOn w:val="DefaultParagraphFont"/>
    <w:link w:val="Footer"/>
    <w:uiPriority w:val="99"/>
    <w:rsid w:val="00185851"/>
    <w:rPr>
      <w:rFonts w:eastAsiaTheme="minorEastAsia"/>
      <w:sz w:val="24"/>
      <w:szCs w:val="24"/>
    </w:rPr>
  </w:style>
  <w:style w:type="paragraph" w:styleId="BalloonText">
    <w:name w:val="Balloon Text"/>
    <w:basedOn w:val="Normal"/>
    <w:link w:val="BalloonTextChar"/>
    <w:uiPriority w:val="99"/>
    <w:semiHidden/>
    <w:unhideWhenUsed/>
    <w:rsid w:val="00185851"/>
    <w:rPr>
      <w:rFonts w:ascii="Tahoma" w:hAnsi="Tahoma" w:cs="Tahoma"/>
      <w:sz w:val="16"/>
      <w:szCs w:val="16"/>
    </w:rPr>
  </w:style>
  <w:style w:type="character" w:customStyle="1" w:styleId="BalloonTextChar">
    <w:name w:val="Balloon Text Char"/>
    <w:basedOn w:val="DefaultParagraphFont"/>
    <w:link w:val="BalloonText"/>
    <w:uiPriority w:val="99"/>
    <w:semiHidden/>
    <w:rsid w:val="0018585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8737">
      <w:marLeft w:val="0"/>
      <w:marRight w:val="0"/>
      <w:marTop w:val="0"/>
      <w:marBottom w:val="0"/>
      <w:divBdr>
        <w:top w:val="none" w:sz="0" w:space="0" w:color="auto"/>
        <w:left w:val="none" w:sz="0" w:space="0" w:color="auto"/>
        <w:bottom w:val="none" w:sz="0" w:space="0" w:color="auto"/>
        <w:right w:val="none" w:sz="0" w:space="0" w:color="auto"/>
      </w:divBdr>
    </w:div>
    <w:div w:id="54817062">
      <w:marLeft w:val="0"/>
      <w:marRight w:val="0"/>
      <w:marTop w:val="0"/>
      <w:marBottom w:val="0"/>
      <w:divBdr>
        <w:top w:val="none" w:sz="0" w:space="0" w:color="auto"/>
        <w:left w:val="none" w:sz="0" w:space="0" w:color="auto"/>
        <w:bottom w:val="none" w:sz="0" w:space="0" w:color="auto"/>
        <w:right w:val="none" w:sz="0" w:space="0" w:color="auto"/>
      </w:divBdr>
    </w:div>
    <w:div w:id="64836341">
      <w:marLeft w:val="0"/>
      <w:marRight w:val="0"/>
      <w:marTop w:val="0"/>
      <w:marBottom w:val="0"/>
      <w:divBdr>
        <w:top w:val="none" w:sz="0" w:space="0" w:color="auto"/>
        <w:left w:val="none" w:sz="0" w:space="0" w:color="auto"/>
        <w:bottom w:val="none" w:sz="0" w:space="0" w:color="auto"/>
        <w:right w:val="none" w:sz="0" w:space="0" w:color="auto"/>
      </w:divBdr>
    </w:div>
    <w:div w:id="82529068">
      <w:marLeft w:val="0"/>
      <w:marRight w:val="0"/>
      <w:marTop w:val="0"/>
      <w:marBottom w:val="0"/>
      <w:divBdr>
        <w:top w:val="none" w:sz="0" w:space="0" w:color="auto"/>
        <w:left w:val="none" w:sz="0" w:space="0" w:color="auto"/>
        <w:bottom w:val="none" w:sz="0" w:space="0" w:color="auto"/>
        <w:right w:val="none" w:sz="0" w:space="0" w:color="auto"/>
      </w:divBdr>
    </w:div>
    <w:div w:id="86312807">
      <w:marLeft w:val="0"/>
      <w:marRight w:val="0"/>
      <w:marTop w:val="0"/>
      <w:marBottom w:val="0"/>
      <w:divBdr>
        <w:top w:val="none" w:sz="0" w:space="0" w:color="auto"/>
        <w:left w:val="none" w:sz="0" w:space="0" w:color="auto"/>
        <w:bottom w:val="none" w:sz="0" w:space="0" w:color="auto"/>
        <w:right w:val="none" w:sz="0" w:space="0" w:color="auto"/>
      </w:divBdr>
    </w:div>
    <w:div w:id="88694582">
      <w:marLeft w:val="0"/>
      <w:marRight w:val="0"/>
      <w:marTop w:val="0"/>
      <w:marBottom w:val="0"/>
      <w:divBdr>
        <w:top w:val="none" w:sz="0" w:space="0" w:color="auto"/>
        <w:left w:val="none" w:sz="0" w:space="0" w:color="auto"/>
        <w:bottom w:val="none" w:sz="0" w:space="0" w:color="auto"/>
        <w:right w:val="none" w:sz="0" w:space="0" w:color="auto"/>
      </w:divBdr>
    </w:div>
    <w:div w:id="97138444">
      <w:marLeft w:val="0"/>
      <w:marRight w:val="0"/>
      <w:marTop w:val="0"/>
      <w:marBottom w:val="0"/>
      <w:divBdr>
        <w:top w:val="none" w:sz="0" w:space="0" w:color="auto"/>
        <w:left w:val="none" w:sz="0" w:space="0" w:color="auto"/>
        <w:bottom w:val="none" w:sz="0" w:space="0" w:color="auto"/>
        <w:right w:val="none" w:sz="0" w:space="0" w:color="auto"/>
      </w:divBdr>
    </w:div>
    <w:div w:id="97723419">
      <w:marLeft w:val="0"/>
      <w:marRight w:val="0"/>
      <w:marTop w:val="0"/>
      <w:marBottom w:val="0"/>
      <w:divBdr>
        <w:top w:val="none" w:sz="0" w:space="0" w:color="auto"/>
        <w:left w:val="none" w:sz="0" w:space="0" w:color="auto"/>
        <w:bottom w:val="none" w:sz="0" w:space="0" w:color="auto"/>
        <w:right w:val="none" w:sz="0" w:space="0" w:color="auto"/>
      </w:divBdr>
    </w:div>
    <w:div w:id="104086189">
      <w:marLeft w:val="0"/>
      <w:marRight w:val="0"/>
      <w:marTop w:val="0"/>
      <w:marBottom w:val="0"/>
      <w:divBdr>
        <w:top w:val="none" w:sz="0" w:space="0" w:color="auto"/>
        <w:left w:val="none" w:sz="0" w:space="0" w:color="auto"/>
        <w:bottom w:val="none" w:sz="0" w:space="0" w:color="auto"/>
        <w:right w:val="none" w:sz="0" w:space="0" w:color="auto"/>
      </w:divBdr>
    </w:div>
    <w:div w:id="108549433">
      <w:marLeft w:val="0"/>
      <w:marRight w:val="0"/>
      <w:marTop w:val="0"/>
      <w:marBottom w:val="0"/>
      <w:divBdr>
        <w:top w:val="none" w:sz="0" w:space="0" w:color="auto"/>
        <w:left w:val="none" w:sz="0" w:space="0" w:color="auto"/>
        <w:bottom w:val="none" w:sz="0" w:space="0" w:color="auto"/>
        <w:right w:val="none" w:sz="0" w:space="0" w:color="auto"/>
      </w:divBdr>
    </w:div>
    <w:div w:id="113641063">
      <w:marLeft w:val="0"/>
      <w:marRight w:val="0"/>
      <w:marTop w:val="0"/>
      <w:marBottom w:val="0"/>
      <w:divBdr>
        <w:top w:val="none" w:sz="0" w:space="0" w:color="auto"/>
        <w:left w:val="none" w:sz="0" w:space="0" w:color="auto"/>
        <w:bottom w:val="none" w:sz="0" w:space="0" w:color="auto"/>
        <w:right w:val="none" w:sz="0" w:space="0" w:color="auto"/>
      </w:divBdr>
    </w:div>
    <w:div w:id="128862981">
      <w:marLeft w:val="0"/>
      <w:marRight w:val="0"/>
      <w:marTop w:val="0"/>
      <w:marBottom w:val="0"/>
      <w:divBdr>
        <w:top w:val="none" w:sz="0" w:space="0" w:color="auto"/>
        <w:left w:val="none" w:sz="0" w:space="0" w:color="auto"/>
        <w:bottom w:val="none" w:sz="0" w:space="0" w:color="auto"/>
        <w:right w:val="none" w:sz="0" w:space="0" w:color="auto"/>
      </w:divBdr>
    </w:div>
    <w:div w:id="142158645">
      <w:marLeft w:val="0"/>
      <w:marRight w:val="0"/>
      <w:marTop w:val="0"/>
      <w:marBottom w:val="0"/>
      <w:divBdr>
        <w:top w:val="none" w:sz="0" w:space="0" w:color="auto"/>
        <w:left w:val="none" w:sz="0" w:space="0" w:color="auto"/>
        <w:bottom w:val="none" w:sz="0" w:space="0" w:color="auto"/>
        <w:right w:val="none" w:sz="0" w:space="0" w:color="auto"/>
      </w:divBdr>
    </w:div>
    <w:div w:id="186335361">
      <w:marLeft w:val="0"/>
      <w:marRight w:val="0"/>
      <w:marTop w:val="0"/>
      <w:marBottom w:val="0"/>
      <w:divBdr>
        <w:top w:val="none" w:sz="0" w:space="0" w:color="auto"/>
        <w:left w:val="none" w:sz="0" w:space="0" w:color="auto"/>
        <w:bottom w:val="none" w:sz="0" w:space="0" w:color="auto"/>
        <w:right w:val="none" w:sz="0" w:space="0" w:color="auto"/>
      </w:divBdr>
    </w:div>
    <w:div w:id="201788402">
      <w:marLeft w:val="0"/>
      <w:marRight w:val="0"/>
      <w:marTop w:val="0"/>
      <w:marBottom w:val="0"/>
      <w:divBdr>
        <w:top w:val="none" w:sz="0" w:space="0" w:color="auto"/>
        <w:left w:val="none" w:sz="0" w:space="0" w:color="auto"/>
        <w:bottom w:val="none" w:sz="0" w:space="0" w:color="auto"/>
        <w:right w:val="none" w:sz="0" w:space="0" w:color="auto"/>
      </w:divBdr>
    </w:div>
    <w:div w:id="215774954">
      <w:marLeft w:val="0"/>
      <w:marRight w:val="0"/>
      <w:marTop w:val="0"/>
      <w:marBottom w:val="0"/>
      <w:divBdr>
        <w:top w:val="none" w:sz="0" w:space="0" w:color="auto"/>
        <w:left w:val="none" w:sz="0" w:space="0" w:color="auto"/>
        <w:bottom w:val="none" w:sz="0" w:space="0" w:color="auto"/>
        <w:right w:val="none" w:sz="0" w:space="0" w:color="auto"/>
      </w:divBdr>
    </w:div>
    <w:div w:id="225532159">
      <w:marLeft w:val="0"/>
      <w:marRight w:val="0"/>
      <w:marTop w:val="0"/>
      <w:marBottom w:val="0"/>
      <w:divBdr>
        <w:top w:val="none" w:sz="0" w:space="0" w:color="auto"/>
        <w:left w:val="none" w:sz="0" w:space="0" w:color="auto"/>
        <w:bottom w:val="none" w:sz="0" w:space="0" w:color="auto"/>
        <w:right w:val="none" w:sz="0" w:space="0" w:color="auto"/>
      </w:divBdr>
    </w:div>
    <w:div w:id="256136202">
      <w:marLeft w:val="0"/>
      <w:marRight w:val="0"/>
      <w:marTop w:val="0"/>
      <w:marBottom w:val="0"/>
      <w:divBdr>
        <w:top w:val="none" w:sz="0" w:space="0" w:color="auto"/>
        <w:left w:val="none" w:sz="0" w:space="0" w:color="auto"/>
        <w:bottom w:val="none" w:sz="0" w:space="0" w:color="auto"/>
        <w:right w:val="none" w:sz="0" w:space="0" w:color="auto"/>
      </w:divBdr>
    </w:div>
    <w:div w:id="274145159">
      <w:marLeft w:val="0"/>
      <w:marRight w:val="0"/>
      <w:marTop w:val="0"/>
      <w:marBottom w:val="0"/>
      <w:divBdr>
        <w:top w:val="none" w:sz="0" w:space="0" w:color="auto"/>
        <w:left w:val="none" w:sz="0" w:space="0" w:color="auto"/>
        <w:bottom w:val="none" w:sz="0" w:space="0" w:color="auto"/>
        <w:right w:val="none" w:sz="0" w:space="0" w:color="auto"/>
      </w:divBdr>
    </w:div>
    <w:div w:id="278030154">
      <w:marLeft w:val="0"/>
      <w:marRight w:val="0"/>
      <w:marTop w:val="0"/>
      <w:marBottom w:val="0"/>
      <w:divBdr>
        <w:top w:val="none" w:sz="0" w:space="0" w:color="auto"/>
        <w:left w:val="none" w:sz="0" w:space="0" w:color="auto"/>
        <w:bottom w:val="none" w:sz="0" w:space="0" w:color="auto"/>
        <w:right w:val="none" w:sz="0" w:space="0" w:color="auto"/>
      </w:divBdr>
    </w:div>
    <w:div w:id="352534184">
      <w:marLeft w:val="0"/>
      <w:marRight w:val="0"/>
      <w:marTop w:val="0"/>
      <w:marBottom w:val="0"/>
      <w:divBdr>
        <w:top w:val="none" w:sz="0" w:space="0" w:color="auto"/>
        <w:left w:val="none" w:sz="0" w:space="0" w:color="auto"/>
        <w:bottom w:val="none" w:sz="0" w:space="0" w:color="auto"/>
        <w:right w:val="none" w:sz="0" w:space="0" w:color="auto"/>
      </w:divBdr>
    </w:div>
    <w:div w:id="352848282">
      <w:marLeft w:val="0"/>
      <w:marRight w:val="0"/>
      <w:marTop w:val="0"/>
      <w:marBottom w:val="0"/>
      <w:divBdr>
        <w:top w:val="none" w:sz="0" w:space="0" w:color="auto"/>
        <w:left w:val="none" w:sz="0" w:space="0" w:color="auto"/>
        <w:bottom w:val="none" w:sz="0" w:space="0" w:color="auto"/>
        <w:right w:val="none" w:sz="0" w:space="0" w:color="auto"/>
      </w:divBdr>
    </w:div>
    <w:div w:id="361250755">
      <w:marLeft w:val="0"/>
      <w:marRight w:val="0"/>
      <w:marTop w:val="0"/>
      <w:marBottom w:val="0"/>
      <w:divBdr>
        <w:top w:val="none" w:sz="0" w:space="0" w:color="auto"/>
        <w:left w:val="none" w:sz="0" w:space="0" w:color="auto"/>
        <w:bottom w:val="none" w:sz="0" w:space="0" w:color="auto"/>
        <w:right w:val="none" w:sz="0" w:space="0" w:color="auto"/>
      </w:divBdr>
    </w:div>
    <w:div w:id="422537277">
      <w:marLeft w:val="0"/>
      <w:marRight w:val="0"/>
      <w:marTop w:val="0"/>
      <w:marBottom w:val="0"/>
      <w:divBdr>
        <w:top w:val="none" w:sz="0" w:space="0" w:color="auto"/>
        <w:left w:val="none" w:sz="0" w:space="0" w:color="auto"/>
        <w:bottom w:val="none" w:sz="0" w:space="0" w:color="auto"/>
        <w:right w:val="none" w:sz="0" w:space="0" w:color="auto"/>
      </w:divBdr>
    </w:div>
    <w:div w:id="431706650">
      <w:marLeft w:val="0"/>
      <w:marRight w:val="0"/>
      <w:marTop w:val="0"/>
      <w:marBottom w:val="0"/>
      <w:divBdr>
        <w:top w:val="none" w:sz="0" w:space="0" w:color="auto"/>
        <w:left w:val="none" w:sz="0" w:space="0" w:color="auto"/>
        <w:bottom w:val="none" w:sz="0" w:space="0" w:color="auto"/>
        <w:right w:val="none" w:sz="0" w:space="0" w:color="auto"/>
      </w:divBdr>
    </w:div>
    <w:div w:id="431903397">
      <w:marLeft w:val="0"/>
      <w:marRight w:val="0"/>
      <w:marTop w:val="0"/>
      <w:marBottom w:val="0"/>
      <w:divBdr>
        <w:top w:val="none" w:sz="0" w:space="0" w:color="auto"/>
        <w:left w:val="none" w:sz="0" w:space="0" w:color="auto"/>
        <w:bottom w:val="none" w:sz="0" w:space="0" w:color="auto"/>
        <w:right w:val="none" w:sz="0" w:space="0" w:color="auto"/>
      </w:divBdr>
    </w:div>
    <w:div w:id="450365419">
      <w:marLeft w:val="0"/>
      <w:marRight w:val="0"/>
      <w:marTop w:val="0"/>
      <w:marBottom w:val="0"/>
      <w:divBdr>
        <w:top w:val="none" w:sz="0" w:space="0" w:color="auto"/>
        <w:left w:val="none" w:sz="0" w:space="0" w:color="auto"/>
        <w:bottom w:val="none" w:sz="0" w:space="0" w:color="auto"/>
        <w:right w:val="none" w:sz="0" w:space="0" w:color="auto"/>
      </w:divBdr>
    </w:div>
    <w:div w:id="455294784">
      <w:marLeft w:val="0"/>
      <w:marRight w:val="0"/>
      <w:marTop w:val="0"/>
      <w:marBottom w:val="0"/>
      <w:divBdr>
        <w:top w:val="none" w:sz="0" w:space="0" w:color="auto"/>
        <w:left w:val="none" w:sz="0" w:space="0" w:color="auto"/>
        <w:bottom w:val="none" w:sz="0" w:space="0" w:color="auto"/>
        <w:right w:val="none" w:sz="0" w:space="0" w:color="auto"/>
      </w:divBdr>
    </w:div>
    <w:div w:id="493952974">
      <w:marLeft w:val="0"/>
      <w:marRight w:val="0"/>
      <w:marTop w:val="0"/>
      <w:marBottom w:val="0"/>
      <w:divBdr>
        <w:top w:val="none" w:sz="0" w:space="0" w:color="auto"/>
        <w:left w:val="none" w:sz="0" w:space="0" w:color="auto"/>
        <w:bottom w:val="none" w:sz="0" w:space="0" w:color="auto"/>
        <w:right w:val="none" w:sz="0" w:space="0" w:color="auto"/>
      </w:divBdr>
    </w:div>
    <w:div w:id="526599595">
      <w:marLeft w:val="0"/>
      <w:marRight w:val="0"/>
      <w:marTop w:val="0"/>
      <w:marBottom w:val="0"/>
      <w:divBdr>
        <w:top w:val="none" w:sz="0" w:space="0" w:color="auto"/>
        <w:left w:val="none" w:sz="0" w:space="0" w:color="auto"/>
        <w:bottom w:val="none" w:sz="0" w:space="0" w:color="auto"/>
        <w:right w:val="none" w:sz="0" w:space="0" w:color="auto"/>
      </w:divBdr>
    </w:div>
    <w:div w:id="534774655">
      <w:marLeft w:val="0"/>
      <w:marRight w:val="0"/>
      <w:marTop w:val="0"/>
      <w:marBottom w:val="0"/>
      <w:divBdr>
        <w:top w:val="none" w:sz="0" w:space="0" w:color="auto"/>
        <w:left w:val="none" w:sz="0" w:space="0" w:color="auto"/>
        <w:bottom w:val="none" w:sz="0" w:space="0" w:color="auto"/>
        <w:right w:val="none" w:sz="0" w:space="0" w:color="auto"/>
      </w:divBdr>
    </w:div>
    <w:div w:id="540673709">
      <w:marLeft w:val="0"/>
      <w:marRight w:val="0"/>
      <w:marTop w:val="0"/>
      <w:marBottom w:val="0"/>
      <w:divBdr>
        <w:top w:val="none" w:sz="0" w:space="0" w:color="auto"/>
        <w:left w:val="none" w:sz="0" w:space="0" w:color="auto"/>
        <w:bottom w:val="none" w:sz="0" w:space="0" w:color="auto"/>
        <w:right w:val="none" w:sz="0" w:space="0" w:color="auto"/>
      </w:divBdr>
    </w:div>
    <w:div w:id="548037313">
      <w:marLeft w:val="0"/>
      <w:marRight w:val="0"/>
      <w:marTop w:val="0"/>
      <w:marBottom w:val="0"/>
      <w:divBdr>
        <w:top w:val="none" w:sz="0" w:space="0" w:color="auto"/>
        <w:left w:val="none" w:sz="0" w:space="0" w:color="auto"/>
        <w:bottom w:val="none" w:sz="0" w:space="0" w:color="auto"/>
        <w:right w:val="none" w:sz="0" w:space="0" w:color="auto"/>
      </w:divBdr>
    </w:div>
    <w:div w:id="552695751">
      <w:marLeft w:val="0"/>
      <w:marRight w:val="0"/>
      <w:marTop w:val="0"/>
      <w:marBottom w:val="0"/>
      <w:divBdr>
        <w:top w:val="none" w:sz="0" w:space="0" w:color="auto"/>
        <w:left w:val="none" w:sz="0" w:space="0" w:color="auto"/>
        <w:bottom w:val="none" w:sz="0" w:space="0" w:color="auto"/>
        <w:right w:val="none" w:sz="0" w:space="0" w:color="auto"/>
      </w:divBdr>
    </w:div>
    <w:div w:id="557011924">
      <w:marLeft w:val="0"/>
      <w:marRight w:val="0"/>
      <w:marTop w:val="0"/>
      <w:marBottom w:val="0"/>
      <w:divBdr>
        <w:top w:val="none" w:sz="0" w:space="0" w:color="auto"/>
        <w:left w:val="none" w:sz="0" w:space="0" w:color="auto"/>
        <w:bottom w:val="none" w:sz="0" w:space="0" w:color="auto"/>
        <w:right w:val="none" w:sz="0" w:space="0" w:color="auto"/>
      </w:divBdr>
    </w:div>
    <w:div w:id="557979811">
      <w:marLeft w:val="0"/>
      <w:marRight w:val="0"/>
      <w:marTop w:val="0"/>
      <w:marBottom w:val="0"/>
      <w:divBdr>
        <w:top w:val="none" w:sz="0" w:space="0" w:color="auto"/>
        <w:left w:val="none" w:sz="0" w:space="0" w:color="auto"/>
        <w:bottom w:val="none" w:sz="0" w:space="0" w:color="auto"/>
        <w:right w:val="none" w:sz="0" w:space="0" w:color="auto"/>
      </w:divBdr>
    </w:div>
    <w:div w:id="564753928">
      <w:marLeft w:val="0"/>
      <w:marRight w:val="0"/>
      <w:marTop w:val="0"/>
      <w:marBottom w:val="0"/>
      <w:divBdr>
        <w:top w:val="none" w:sz="0" w:space="0" w:color="auto"/>
        <w:left w:val="none" w:sz="0" w:space="0" w:color="auto"/>
        <w:bottom w:val="none" w:sz="0" w:space="0" w:color="auto"/>
        <w:right w:val="none" w:sz="0" w:space="0" w:color="auto"/>
      </w:divBdr>
    </w:div>
    <w:div w:id="579099483">
      <w:marLeft w:val="0"/>
      <w:marRight w:val="0"/>
      <w:marTop w:val="0"/>
      <w:marBottom w:val="0"/>
      <w:divBdr>
        <w:top w:val="none" w:sz="0" w:space="0" w:color="auto"/>
        <w:left w:val="none" w:sz="0" w:space="0" w:color="auto"/>
        <w:bottom w:val="none" w:sz="0" w:space="0" w:color="auto"/>
        <w:right w:val="none" w:sz="0" w:space="0" w:color="auto"/>
      </w:divBdr>
    </w:div>
    <w:div w:id="598223281">
      <w:marLeft w:val="0"/>
      <w:marRight w:val="0"/>
      <w:marTop w:val="0"/>
      <w:marBottom w:val="0"/>
      <w:divBdr>
        <w:top w:val="none" w:sz="0" w:space="0" w:color="auto"/>
        <w:left w:val="none" w:sz="0" w:space="0" w:color="auto"/>
        <w:bottom w:val="none" w:sz="0" w:space="0" w:color="auto"/>
        <w:right w:val="none" w:sz="0" w:space="0" w:color="auto"/>
      </w:divBdr>
    </w:div>
    <w:div w:id="606350397">
      <w:marLeft w:val="0"/>
      <w:marRight w:val="0"/>
      <w:marTop w:val="0"/>
      <w:marBottom w:val="0"/>
      <w:divBdr>
        <w:top w:val="none" w:sz="0" w:space="0" w:color="auto"/>
        <w:left w:val="none" w:sz="0" w:space="0" w:color="auto"/>
        <w:bottom w:val="none" w:sz="0" w:space="0" w:color="auto"/>
        <w:right w:val="none" w:sz="0" w:space="0" w:color="auto"/>
      </w:divBdr>
    </w:div>
    <w:div w:id="619995688">
      <w:marLeft w:val="0"/>
      <w:marRight w:val="0"/>
      <w:marTop w:val="0"/>
      <w:marBottom w:val="0"/>
      <w:divBdr>
        <w:top w:val="none" w:sz="0" w:space="0" w:color="auto"/>
        <w:left w:val="none" w:sz="0" w:space="0" w:color="auto"/>
        <w:bottom w:val="none" w:sz="0" w:space="0" w:color="auto"/>
        <w:right w:val="none" w:sz="0" w:space="0" w:color="auto"/>
      </w:divBdr>
    </w:div>
    <w:div w:id="641156068">
      <w:marLeft w:val="0"/>
      <w:marRight w:val="0"/>
      <w:marTop w:val="0"/>
      <w:marBottom w:val="0"/>
      <w:divBdr>
        <w:top w:val="none" w:sz="0" w:space="0" w:color="auto"/>
        <w:left w:val="none" w:sz="0" w:space="0" w:color="auto"/>
        <w:bottom w:val="none" w:sz="0" w:space="0" w:color="auto"/>
        <w:right w:val="none" w:sz="0" w:space="0" w:color="auto"/>
      </w:divBdr>
    </w:div>
    <w:div w:id="670185661">
      <w:marLeft w:val="0"/>
      <w:marRight w:val="0"/>
      <w:marTop w:val="0"/>
      <w:marBottom w:val="0"/>
      <w:divBdr>
        <w:top w:val="none" w:sz="0" w:space="0" w:color="auto"/>
        <w:left w:val="none" w:sz="0" w:space="0" w:color="auto"/>
        <w:bottom w:val="none" w:sz="0" w:space="0" w:color="auto"/>
        <w:right w:val="none" w:sz="0" w:space="0" w:color="auto"/>
      </w:divBdr>
    </w:div>
    <w:div w:id="724523325">
      <w:marLeft w:val="0"/>
      <w:marRight w:val="0"/>
      <w:marTop w:val="0"/>
      <w:marBottom w:val="0"/>
      <w:divBdr>
        <w:top w:val="none" w:sz="0" w:space="0" w:color="auto"/>
        <w:left w:val="none" w:sz="0" w:space="0" w:color="auto"/>
        <w:bottom w:val="none" w:sz="0" w:space="0" w:color="auto"/>
        <w:right w:val="none" w:sz="0" w:space="0" w:color="auto"/>
      </w:divBdr>
    </w:div>
    <w:div w:id="724570227">
      <w:marLeft w:val="0"/>
      <w:marRight w:val="0"/>
      <w:marTop w:val="0"/>
      <w:marBottom w:val="0"/>
      <w:divBdr>
        <w:top w:val="none" w:sz="0" w:space="0" w:color="auto"/>
        <w:left w:val="none" w:sz="0" w:space="0" w:color="auto"/>
        <w:bottom w:val="none" w:sz="0" w:space="0" w:color="auto"/>
        <w:right w:val="none" w:sz="0" w:space="0" w:color="auto"/>
      </w:divBdr>
    </w:div>
    <w:div w:id="737099314">
      <w:marLeft w:val="0"/>
      <w:marRight w:val="0"/>
      <w:marTop w:val="0"/>
      <w:marBottom w:val="0"/>
      <w:divBdr>
        <w:top w:val="none" w:sz="0" w:space="0" w:color="auto"/>
        <w:left w:val="none" w:sz="0" w:space="0" w:color="auto"/>
        <w:bottom w:val="none" w:sz="0" w:space="0" w:color="auto"/>
        <w:right w:val="none" w:sz="0" w:space="0" w:color="auto"/>
      </w:divBdr>
    </w:div>
    <w:div w:id="743532262">
      <w:marLeft w:val="0"/>
      <w:marRight w:val="0"/>
      <w:marTop w:val="0"/>
      <w:marBottom w:val="0"/>
      <w:divBdr>
        <w:top w:val="none" w:sz="0" w:space="0" w:color="auto"/>
        <w:left w:val="none" w:sz="0" w:space="0" w:color="auto"/>
        <w:bottom w:val="none" w:sz="0" w:space="0" w:color="auto"/>
        <w:right w:val="none" w:sz="0" w:space="0" w:color="auto"/>
      </w:divBdr>
    </w:div>
    <w:div w:id="768623346">
      <w:marLeft w:val="0"/>
      <w:marRight w:val="0"/>
      <w:marTop w:val="0"/>
      <w:marBottom w:val="0"/>
      <w:divBdr>
        <w:top w:val="none" w:sz="0" w:space="0" w:color="auto"/>
        <w:left w:val="none" w:sz="0" w:space="0" w:color="auto"/>
        <w:bottom w:val="none" w:sz="0" w:space="0" w:color="auto"/>
        <w:right w:val="none" w:sz="0" w:space="0" w:color="auto"/>
      </w:divBdr>
    </w:div>
    <w:div w:id="798378190">
      <w:marLeft w:val="0"/>
      <w:marRight w:val="0"/>
      <w:marTop w:val="0"/>
      <w:marBottom w:val="0"/>
      <w:divBdr>
        <w:top w:val="none" w:sz="0" w:space="0" w:color="auto"/>
        <w:left w:val="none" w:sz="0" w:space="0" w:color="auto"/>
        <w:bottom w:val="none" w:sz="0" w:space="0" w:color="auto"/>
        <w:right w:val="none" w:sz="0" w:space="0" w:color="auto"/>
      </w:divBdr>
    </w:div>
    <w:div w:id="806623667">
      <w:marLeft w:val="0"/>
      <w:marRight w:val="0"/>
      <w:marTop w:val="0"/>
      <w:marBottom w:val="0"/>
      <w:divBdr>
        <w:top w:val="none" w:sz="0" w:space="0" w:color="auto"/>
        <w:left w:val="none" w:sz="0" w:space="0" w:color="auto"/>
        <w:bottom w:val="none" w:sz="0" w:space="0" w:color="auto"/>
        <w:right w:val="none" w:sz="0" w:space="0" w:color="auto"/>
      </w:divBdr>
    </w:div>
    <w:div w:id="848446568">
      <w:marLeft w:val="0"/>
      <w:marRight w:val="0"/>
      <w:marTop w:val="0"/>
      <w:marBottom w:val="0"/>
      <w:divBdr>
        <w:top w:val="none" w:sz="0" w:space="0" w:color="auto"/>
        <w:left w:val="none" w:sz="0" w:space="0" w:color="auto"/>
        <w:bottom w:val="none" w:sz="0" w:space="0" w:color="auto"/>
        <w:right w:val="none" w:sz="0" w:space="0" w:color="auto"/>
      </w:divBdr>
    </w:div>
    <w:div w:id="851650145">
      <w:marLeft w:val="0"/>
      <w:marRight w:val="0"/>
      <w:marTop w:val="0"/>
      <w:marBottom w:val="0"/>
      <w:divBdr>
        <w:top w:val="none" w:sz="0" w:space="0" w:color="auto"/>
        <w:left w:val="none" w:sz="0" w:space="0" w:color="auto"/>
        <w:bottom w:val="none" w:sz="0" w:space="0" w:color="auto"/>
        <w:right w:val="none" w:sz="0" w:space="0" w:color="auto"/>
      </w:divBdr>
    </w:div>
    <w:div w:id="864830827">
      <w:marLeft w:val="0"/>
      <w:marRight w:val="0"/>
      <w:marTop w:val="0"/>
      <w:marBottom w:val="0"/>
      <w:divBdr>
        <w:top w:val="none" w:sz="0" w:space="0" w:color="auto"/>
        <w:left w:val="none" w:sz="0" w:space="0" w:color="auto"/>
        <w:bottom w:val="none" w:sz="0" w:space="0" w:color="auto"/>
        <w:right w:val="none" w:sz="0" w:space="0" w:color="auto"/>
      </w:divBdr>
    </w:div>
    <w:div w:id="866606305">
      <w:marLeft w:val="0"/>
      <w:marRight w:val="0"/>
      <w:marTop w:val="0"/>
      <w:marBottom w:val="0"/>
      <w:divBdr>
        <w:top w:val="none" w:sz="0" w:space="0" w:color="auto"/>
        <w:left w:val="none" w:sz="0" w:space="0" w:color="auto"/>
        <w:bottom w:val="none" w:sz="0" w:space="0" w:color="auto"/>
        <w:right w:val="none" w:sz="0" w:space="0" w:color="auto"/>
      </w:divBdr>
    </w:div>
    <w:div w:id="882401572">
      <w:marLeft w:val="0"/>
      <w:marRight w:val="0"/>
      <w:marTop w:val="0"/>
      <w:marBottom w:val="0"/>
      <w:divBdr>
        <w:top w:val="none" w:sz="0" w:space="0" w:color="auto"/>
        <w:left w:val="none" w:sz="0" w:space="0" w:color="auto"/>
        <w:bottom w:val="none" w:sz="0" w:space="0" w:color="auto"/>
        <w:right w:val="none" w:sz="0" w:space="0" w:color="auto"/>
      </w:divBdr>
    </w:div>
    <w:div w:id="906233970">
      <w:marLeft w:val="0"/>
      <w:marRight w:val="0"/>
      <w:marTop w:val="0"/>
      <w:marBottom w:val="0"/>
      <w:divBdr>
        <w:top w:val="none" w:sz="0" w:space="0" w:color="auto"/>
        <w:left w:val="none" w:sz="0" w:space="0" w:color="auto"/>
        <w:bottom w:val="none" w:sz="0" w:space="0" w:color="auto"/>
        <w:right w:val="none" w:sz="0" w:space="0" w:color="auto"/>
      </w:divBdr>
    </w:div>
    <w:div w:id="941692374">
      <w:marLeft w:val="0"/>
      <w:marRight w:val="0"/>
      <w:marTop w:val="0"/>
      <w:marBottom w:val="0"/>
      <w:divBdr>
        <w:top w:val="none" w:sz="0" w:space="0" w:color="auto"/>
        <w:left w:val="none" w:sz="0" w:space="0" w:color="auto"/>
        <w:bottom w:val="none" w:sz="0" w:space="0" w:color="auto"/>
        <w:right w:val="none" w:sz="0" w:space="0" w:color="auto"/>
      </w:divBdr>
    </w:div>
    <w:div w:id="957029942">
      <w:marLeft w:val="0"/>
      <w:marRight w:val="0"/>
      <w:marTop w:val="0"/>
      <w:marBottom w:val="0"/>
      <w:divBdr>
        <w:top w:val="none" w:sz="0" w:space="0" w:color="auto"/>
        <w:left w:val="none" w:sz="0" w:space="0" w:color="auto"/>
        <w:bottom w:val="none" w:sz="0" w:space="0" w:color="auto"/>
        <w:right w:val="none" w:sz="0" w:space="0" w:color="auto"/>
      </w:divBdr>
    </w:div>
    <w:div w:id="964776098">
      <w:marLeft w:val="0"/>
      <w:marRight w:val="0"/>
      <w:marTop w:val="0"/>
      <w:marBottom w:val="0"/>
      <w:divBdr>
        <w:top w:val="none" w:sz="0" w:space="0" w:color="auto"/>
        <w:left w:val="none" w:sz="0" w:space="0" w:color="auto"/>
        <w:bottom w:val="none" w:sz="0" w:space="0" w:color="auto"/>
        <w:right w:val="none" w:sz="0" w:space="0" w:color="auto"/>
      </w:divBdr>
    </w:div>
    <w:div w:id="972827790">
      <w:marLeft w:val="0"/>
      <w:marRight w:val="0"/>
      <w:marTop w:val="0"/>
      <w:marBottom w:val="0"/>
      <w:divBdr>
        <w:top w:val="none" w:sz="0" w:space="0" w:color="auto"/>
        <w:left w:val="none" w:sz="0" w:space="0" w:color="auto"/>
        <w:bottom w:val="none" w:sz="0" w:space="0" w:color="auto"/>
        <w:right w:val="none" w:sz="0" w:space="0" w:color="auto"/>
      </w:divBdr>
    </w:div>
    <w:div w:id="1016149199">
      <w:marLeft w:val="0"/>
      <w:marRight w:val="0"/>
      <w:marTop w:val="0"/>
      <w:marBottom w:val="0"/>
      <w:divBdr>
        <w:top w:val="none" w:sz="0" w:space="0" w:color="auto"/>
        <w:left w:val="none" w:sz="0" w:space="0" w:color="auto"/>
        <w:bottom w:val="none" w:sz="0" w:space="0" w:color="auto"/>
        <w:right w:val="none" w:sz="0" w:space="0" w:color="auto"/>
      </w:divBdr>
    </w:div>
    <w:div w:id="1032808042">
      <w:marLeft w:val="0"/>
      <w:marRight w:val="0"/>
      <w:marTop w:val="0"/>
      <w:marBottom w:val="0"/>
      <w:divBdr>
        <w:top w:val="none" w:sz="0" w:space="0" w:color="auto"/>
        <w:left w:val="none" w:sz="0" w:space="0" w:color="auto"/>
        <w:bottom w:val="none" w:sz="0" w:space="0" w:color="auto"/>
        <w:right w:val="none" w:sz="0" w:space="0" w:color="auto"/>
      </w:divBdr>
    </w:div>
    <w:div w:id="1057972105">
      <w:marLeft w:val="0"/>
      <w:marRight w:val="0"/>
      <w:marTop w:val="0"/>
      <w:marBottom w:val="0"/>
      <w:divBdr>
        <w:top w:val="none" w:sz="0" w:space="0" w:color="auto"/>
        <w:left w:val="none" w:sz="0" w:space="0" w:color="auto"/>
        <w:bottom w:val="none" w:sz="0" w:space="0" w:color="auto"/>
        <w:right w:val="none" w:sz="0" w:space="0" w:color="auto"/>
      </w:divBdr>
    </w:div>
    <w:div w:id="1115830552">
      <w:marLeft w:val="0"/>
      <w:marRight w:val="0"/>
      <w:marTop w:val="0"/>
      <w:marBottom w:val="0"/>
      <w:divBdr>
        <w:top w:val="none" w:sz="0" w:space="0" w:color="auto"/>
        <w:left w:val="none" w:sz="0" w:space="0" w:color="auto"/>
        <w:bottom w:val="none" w:sz="0" w:space="0" w:color="auto"/>
        <w:right w:val="none" w:sz="0" w:space="0" w:color="auto"/>
      </w:divBdr>
    </w:div>
    <w:div w:id="1129782661">
      <w:marLeft w:val="0"/>
      <w:marRight w:val="0"/>
      <w:marTop w:val="0"/>
      <w:marBottom w:val="0"/>
      <w:divBdr>
        <w:top w:val="none" w:sz="0" w:space="0" w:color="auto"/>
        <w:left w:val="none" w:sz="0" w:space="0" w:color="auto"/>
        <w:bottom w:val="none" w:sz="0" w:space="0" w:color="auto"/>
        <w:right w:val="none" w:sz="0" w:space="0" w:color="auto"/>
      </w:divBdr>
    </w:div>
    <w:div w:id="1185941495">
      <w:marLeft w:val="0"/>
      <w:marRight w:val="0"/>
      <w:marTop w:val="0"/>
      <w:marBottom w:val="0"/>
      <w:divBdr>
        <w:top w:val="none" w:sz="0" w:space="0" w:color="auto"/>
        <w:left w:val="none" w:sz="0" w:space="0" w:color="auto"/>
        <w:bottom w:val="none" w:sz="0" w:space="0" w:color="auto"/>
        <w:right w:val="none" w:sz="0" w:space="0" w:color="auto"/>
      </w:divBdr>
    </w:div>
    <w:div w:id="1194926876">
      <w:marLeft w:val="0"/>
      <w:marRight w:val="0"/>
      <w:marTop w:val="0"/>
      <w:marBottom w:val="0"/>
      <w:divBdr>
        <w:top w:val="none" w:sz="0" w:space="0" w:color="auto"/>
        <w:left w:val="none" w:sz="0" w:space="0" w:color="auto"/>
        <w:bottom w:val="none" w:sz="0" w:space="0" w:color="auto"/>
        <w:right w:val="none" w:sz="0" w:space="0" w:color="auto"/>
      </w:divBdr>
    </w:div>
    <w:div w:id="1224870968">
      <w:marLeft w:val="0"/>
      <w:marRight w:val="0"/>
      <w:marTop w:val="0"/>
      <w:marBottom w:val="0"/>
      <w:divBdr>
        <w:top w:val="none" w:sz="0" w:space="0" w:color="auto"/>
        <w:left w:val="none" w:sz="0" w:space="0" w:color="auto"/>
        <w:bottom w:val="none" w:sz="0" w:space="0" w:color="auto"/>
        <w:right w:val="none" w:sz="0" w:space="0" w:color="auto"/>
      </w:divBdr>
    </w:div>
    <w:div w:id="1267689811">
      <w:marLeft w:val="0"/>
      <w:marRight w:val="0"/>
      <w:marTop w:val="0"/>
      <w:marBottom w:val="0"/>
      <w:divBdr>
        <w:top w:val="none" w:sz="0" w:space="0" w:color="auto"/>
        <w:left w:val="none" w:sz="0" w:space="0" w:color="auto"/>
        <w:bottom w:val="none" w:sz="0" w:space="0" w:color="auto"/>
        <w:right w:val="none" w:sz="0" w:space="0" w:color="auto"/>
      </w:divBdr>
    </w:div>
    <w:div w:id="1279265277">
      <w:marLeft w:val="0"/>
      <w:marRight w:val="0"/>
      <w:marTop w:val="0"/>
      <w:marBottom w:val="0"/>
      <w:divBdr>
        <w:top w:val="none" w:sz="0" w:space="0" w:color="auto"/>
        <w:left w:val="none" w:sz="0" w:space="0" w:color="auto"/>
        <w:bottom w:val="none" w:sz="0" w:space="0" w:color="auto"/>
        <w:right w:val="none" w:sz="0" w:space="0" w:color="auto"/>
      </w:divBdr>
    </w:div>
    <w:div w:id="1323195718">
      <w:marLeft w:val="0"/>
      <w:marRight w:val="0"/>
      <w:marTop w:val="0"/>
      <w:marBottom w:val="0"/>
      <w:divBdr>
        <w:top w:val="none" w:sz="0" w:space="0" w:color="auto"/>
        <w:left w:val="none" w:sz="0" w:space="0" w:color="auto"/>
        <w:bottom w:val="none" w:sz="0" w:space="0" w:color="auto"/>
        <w:right w:val="none" w:sz="0" w:space="0" w:color="auto"/>
      </w:divBdr>
    </w:div>
    <w:div w:id="1333410304">
      <w:marLeft w:val="0"/>
      <w:marRight w:val="0"/>
      <w:marTop w:val="0"/>
      <w:marBottom w:val="0"/>
      <w:divBdr>
        <w:top w:val="none" w:sz="0" w:space="0" w:color="auto"/>
        <w:left w:val="none" w:sz="0" w:space="0" w:color="auto"/>
        <w:bottom w:val="none" w:sz="0" w:space="0" w:color="auto"/>
        <w:right w:val="none" w:sz="0" w:space="0" w:color="auto"/>
      </w:divBdr>
    </w:div>
    <w:div w:id="1399789213">
      <w:marLeft w:val="0"/>
      <w:marRight w:val="0"/>
      <w:marTop w:val="0"/>
      <w:marBottom w:val="0"/>
      <w:divBdr>
        <w:top w:val="none" w:sz="0" w:space="0" w:color="auto"/>
        <w:left w:val="none" w:sz="0" w:space="0" w:color="auto"/>
        <w:bottom w:val="none" w:sz="0" w:space="0" w:color="auto"/>
        <w:right w:val="none" w:sz="0" w:space="0" w:color="auto"/>
      </w:divBdr>
    </w:div>
    <w:div w:id="1419786380">
      <w:marLeft w:val="0"/>
      <w:marRight w:val="0"/>
      <w:marTop w:val="0"/>
      <w:marBottom w:val="0"/>
      <w:divBdr>
        <w:top w:val="none" w:sz="0" w:space="0" w:color="auto"/>
        <w:left w:val="none" w:sz="0" w:space="0" w:color="auto"/>
        <w:bottom w:val="none" w:sz="0" w:space="0" w:color="auto"/>
        <w:right w:val="none" w:sz="0" w:space="0" w:color="auto"/>
      </w:divBdr>
    </w:div>
    <w:div w:id="1446537231">
      <w:marLeft w:val="0"/>
      <w:marRight w:val="0"/>
      <w:marTop w:val="0"/>
      <w:marBottom w:val="0"/>
      <w:divBdr>
        <w:top w:val="none" w:sz="0" w:space="0" w:color="auto"/>
        <w:left w:val="none" w:sz="0" w:space="0" w:color="auto"/>
        <w:bottom w:val="none" w:sz="0" w:space="0" w:color="auto"/>
        <w:right w:val="none" w:sz="0" w:space="0" w:color="auto"/>
      </w:divBdr>
    </w:div>
    <w:div w:id="1458793474">
      <w:marLeft w:val="0"/>
      <w:marRight w:val="0"/>
      <w:marTop w:val="0"/>
      <w:marBottom w:val="0"/>
      <w:divBdr>
        <w:top w:val="none" w:sz="0" w:space="0" w:color="auto"/>
        <w:left w:val="none" w:sz="0" w:space="0" w:color="auto"/>
        <w:bottom w:val="none" w:sz="0" w:space="0" w:color="auto"/>
        <w:right w:val="none" w:sz="0" w:space="0" w:color="auto"/>
      </w:divBdr>
    </w:div>
    <w:div w:id="1479763665">
      <w:marLeft w:val="0"/>
      <w:marRight w:val="0"/>
      <w:marTop w:val="0"/>
      <w:marBottom w:val="0"/>
      <w:divBdr>
        <w:top w:val="none" w:sz="0" w:space="0" w:color="auto"/>
        <w:left w:val="none" w:sz="0" w:space="0" w:color="auto"/>
        <w:bottom w:val="none" w:sz="0" w:space="0" w:color="auto"/>
        <w:right w:val="none" w:sz="0" w:space="0" w:color="auto"/>
      </w:divBdr>
    </w:div>
    <w:div w:id="1495535431">
      <w:marLeft w:val="0"/>
      <w:marRight w:val="0"/>
      <w:marTop w:val="0"/>
      <w:marBottom w:val="0"/>
      <w:divBdr>
        <w:top w:val="none" w:sz="0" w:space="0" w:color="auto"/>
        <w:left w:val="none" w:sz="0" w:space="0" w:color="auto"/>
        <w:bottom w:val="none" w:sz="0" w:space="0" w:color="auto"/>
        <w:right w:val="none" w:sz="0" w:space="0" w:color="auto"/>
      </w:divBdr>
    </w:div>
    <w:div w:id="1521115817">
      <w:marLeft w:val="0"/>
      <w:marRight w:val="0"/>
      <w:marTop w:val="0"/>
      <w:marBottom w:val="0"/>
      <w:divBdr>
        <w:top w:val="none" w:sz="0" w:space="0" w:color="auto"/>
        <w:left w:val="none" w:sz="0" w:space="0" w:color="auto"/>
        <w:bottom w:val="none" w:sz="0" w:space="0" w:color="auto"/>
        <w:right w:val="none" w:sz="0" w:space="0" w:color="auto"/>
      </w:divBdr>
    </w:div>
    <w:div w:id="1553806906">
      <w:marLeft w:val="0"/>
      <w:marRight w:val="0"/>
      <w:marTop w:val="0"/>
      <w:marBottom w:val="0"/>
      <w:divBdr>
        <w:top w:val="none" w:sz="0" w:space="0" w:color="auto"/>
        <w:left w:val="none" w:sz="0" w:space="0" w:color="auto"/>
        <w:bottom w:val="none" w:sz="0" w:space="0" w:color="auto"/>
        <w:right w:val="none" w:sz="0" w:space="0" w:color="auto"/>
      </w:divBdr>
    </w:div>
    <w:div w:id="1595046317">
      <w:marLeft w:val="0"/>
      <w:marRight w:val="0"/>
      <w:marTop w:val="0"/>
      <w:marBottom w:val="0"/>
      <w:divBdr>
        <w:top w:val="none" w:sz="0" w:space="0" w:color="auto"/>
        <w:left w:val="none" w:sz="0" w:space="0" w:color="auto"/>
        <w:bottom w:val="none" w:sz="0" w:space="0" w:color="auto"/>
        <w:right w:val="none" w:sz="0" w:space="0" w:color="auto"/>
      </w:divBdr>
    </w:div>
    <w:div w:id="1597860307">
      <w:marLeft w:val="0"/>
      <w:marRight w:val="0"/>
      <w:marTop w:val="0"/>
      <w:marBottom w:val="0"/>
      <w:divBdr>
        <w:top w:val="none" w:sz="0" w:space="0" w:color="auto"/>
        <w:left w:val="none" w:sz="0" w:space="0" w:color="auto"/>
        <w:bottom w:val="none" w:sz="0" w:space="0" w:color="auto"/>
        <w:right w:val="none" w:sz="0" w:space="0" w:color="auto"/>
      </w:divBdr>
    </w:div>
    <w:div w:id="1658418425">
      <w:marLeft w:val="0"/>
      <w:marRight w:val="0"/>
      <w:marTop w:val="0"/>
      <w:marBottom w:val="0"/>
      <w:divBdr>
        <w:top w:val="none" w:sz="0" w:space="0" w:color="auto"/>
        <w:left w:val="none" w:sz="0" w:space="0" w:color="auto"/>
        <w:bottom w:val="none" w:sz="0" w:space="0" w:color="auto"/>
        <w:right w:val="none" w:sz="0" w:space="0" w:color="auto"/>
      </w:divBdr>
    </w:div>
    <w:div w:id="1726947912">
      <w:marLeft w:val="0"/>
      <w:marRight w:val="0"/>
      <w:marTop w:val="0"/>
      <w:marBottom w:val="0"/>
      <w:divBdr>
        <w:top w:val="none" w:sz="0" w:space="0" w:color="auto"/>
        <w:left w:val="none" w:sz="0" w:space="0" w:color="auto"/>
        <w:bottom w:val="none" w:sz="0" w:space="0" w:color="auto"/>
        <w:right w:val="none" w:sz="0" w:space="0" w:color="auto"/>
      </w:divBdr>
    </w:div>
    <w:div w:id="1737507285">
      <w:marLeft w:val="0"/>
      <w:marRight w:val="0"/>
      <w:marTop w:val="0"/>
      <w:marBottom w:val="0"/>
      <w:divBdr>
        <w:top w:val="none" w:sz="0" w:space="0" w:color="auto"/>
        <w:left w:val="none" w:sz="0" w:space="0" w:color="auto"/>
        <w:bottom w:val="none" w:sz="0" w:space="0" w:color="auto"/>
        <w:right w:val="none" w:sz="0" w:space="0" w:color="auto"/>
      </w:divBdr>
    </w:div>
    <w:div w:id="1806509082">
      <w:marLeft w:val="0"/>
      <w:marRight w:val="0"/>
      <w:marTop w:val="0"/>
      <w:marBottom w:val="0"/>
      <w:divBdr>
        <w:top w:val="none" w:sz="0" w:space="0" w:color="auto"/>
        <w:left w:val="none" w:sz="0" w:space="0" w:color="auto"/>
        <w:bottom w:val="none" w:sz="0" w:space="0" w:color="auto"/>
        <w:right w:val="none" w:sz="0" w:space="0" w:color="auto"/>
      </w:divBdr>
    </w:div>
    <w:div w:id="1824466703">
      <w:marLeft w:val="0"/>
      <w:marRight w:val="0"/>
      <w:marTop w:val="0"/>
      <w:marBottom w:val="0"/>
      <w:divBdr>
        <w:top w:val="none" w:sz="0" w:space="0" w:color="auto"/>
        <w:left w:val="none" w:sz="0" w:space="0" w:color="auto"/>
        <w:bottom w:val="none" w:sz="0" w:space="0" w:color="auto"/>
        <w:right w:val="none" w:sz="0" w:space="0" w:color="auto"/>
      </w:divBdr>
    </w:div>
    <w:div w:id="1835686222">
      <w:marLeft w:val="0"/>
      <w:marRight w:val="0"/>
      <w:marTop w:val="0"/>
      <w:marBottom w:val="0"/>
      <w:divBdr>
        <w:top w:val="none" w:sz="0" w:space="0" w:color="auto"/>
        <w:left w:val="none" w:sz="0" w:space="0" w:color="auto"/>
        <w:bottom w:val="none" w:sz="0" w:space="0" w:color="auto"/>
        <w:right w:val="none" w:sz="0" w:space="0" w:color="auto"/>
      </w:divBdr>
    </w:div>
    <w:div w:id="1854299239">
      <w:marLeft w:val="0"/>
      <w:marRight w:val="0"/>
      <w:marTop w:val="0"/>
      <w:marBottom w:val="0"/>
      <w:divBdr>
        <w:top w:val="none" w:sz="0" w:space="0" w:color="auto"/>
        <w:left w:val="none" w:sz="0" w:space="0" w:color="auto"/>
        <w:bottom w:val="none" w:sz="0" w:space="0" w:color="auto"/>
        <w:right w:val="none" w:sz="0" w:space="0" w:color="auto"/>
      </w:divBdr>
    </w:div>
    <w:div w:id="1878085693">
      <w:marLeft w:val="0"/>
      <w:marRight w:val="0"/>
      <w:marTop w:val="0"/>
      <w:marBottom w:val="0"/>
      <w:divBdr>
        <w:top w:val="none" w:sz="0" w:space="0" w:color="auto"/>
        <w:left w:val="none" w:sz="0" w:space="0" w:color="auto"/>
        <w:bottom w:val="none" w:sz="0" w:space="0" w:color="auto"/>
        <w:right w:val="none" w:sz="0" w:space="0" w:color="auto"/>
      </w:divBdr>
    </w:div>
    <w:div w:id="1969847282">
      <w:marLeft w:val="0"/>
      <w:marRight w:val="0"/>
      <w:marTop w:val="0"/>
      <w:marBottom w:val="0"/>
      <w:divBdr>
        <w:top w:val="none" w:sz="0" w:space="0" w:color="auto"/>
        <w:left w:val="none" w:sz="0" w:space="0" w:color="auto"/>
        <w:bottom w:val="none" w:sz="0" w:space="0" w:color="auto"/>
        <w:right w:val="none" w:sz="0" w:space="0" w:color="auto"/>
      </w:divBdr>
    </w:div>
    <w:div w:id="2036299301">
      <w:marLeft w:val="0"/>
      <w:marRight w:val="0"/>
      <w:marTop w:val="0"/>
      <w:marBottom w:val="0"/>
      <w:divBdr>
        <w:top w:val="none" w:sz="0" w:space="0" w:color="auto"/>
        <w:left w:val="none" w:sz="0" w:space="0" w:color="auto"/>
        <w:bottom w:val="none" w:sz="0" w:space="0" w:color="auto"/>
        <w:right w:val="none" w:sz="0" w:space="0" w:color="auto"/>
      </w:divBdr>
    </w:div>
    <w:div w:id="21280868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97</Pages>
  <Words>22003</Words>
  <Characters>125423</Characters>
  <Application>Microsoft Office Word</Application>
  <DocSecurity>4</DocSecurity>
  <Lines>1045</Lines>
  <Paragraphs>294</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147132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JAW</dc:creator>
  <cp:lastModifiedBy>Jill Laptosky</cp:lastModifiedBy>
  <cp:revision>2</cp:revision>
  <dcterms:created xsi:type="dcterms:W3CDTF">2016-05-12T21:11:00Z</dcterms:created>
  <dcterms:modified xsi:type="dcterms:W3CDTF">2016-05-12T21:11:00Z</dcterms:modified>
</cp:coreProperties>
</file>