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B6" w:rsidRDefault="00AC32B6" w:rsidP="00AC32B6">
      <w:pPr>
        <w:spacing w:before="77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 Dep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nt 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nsp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</w:p>
    <w:p w:rsidR="00AC32B6" w:rsidRDefault="00AC32B6" w:rsidP="00AC32B6">
      <w:pPr>
        <w:tabs>
          <w:tab w:val="left" w:pos="5380"/>
        </w:tabs>
        <w:spacing w:before="1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Office of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ecret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ry of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nsp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rta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FY 201</w:t>
      </w:r>
      <w:r w:rsidR="008D4013">
        <w:rPr>
          <w:rFonts w:ascii="Times New Roman" w:eastAsia="Times New Roman" w:hAnsi="Times New Roman" w:cs="Times New Roman"/>
          <w:position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Se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ce C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ntract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nven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sis Pl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</w:p>
    <w:p w:rsidR="00AC32B6" w:rsidRDefault="00AC32B6" w:rsidP="00AC32B6">
      <w:pPr>
        <w:spacing w:after="0" w:line="200" w:lineRule="exact"/>
        <w:ind w:left="100" w:right="-2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F3C34BF" wp14:editId="63C04732">
                <wp:simplePos x="0" y="0"/>
                <wp:positionH relativeFrom="page">
                  <wp:posOffset>191135</wp:posOffset>
                </wp:positionH>
                <wp:positionV relativeFrom="paragraph">
                  <wp:posOffset>19050</wp:posOffset>
                </wp:positionV>
                <wp:extent cx="9056370" cy="45085"/>
                <wp:effectExtent l="10160" t="8890" r="10795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6370" cy="45085"/>
                          <a:chOff x="1410" y="257"/>
                          <a:chExt cx="9439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410" y="257"/>
                            <a:ext cx="9439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39"/>
                              <a:gd name="T2" fmla="+- 0 10849 1410"/>
                              <a:gd name="T3" fmla="*/ T2 w 94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5.05pt;margin-top:1.5pt;width:713.1pt;height:3.55pt;z-index:-251657216;mso-position-horizontal-relative:page" coordorigin="1410,257" coordsize="94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">
                <v:shape id="Freeform 5" o:spid="_x0000_s1027" style="position:absolute;left:1410;top:257;width:9439;height:2;visibility:visible;mso-wrap-style:square;v-text-anchor:top" coordsize="94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/wsIA&#10;AADaAAAADwAAAGRycy9kb3ducmV2LnhtbESPQWvCQBSE7wX/w/IEL6KbKBVJXUVEwV4KVUF6e2Rf&#10;k9Ds25B9mvjvu0Khx2FmvmFWm97V6k5tqDwbSKcJKOLc24oLA5fzYbIEFQTZYu2ZDDwowGY9eFlh&#10;Zn3Hn3Q/SaEihEOGBkqRJtM65CU5DFPfEEfv27cOJcq20LbFLsJdrWdJstAOK44LJTa0Kyn/Od2c&#10;AYsfdn597cZyse+SUjre119kzGjYb99ACfXyH/5rH62BGTyvxBu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n/CwgAAANoAAAAPAAAAAAAAAAAAAAAAAJgCAABkcnMvZG93&#10;bnJldi54bWxQSwUGAAAAAAQABAD1AAAAhwMAAAAA&#10;" path="m,l9439,e" filled="f" strokeweight=".58pt">
                  <v:path arrowok="t" o:connecttype="custom" o:connectlocs="0,0;9439,0" o:connectangles="0,0"/>
                </v:shape>
                <w10:wrap anchorx="page"/>
              </v:group>
            </w:pict>
          </mc:Fallback>
        </mc:AlternateContent>
      </w:r>
    </w:p>
    <w:p w:rsidR="00AC32B6" w:rsidRDefault="00AC32B6" w:rsidP="00AC32B6">
      <w:pPr>
        <w:spacing w:before="3" w:after="0" w:line="260" w:lineRule="exact"/>
        <w:ind w:left="100" w:right="-20"/>
        <w:rPr>
          <w:sz w:val="26"/>
          <w:szCs w:val="26"/>
        </w:rPr>
      </w:pPr>
    </w:p>
    <w:p w:rsidR="00AC32B6" w:rsidRDefault="00AC32B6" w:rsidP="00AC32B6">
      <w:pPr>
        <w:spacing w:before="31" w:after="0" w:line="240" w:lineRule="auto"/>
        <w:ind w:left="100" w:right="-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Department of Transportation </w:t>
      </w:r>
    </w:p>
    <w:p w:rsidR="00AC32B6" w:rsidRPr="007626F9" w:rsidRDefault="00AC32B6" w:rsidP="00AC32B6">
      <w:pPr>
        <w:spacing w:before="31" w:after="0" w:line="240" w:lineRule="auto"/>
        <w:ind w:left="100" w:right="-20"/>
        <w:jc w:val="center"/>
        <w:rPr>
          <w:rFonts w:ascii="Times New Roman" w:eastAsia="Times New Roman" w:hAnsi="Times New Roman" w:cs="Times New Roman"/>
          <w:b/>
        </w:rPr>
      </w:pPr>
      <w:r w:rsidRPr="007626F9">
        <w:rPr>
          <w:rFonts w:ascii="Times New Roman" w:eastAsia="Times New Roman" w:hAnsi="Times New Roman" w:cs="Times New Roman"/>
          <w:b/>
          <w:bCs/>
        </w:rPr>
        <w:t>FY</w:t>
      </w:r>
      <w:r w:rsidRPr="007626F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7626F9">
        <w:rPr>
          <w:rFonts w:ascii="Times New Roman" w:eastAsia="Times New Roman" w:hAnsi="Times New Roman" w:cs="Times New Roman"/>
          <w:b/>
          <w:bCs/>
          <w:spacing w:val="1"/>
        </w:rPr>
        <w:t>2</w:t>
      </w:r>
      <w:r w:rsidRPr="007626F9">
        <w:rPr>
          <w:rFonts w:ascii="Times New Roman" w:eastAsia="Times New Roman" w:hAnsi="Times New Roman" w:cs="Times New Roman"/>
          <w:b/>
          <w:bCs/>
        </w:rPr>
        <w:t>0</w:t>
      </w:r>
      <w:r w:rsidRPr="007626F9">
        <w:rPr>
          <w:rFonts w:ascii="Times New Roman" w:eastAsia="Times New Roman" w:hAnsi="Times New Roman" w:cs="Times New Roman"/>
          <w:b/>
          <w:bCs/>
          <w:spacing w:val="2"/>
        </w:rPr>
        <w:t>1</w:t>
      </w:r>
      <w:r w:rsidR="008D4013">
        <w:rPr>
          <w:rFonts w:ascii="Times New Roman" w:eastAsia="Times New Roman" w:hAnsi="Times New Roman" w:cs="Times New Roman"/>
          <w:b/>
          <w:bCs/>
          <w:spacing w:val="2"/>
        </w:rPr>
        <w:t>5</w:t>
      </w:r>
      <w:r w:rsidR="00C03369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7626F9">
        <w:rPr>
          <w:rFonts w:ascii="Times New Roman" w:eastAsia="Times New Roman" w:hAnsi="Times New Roman" w:cs="Times New Roman"/>
          <w:b/>
          <w:bCs/>
        </w:rPr>
        <w:t>Se</w:t>
      </w:r>
      <w:r w:rsidRPr="007626F9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7626F9">
        <w:rPr>
          <w:rFonts w:ascii="Times New Roman" w:eastAsia="Times New Roman" w:hAnsi="Times New Roman" w:cs="Times New Roman"/>
          <w:b/>
          <w:bCs/>
        </w:rPr>
        <w:t>vice</w:t>
      </w:r>
      <w:r w:rsidRPr="007626F9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7626F9">
        <w:rPr>
          <w:rFonts w:ascii="Times New Roman" w:eastAsia="Times New Roman" w:hAnsi="Times New Roman" w:cs="Times New Roman"/>
          <w:b/>
          <w:bCs/>
        </w:rPr>
        <w:t>Contr</w:t>
      </w:r>
      <w:r w:rsidRPr="007626F9">
        <w:rPr>
          <w:rFonts w:ascii="Times New Roman" w:eastAsia="Times New Roman" w:hAnsi="Times New Roman" w:cs="Times New Roman"/>
          <w:b/>
          <w:bCs/>
          <w:spacing w:val="1"/>
        </w:rPr>
        <w:t>ac</w:t>
      </w:r>
      <w:r w:rsidRPr="007626F9">
        <w:rPr>
          <w:rFonts w:ascii="Times New Roman" w:eastAsia="Times New Roman" w:hAnsi="Times New Roman" w:cs="Times New Roman"/>
          <w:b/>
          <w:bCs/>
        </w:rPr>
        <w:t>t</w:t>
      </w:r>
      <w:r w:rsidRPr="007626F9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Inventory </w:t>
      </w:r>
    </w:p>
    <w:p w:rsidR="00AC32B6" w:rsidRPr="007626F9" w:rsidRDefault="00AC32B6" w:rsidP="00AC32B6">
      <w:pPr>
        <w:spacing w:after="0" w:line="252" w:lineRule="exact"/>
        <w:ind w:left="100" w:right="-20"/>
        <w:jc w:val="center"/>
        <w:rPr>
          <w:rFonts w:ascii="Times New Roman" w:eastAsia="Times New Roman" w:hAnsi="Times New Roman" w:cs="Times New Roman"/>
          <w:b/>
        </w:rPr>
      </w:pPr>
      <w:r w:rsidRPr="007626F9">
        <w:rPr>
          <w:rFonts w:ascii="Times New Roman" w:eastAsia="Times New Roman" w:hAnsi="Times New Roman" w:cs="Times New Roman"/>
          <w:b/>
          <w:bCs/>
        </w:rPr>
        <w:t>Analysis</w:t>
      </w:r>
      <w:r w:rsidRPr="007626F9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Plan </w:t>
      </w:r>
    </w:p>
    <w:p w:rsidR="00AC32B6" w:rsidRDefault="00AC32B6" w:rsidP="00AC32B6">
      <w:pPr>
        <w:spacing w:before="12" w:after="0" w:line="240" w:lineRule="exact"/>
        <w:ind w:left="100" w:right="-20"/>
        <w:rPr>
          <w:sz w:val="24"/>
          <w:szCs w:val="24"/>
        </w:rPr>
      </w:pPr>
    </w:p>
    <w:p w:rsidR="00AC32B6" w:rsidRDefault="00AC32B6" w:rsidP="00AC32B6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5F00F5">
        <w:rPr>
          <w:rFonts w:ascii="Times New Roman" w:eastAsia="Times New Roman" w:hAnsi="Times New Roman" w:cs="Times New Roman"/>
        </w:rPr>
        <w:t>F</w:t>
      </w:r>
      <w:r w:rsidRPr="005F00F5">
        <w:rPr>
          <w:rFonts w:ascii="Times New Roman" w:eastAsia="Times New Roman" w:hAnsi="Times New Roman" w:cs="Times New Roman"/>
          <w:spacing w:val="1"/>
        </w:rPr>
        <w:t>o</w:t>
      </w:r>
      <w:r w:rsidRPr="005F00F5">
        <w:rPr>
          <w:rFonts w:ascii="Times New Roman" w:eastAsia="Times New Roman" w:hAnsi="Times New Roman" w:cs="Times New Roman"/>
        </w:rPr>
        <w:t>r</w:t>
      </w:r>
      <w:r w:rsidRPr="005F00F5">
        <w:rPr>
          <w:rFonts w:ascii="Times New Roman" w:eastAsia="Times New Roman" w:hAnsi="Times New Roman" w:cs="Times New Roman"/>
          <w:spacing w:val="-3"/>
        </w:rPr>
        <w:t xml:space="preserve"> </w:t>
      </w:r>
      <w:r w:rsidRPr="005F00F5">
        <w:rPr>
          <w:rFonts w:ascii="Times New Roman" w:eastAsia="Times New Roman" w:hAnsi="Times New Roman" w:cs="Times New Roman"/>
        </w:rPr>
        <w:t>t</w:t>
      </w:r>
      <w:r w:rsidRPr="005F00F5">
        <w:rPr>
          <w:rFonts w:ascii="Times New Roman" w:eastAsia="Times New Roman" w:hAnsi="Times New Roman" w:cs="Times New Roman"/>
          <w:spacing w:val="1"/>
        </w:rPr>
        <w:t>h</w:t>
      </w:r>
      <w:r w:rsidRPr="005F00F5">
        <w:rPr>
          <w:rFonts w:ascii="Times New Roman" w:eastAsia="Times New Roman" w:hAnsi="Times New Roman" w:cs="Times New Roman"/>
        </w:rPr>
        <w:t>e</w:t>
      </w:r>
      <w:r w:rsidRPr="005F00F5">
        <w:rPr>
          <w:rFonts w:ascii="Times New Roman" w:eastAsia="Times New Roman" w:hAnsi="Times New Roman" w:cs="Times New Roman"/>
          <w:spacing w:val="-3"/>
        </w:rPr>
        <w:t xml:space="preserve"> </w:t>
      </w:r>
      <w:r w:rsidRPr="005F00F5">
        <w:rPr>
          <w:rFonts w:ascii="Times New Roman" w:eastAsia="Times New Roman" w:hAnsi="Times New Roman" w:cs="Times New Roman"/>
        </w:rPr>
        <w:t>Depar</w:t>
      </w:r>
      <w:r w:rsidRPr="005F00F5">
        <w:rPr>
          <w:rFonts w:ascii="Times New Roman" w:eastAsia="Times New Roman" w:hAnsi="Times New Roman" w:cs="Times New Roman"/>
          <w:spacing w:val="1"/>
        </w:rPr>
        <w:t>t</w:t>
      </w:r>
      <w:r w:rsidRPr="005F00F5">
        <w:rPr>
          <w:rFonts w:ascii="Times New Roman" w:eastAsia="Times New Roman" w:hAnsi="Times New Roman" w:cs="Times New Roman"/>
          <w:spacing w:val="-2"/>
        </w:rPr>
        <w:t>m</w:t>
      </w:r>
      <w:r w:rsidRPr="005F00F5">
        <w:rPr>
          <w:rFonts w:ascii="Times New Roman" w:eastAsia="Times New Roman" w:hAnsi="Times New Roman" w:cs="Times New Roman"/>
        </w:rPr>
        <w:t>ent</w:t>
      </w:r>
      <w:r w:rsidRPr="005F00F5">
        <w:rPr>
          <w:rFonts w:ascii="Times New Roman" w:eastAsia="Times New Roman" w:hAnsi="Times New Roman" w:cs="Times New Roman"/>
          <w:spacing w:val="-10"/>
        </w:rPr>
        <w:t xml:space="preserve"> </w:t>
      </w:r>
      <w:r w:rsidRPr="005F00F5">
        <w:rPr>
          <w:rFonts w:ascii="Times New Roman" w:eastAsia="Times New Roman" w:hAnsi="Times New Roman" w:cs="Times New Roman"/>
        </w:rPr>
        <w:t>of</w:t>
      </w:r>
      <w:r w:rsidRPr="005F00F5">
        <w:rPr>
          <w:rFonts w:ascii="Times New Roman" w:eastAsia="Times New Roman" w:hAnsi="Times New Roman" w:cs="Times New Roman"/>
          <w:spacing w:val="-2"/>
        </w:rPr>
        <w:t xml:space="preserve"> </w:t>
      </w:r>
      <w:r w:rsidRPr="005F00F5">
        <w:rPr>
          <w:rFonts w:ascii="Times New Roman" w:eastAsia="Times New Roman" w:hAnsi="Times New Roman" w:cs="Times New Roman"/>
        </w:rPr>
        <w:t>Tra</w:t>
      </w:r>
      <w:r w:rsidRPr="005F00F5">
        <w:rPr>
          <w:rFonts w:ascii="Times New Roman" w:eastAsia="Times New Roman" w:hAnsi="Times New Roman" w:cs="Times New Roman"/>
          <w:spacing w:val="1"/>
        </w:rPr>
        <w:t>n</w:t>
      </w:r>
      <w:r w:rsidRPr="005F00F5">
        <w:rPr>
          <w:rFonts w:ascii="Times New Roman" w:eastAsia="Times New Roman" w:hAnsi="Times New Roman" w:cs="Times New Roman"/>
        </w:rPr>
        <w:t>sp</w:t>
      </w:r>
      <w:r w:rsidRPr="005F00F5">
        <w:rPr>
          <w:rFonts w:ascii="Times New Roman" w:eastAsia="Times New Roman" w:hAnsi="Times New Roman" w:cs="Times New Roman"/>
          <w:spacing w:val="1"/>
        </w:rPr>
        <w:t>o</w:t>
      </w:r>
      <w:r w:rsidRPr="005F00F5">
        <w:rPr>
          <w:rFonts w:ascii="Times New Roman" w:eastAsia="Times New Roman" w:hAnsi="Times New Roman" w:cs="Times New Roman"/>
        </w:rPr>
        <w:t>rtati</w:t>
      </w:r>
      <w:r w:rsidRPr="005F00F5">
        <w:rPr>
          <w:rFonts w:ascii="Times New Roman" w:eastAsia="Times New Roman" w:hAnsi="Times New Roman" w:cs="Times New Roman"/>
          <w:spacing w:val="1"/>
        </w:rPr>
        <w:t>o</w:t>
      </w:r>
      <w:r w:rsidRPr="005F00F5">
        <w:rPr>
          <w:rFonts w:ascii="Times New Roman" w:eastAsia="Times New Roman" w:hAnsi="Times New Roman" w:cs="Times New Roman"/>
        </w:rPr>
        <w:t>n</w:t>
      </w:r>
      <w:r w:rsidRPr="005F00F5">
        <w:rPr>
          <w:rFonts w:ascii="Times New Roman" w:eastAsia="Times New Roman" w:hAnsi="Times New Roman" w:cs="Times New Roman"/>
          <w:spacing w:val="-12"/>
        </w:rPr>
        <w:t xml:space="preserve"> </w:t>
      </w:r>
      <w:r w:rsidRPr="005F00F5">
        <w:rPr>
          <w:rFonts w:ascii="Times New Roman" w:eastAsia="Times New Roman" w:hAnsi="Times New Roman" w:cs="Times New Roman"/>
          <w:spacing w:val="2"/>
        </w:rPr>
        <w:t>(</w:t>
      </w:r>
      <w:r w:rsidRPr="005F00F5">
        <w:rPr>
          <w:rFonts w:ascii="Times New Roman" w:eastAsia="Times New Roman" w:hAnsi="Times New Roman" w:cs="Times New Roman"/>
          <w:spacing w:val="-1"/>
        </w:rPr>
        <w:t>D</w:t>
      </w:r>
      <w:r w:rsidRPr="005F00F5">
        <w:rPr>
          <w:rFonts w:ascii="Times New Roman" w:eastAsia="Times New Roman" w:hAnsi="Times New Roman" w:cs="Times New Roman"/>
        </w:rPr>
        <w:t>OT)</w:t>
      </w:r>
      <w:r w:rsidRPr="005F00F5">
        <w:rPr>
          <w:rFonts w:ascii="Times New Roman" w:eastAsia="Times New Roman" w:hAnsi="Times New Roman" w:cs="Times New Roman"/>
          <w:spacing w:val="-6"/>
        </w:rPr>
        <w:t xml:space="preserve"> </w:t>
      </w:r>
      <w:r w:rsidRPr="005F00F5">
        <w:rPr>
          <w:rFonts w:ascii="Times New Roman" w:eastAsia="Times New Roman" w:hAnsi="Times New Roman" w:cs="Times New Roman"/>
        </w:rPr>
        <w:t>FY</w:t>
      </w:r>
      <w:r w:rsidRPr="005F00F5">
        <w:rPr>
          <w:rFonts w:ascii="Times New Roman" w:eastAsia="Times New Roman" w:hAnsi="Times New Roman" w:cs="Times New Roman"/>
          <w:spacing w:val="-3"/>
        </w:rPr>
        <w:t xml:space="preserve"> </w:t>
      </w:r>
      <w:r w:rsidRPr="005F00F5">
        <w:rPr>
          <w:rFonts w:ascii="Times New Roman" w:eastAsia="Times New Roman" w:hAnsi="Times New Roman" w:cs="Times New Roman"/>
          <w:spacing w:val="1"/>
        </w:rPr>
        <w:t>2</w:t>
      </w:r>
      <w:r w:rsidRPr="005F00F5">
        <w:rPr>
          <w:rFonts w:ascii="Times New Roman" w:eastAsia="Times New Roman" w:hAnsi="Times New Roman" w:cs="Times New Roman"/>
        </w:rPr>
        <w:t>0</w:t>
      </w:r>
      <w:r w:rsidRPr="005F00F5">
        <w:rPr>
          <w:rFonts w:ascii="Times New Roman" w:eastAsia="Times New Roman" w:hAnsi="Times New Roman" w:cs="Times New Roman"/>
          <w:spacing w:val="1"/>
        </w:rPr>
        <w:t>1</w:t>
      </w:r>
      <w:r w:rsidR="008D4013">
        <w:rPr>
          <w:rFonts w:ascii="Times New Roman" w:eastAsia="Times New Roman" w:hAnsi="Times New Roman" w:cs="Times New Roman"/>
          <w:spacing w:val="1"/>
        </w:rPr>
        <w:t>5</w:t>
      </w:r>
      <w:r w:rsidR="00C91BA0">
        <w:rPr>
          <w:rFonts w:ascii="Times New Roman" w:eastAsia="Times New Roman" w:hAnsi="Times New Roman" w:cs="Times New Roman"/>
          <w:spacing w:val="1"/>
        </w:rPr>
        <w:t xml:space="preserve"> </w:t>
      </w:r>
      <w:r w:rsidRPr="005F00F5">
        <w:rPr>
          <w:rFonts w:ascii="Times New Roman" w:eastAsia="Times New Roman" w:hAnsi="Times New Roman" w:cs="Times New Roman"/>
        </w:rPr>
        <w:t>Service</w:t>
      </w:r>
      <w:r w:rsidRPr="005F00F5">
        <w:rPr>
          <w:rFonts w:ascii="Times New Roman" w:eastAsia="Times New Roman" w:hAnsi="Times New Roman" w:cs="Times New Roman"/>
          <w:spacing w:val="-7"/>
        </w:rPr>
        <w:t xml:space="preserve"> </w:t>
      </w:r>
      <w:r w:rsidRPr="005F00F5">
        <w:rPr>
          <w:rFonts w:ascii="Times New Roman" w:eastAsia="Times New Roman" w:hAnsi="Times New Roman" w:cs="Times New Roman"/>
        </w:rPr>
        <w:t>Co</w:t>
      </w:r>
      <w:r w:rsidRPr="005F00F5">
        <w:rPr>
          <w:rFonts w:ascii="Times New Roman" w:eastAsia="Times New Roman" w:hAnsi="Times New Roman" w:cs="Times New Roman"/>
          <w:spacing w:val="1"/>
        </w:rPr>
        <w:t>n</w:t>
      </w:r>
      <w:r w:rsidRPr="005F00F5">
        <w:rPr>
          <w:rFonts w:ascii="Times New Roman" w:eastAsia="Times New Roman" w:hAnsi="Times New Roman" w:cs="Times New Roman"/>
        </w:rPr>
        <w:t>tract</w:t>
      </w:r>
      <w:r w:rsidRPr="005F00F5">
        <w:rPr>
          <w:rFonts w:ascii="Times New Roman" w:eastAsia="Times New Roman" w:hAnsi="Times New Roman" w:cs="Times New Roman"/>
          <w:spacing w:val="-8"/>
        </w:rPr>
        <w:t xml:space="preserve"> </w:t>
      </w:r>
      <w:r w:rsidRPr="005F00F5">
        <w:rPr>
          <w:rFonts w:ascii="Times New Roman" w:eastAsia="Times New Roman" w:hAnsi="Times New Roman" w:cs="Times New Roman"/>
        </w:rPr>
        <w:t>Inve</w:t>
      </w:r>
      <w:r w:rsidRPr="005F00F5">
        <w:rPr>
          <w:rFonts w:ascii="Times New Roman" w:eastAsia="Times New Roman" w:hAnsi="Times New Roman" w:cs="Times New Roman"/>
          <w:spacing w:val="1"/>
        </w:rPr>
        <w:t>n</w:t>
      </w:r>
      <w:r w:rsidRPr="005F00F5">
        <w:rPr>
          <w:rFonts w:ascii="Times New Roman" w:eastAsia="Times New Roman" w:hAnsi="Times New Roman" w:cs="Times New Roman"/>
        </w:rPr>
        <w:t>tor</w:t>
      </w:r>
      <w:r w:rsidRPr="005F00F5">
        <w:rPr>
          <w:rFonts w:ascii="Times New Roman" w:eastAsia="Times New Roman" w:hAnsi="Times New Roman" w:cs="Times New Roman"/>
          <w:spacing w:val="2"/>
        </w:rPr>
        <w:t>y</w:t>
      </w:r>
      <w:r w:rsidRPr="005F00F5">
        <w:rPr>
          <w:rFonts w:ascii="Times New Roman" w:eastAsia="Times New Roman" w:hAnsi="Times New Roman" w:cs="Times New Roman"/>
        </w:rPr>
        <w:t>,</w:t>
      </w:r>
      <w:r w:rsidRPr="005F00F5">
        <w:rPr>
          <w:rFonts w:ascii="Times New Roman" w:eastAsia="Times New Roman" w:hAnsi="Times New Roman" w:cs="Times New Roman"/>
          <w:spacing w:val="-9"/>
        </w:rPr>
        <w:t xml:space="preserve"> </w:t>
      </w:r>
      <w:r w:rsidRPr="005F00F5">
        <w:rPr>
          <w:rFonts w:ascii="Times New Roman" w:eastAsia="Times New Roman" w:hAnsi="Times New Roman" w:cs="Times New Roman"/>
        </w:rPr>
        <w:t>the</w:t>
      </w:r>
      <w:r w:rsidRPr="005F00F5">
        <w:rPr>
          <w:rFonts w:ascii="Times New Roman" w:eastAsia="Times New Roman" w:hAnsi="Times New Roman" w:cs="Times New Roman"/>
          <w:spacing w:val="-3"/>
        </w:rPr>
        <w:t xml:space="preserve"> </w:t>
      </w:r>
      <w:r w:rsidRPr="005F00F5">
        <w:rPr>
          <w:rFonts w:ascii="Times New Roman" w:eastAsia="Times New Roman" w:hAnsi="Times New Roman" w:cs="Times New Roman"/>
        </w:rPr>
        <w:t>a</w:t>
      </w:r>
      <w:r w:rsidRPr="005F00F5">
        <w:rPr>
          <w:rFonts w:ascii="Times New Roman" w:eastAsia="Times New Roman" w:hAnsi="Times New Roman" w:cs="Times New Roman"/>
          <w:spacing w:val="1"/>
        </w:rPr>
        <w:t>n</w:t>
      </w:r>
      <w:r w:rsidRPr="005F00F5">
        <w:rPr>
          <w:rFonts w:ascii="Times New Roman" w:eastAsia="Times New Roman" w:hAnsi="Times New Roman" w:cs="Times New Roman"/>
        </w:rPr>
        <w:t>a</w:t>
      </w:r>
      <w:r w:rsidRPr="005F00F5">
        <w:rPr>
          <w:rFonts w:ascii="Times New Roman" w:eastAsia="Times New Roman" w:hAnsi="Times New Roman" w:cs="Times New Roman"/>
          <w:spacing w:val="-1"/>
        </w:rPr>
        <w:t>l</w:t>
      </w:r>
      <w:r w:rsidRPr="005F00F5">
        <w:rPr>
          <w:rFonts w:ascii="Times New Roman" w:eastAsia="Times New Roman" w:hAnsi="Times New Roman" w:cs="Times New Roman"/>
          <w:spacing w:val="2"/>
        </w:rPr>
        <w:t>y</w:t>
      </w:r>
      <w:r w:rsidRPr="005F00F5">
        <w:rPr>
          <w:rFonts w:ascii="Times New Roman" w:eastAsia="Times New Roman" w:hAnsi="Times New Roman" w:cs="Times New Roman"/>
        </w:rPr>
        <w:t>s</w:t>
      </w:r>
      <w:r w:rsidRPr="005F00F5">
        <w:rPr>
          <w:rFonts w:ascii="Times New Roman" w:eastAsia="Times New Roman" w:hAnsi="Times New Roman" w:cs="Times New Roman"/>
          <w:spacing w:val="-1"/>
        </w:rPr>
        <w:t>i</w:t>
      </w:r>
      <w:r w:rsidRPr="005F00F5">
        <w:rPr>
          <w:rFonts w:ascii="Times New Roman" w:eastAsia="Times New Roman" w:hAnsi="Times New Roman" w:cs="Times New Roman"/>
        </w:rPr>
        <w:t>s</w:t>
      </w:r>
      <w:r w:rsidRPr="005F00F5">
        <w:rPr>
          <w:rFonts w:ascii="Times New Roman" w:eastAsia="Times New Roman" w:hAnsi="Times New Roman" w:cs="Times New Roman"/>
          <w:spacing w:val="-7"/>
        </w:rPr>
        <w:t xml:space="preserve"> </w:t>
      </w:r>
      <w:r w:rsidRPr="005F00F5">
        <w:rPr>
          <w:rFonts w:ascii="Times New Roman" w:eastAsia="Times New Roman" w:hAnsi="Times New Roman" w:cs="Times New Roman"/>
        </w:rPr>
        <w:t xml:space="preserve">will </w:t>
      </w:r>
      <w:r w:rsidRPr="005F00F5">
        <w:rPr>
          <w:rFonts w:ascii="Times New Roman" w:eastAsia="Times New Roman" w:hAnsi="Times New Roman" w:cs="Times New Roman"/>
          <w:spacing w:val="-1"/>
        </w:rPr>
        <w:t>f</w:t>
      </w:r>
      <w:r w:rsidRPr="005F00F5">
        <w:rPr>
          <w:rFonts w:ascii="Times New Roman" w:eastAsia="Times New Roman" w:hAnsi="Times New Roman" w:cs="Times New Roman"/>
        </w:rPr>
        <w:t>o</w:t>
      </w:r>
      <w:r w:rsidRPr="005F00F5">
        <w:rPr>
          <w:rFonts w:ascii="Times New Roman" w:eastAsia="Times New Roman" w:hAnsi="Times New Roman" w:cs="Times New Roman"/>
          <w:spacing w:val="-1"/>
        </w:rPr>
        <w:t>c</w:t>
      </w:r>
      <w:r w:rsidRPr="005F00F5">
        <w:rPr>
          <w:rFonts w:ascii="Times New Roman" w:eastAsia="Times New Roman" w:hAnsi="Times New Roman" w:cs="Times New Roman"/>
        </w:rPr>
        <w:t>us</w:t>
      </w:r>
      <w:r w:rsidRPr="005F00F5">
        <w:rPr>
          <w:rFonts w:ascii="Times New Roman" w:eastAsia="Times New Roman" w:hAnsi="Times New Roman" w:cs="Times New Roman"/>
          <w:spacing w:val="-5"/>
        </w:rPr>
        <w:t xml:space="preserve"> </w:t>
      </w:r>
      <w:r w:rsidR="00AC6B87">
        <w:rPr>
          <w:rFonts w:ascii="Times New Roman" w:eastAsia="Times New Roman" w:hAnsi="Times New Roman" w:cs="Times New Roman"/>
          <w:spacing w:val="-5"/>
        </w:rPr>
        <w:t xml:space="preserve">on </w:t>
      </w:r>
      <w:r w:rsidR="0012733C">
        <w:rPr>
          <w:rFonts w:ascii="Times New Roman" w:eastAsia="Times New Roman" w:hAnsi="Times New Roman" w:cs="Times New Roman"/>
          <w:spacing w:val="-1"/>
        </w:rPr>
        <w:t>select function codes with the highest levels of obligations</w:t>
      </w:r>
      <w:r w:rsidR="00C03369">
        <w:rPr>
          <w:rFonts w:ascii="Times New Roman" w:eastAsia="Times New Roman" w:hAnsi="Times New Roman" w:cs="Times New Roman"/>
          <w:spacing w:val="-1"/>
        </w:rPr>
        <w:t xml:space="preserve"> as highlighted below on the Appendix C Inventory Summary</w:t>
      </w:r>
      <w:r w:rsidR="0012733C">
        <w:rPr>
          <w:rFonts w:ascii="Times New Roman" w:eastAsia="Times New Roman" w:hAnsi="Times New Roman" w:cs="Times New Roman"/>
          <w:spacing w:val="-1"/>
        </w:rPr>
        <w:t xml:space="preserve">.  </w:t>
      </w:r>
      <w:r w:rsidRPr="005F00F5">
        <w:rPr>
          <w:rFonts w:ascii="Times New Roman" w:eastAsia="Times New Roman" w:hAnsi="Times New Roman" w:cs="Times New Roman"/>
        </w:rPr>
        <w:t>T</w:t>
      </w:r>
      <w:r w:rsidRPr="005F00F5">
        <w:rPr>
          <w:rFonts w:ascii="Times New Roman" w:eastAsia="Times New Roman" w:hAnsi="Times New Roman" w:cs="Times New Roman"/>
          <w:spacing w:val="1"/>
        </w:rPr>
        <w:t>h</w:t>
      </w:r>
      <w:r w:rsidRPr="005F00F5">
        <w:rPr>
          <w:rFonts w:ascii="Times New Roman" w:eastAsia="Times New Roman" w:hAnsi="Times New Roman" w:cs="Times New Roman"/>
        </w:rPr>
        <w:t>e</w:t>
      </w:r>
      <w:r w:rsidRPr="005F00F5">
        <w:rPr>
          <w:rFonts w:ascii="Times New Roman" w:eastAsia="Times New Roman" w:hAnsi="Times New Roman" w:cs="Times New Roman"/>
          <w:spacing w:val="-3"/>
        </w:rPr>
        <w:t xml:space="preserve"> </w:t>
      </w:r>
      <w:r w:rsidRPr="005F00F5">
        <w:rPr>
          <w:rFonts w:ascii="Times New Roman" w:eastAsia="Times New Roman" w:hAnsi="Times New Roman" w:cs="Times New Roman"/>
        </w:rPr>
        <w:t>anal</w:t>
      </w:r>
      <w:r w:rsidRPr="005F00F5">
        <w:rPr>
          <w:rFonts w:ascii="Times New Roman" w:eastAsia="Times New Roman" w:hAnsi="Times New Roman" w:cs="Times New Roman"/>
          <w:spacing w:val="2"/>
        </w:rPr>
        <w:t>y</w:t>
      </w:r>
      <w:r w:rsidRPr="005F00F5">
        <w:rPr>
          <w:rFonts w:ascii="Times New Roman" w:eastAsia="Times New Roman" w:hAnsi="Times New Roman" w:cs="Times New Roman"/>
        </w:rPr>
        <w:t>sis</w:t>
      </w:r>
      <w:r w:rsidRPr="005F00F5">
        <w:rPr>
          <w:rFonts w:ascii="Times New Roman" w:eastAsia="Times New Roman" w:hAnsi="Times New Roman" w:cs="Times New Roman"/>
          <w:spacing w:val="-8"/>
        </w:rPr>
        <w:t xml:space="preserve"> </w:t>
      </w:r>
      <w:r w:rsidRPr="005F00F5">
        <w:rPr>
          <w:rFonts w:ascii="Times New Roman" w:eastAsia="Times New Roman" w:hAnsi="Times New Roman" w:cs="Times New Roman"/>
        </w:rPr>
        <w:t>will</w:t>
      </w:r>
      <w:r w:rsidRPr="005F00F5">
        <w:rPr>
          <w:rFonts w:ascii="Times New Roman" w:eastAsia="Times New Roman" w:hAnsi="Times New Roman" w:cs="Times New Roman"/>
          <w:spacing w:val="-3"/>
        </w:rPr>
        <w:t xml:space="preserve"> </w:t>
      </w:r>
      <w:r w:rsidRPr="005F00F5">
        <w:rPr>
          <w:rFonts w:ascii="Times New Roman" w:eastAsia="Times New Roman" w:hAnsi="Times New Roman" w:cs="Times New Roman"/>
          <w:spacing w:val="1"/>
        </w:rPr>
        <w:t>h</w:t>
      </w:r>
      <w:r w:rsidRPr="005F00F5">
        <w:rPr>
          <w:rFonts w:ascii="Times New Roman" w:eastAsia="Times New Roman" w:hAnsi="Times New Roman" w:cs="Times New Roman"/>
        </w:rPr>
        <w:t>elp</w:t>
      </w:r>
      <w:r w:rsidRPr="005F00F5">
        <w:rPr>
          <w:rFonts w:ascii="Times New Roman" w:eastAsia="Times New Roman" w:hAnsi="Times New Roman" w:cs="Times New Roman"/>
          <w:spacing w:val="-4"/>
        </w:rPr>
        <w:t xml:space="preserve"> </w:t>
      </w:r>
      <w:r w:rsidRPr="005F00F5">
        <w:rPr>
          <w:rFonts w:ascii="Times New Roman" w:eastAsia="Times New Roman" w:hAnsi="Times New Roman" w:cs="Times New Roman"/>
        </w:rPr>
        <w:t>DOT</w:t>
      </w:r>
      <w:r w:rsidRPr="005F00F5">
        <w:rPr>
          <w:rFonts w:ascii="Times New Roman" w:eastAsia="Times New Roman" w:hAnsi="Times New Roman" w:cs="Times New Roman"/>
          <w:spacing w:val="-5"/>
        </w:rPr>
        <w:t xml:space="preserve"> </w:t>
      </w:r>
      <w:r w:rsidR="0012733C">
        <w:rPr>
          <w:rFonts w:ascii="Times New Roman" w:eastAsia="Times New Roman" w:hAnsi="Times New Roman" w:cs="Times New Roman"/>
          <w:spacing w:val="-5"/>
        </w:rPr>
        <w:t>understand how to</w:t>
      </w:r>
      <w:r w:rsidRPr="005F00F5">
        <w:rPr>
          <w:rFonts w:ascii="Times New Roman" w:eastAsia="Times New Roman" w:hAnsi="Times New Roman" w:cs="Times New Roman"/>
          <w:spacing w:val="-3"/>
        </w:rPr>
        <w:t xml:space="preserve"> </w:t>
      </w:r>
      <w:bookmarkStart w:id="0" w:name="_GoBack"/>
      <w:bookmarkEnd w:id="0"/>
      <w:r w:rsidRPr="005F00F5">
        <w:rPr>
          <w:rFonts w:ascii="Times New Roman" w:eastAsia="Times New Roman" w:hAnsi="Times New Roman" w:cs="Times New Roman"/>
        </w:rPr>
        <w:t>better</w:t>
      </w:r>
      <w:r w:rsidRPr="005F00F5">
        <w:rPr>
          <w:rFonts w:ascii="Times New Roman" w:eastAsia="Times New Roman" w:hAnsi="Times New Roman" w:cs="Times New Roman"/>
          <w:spacing w:val="-4"/>
        </w:rPr>
        <w:t xml:space="preserve"> </w:t>
      </w:r>
      <w:r w:rsidRPr="005F00F5">
        <w:rPr>
          <w:rFonts w:ascii="Times New Roman" w:eastAsia="Times New Roman" w:hAnsi="Times New Roman" w:cs="Times New Roman"/>
          <w:spacing w:val="-2"/>
        </w:rPr>
        <w:t>m</w:t>
      </w:r>
      <w:r w:rsidRPr="005F00F5">
        <w:rPr>
          <w:rFonts w:ascii="Times New Roman" w:eastAsia="Times New Roman" w:hAnsi="Times New Roman" w:cs="Times New Roman"/>
        </w:rPr>
        <w:t>ana</w:t>
      </w:r>
      <w:r w:rsidRPr="005F00F5">
        <w:rPr>
          <w:rFonts w:ascii="Times New Roman" w:eastAsia="Times New Roman" w:hAnsi="Times New Roman" w:cs="Times New Roman"/>
          <w:spacing w:val="2"/>
        </w:rPr>
        <w:t>g</w:t>
      </w:r>
      <w:r w:rsidRPr="005F00F5">
        <w:rPr>
          <w:rFonts w:ascii="Times New Roman" w:eastAsia="Times New Roman" w:hAnsi="Times New Roman" w:cs="Times New Roman"/>
        </w:rPr>
        <w:t>e</w:t>
      </w:r>
      <w:r w:rsidRPr="005F00F5">
        <w:rPr>
          <w:rFonts w:ascii="Times New Roman" w:eastAsia="Times New Roman" w:hAnsi="Times New Roman" w:cs="Times New Roman"/>
          <w:spacing w:val="-7"/>
        </w:rPr>
        <w:t xml:space="preserve"> </w:t>
      </w:r>
      <w:r w:rsidR="0012733C">
        <w:rPr>
          <w:rFonts w:ascii="Times New Roman" w:eastAsia="Times New Roman" w:hAnsi="Times New Roman" w:cs="Times New Roman"/>
          <w:spacing w:val="-7"/>
        </w:rPr>
        <w:t xml:space="preserve">these services </w:t>
      </w:r>
      <w:r w:rsidRPr="005F00F5">
        <w:rPr>
          <w:rFonts w:ascii="Times New Roman" w:eastAsia="Times New Roman" w:hAnsi="Times New Roman" w:cs="Times New Roman"/>
        </w:rPr>
        <w:t>f</w:t>
      </w:r>
      <w:r w:rsidRPr="005F00F5">
        <w:rPr>
          <w:rFonts w:ascii="Times New Roman" w:eastAsia="Times New Roman" w:hAnsi="Times New Roman" w:cs="Times New Roman"/>
          <w:spacing w:val="1"/>
        </w:rPr>
        <w:t>o</w:t>
      </w:r>
      <w:r w:rsidRPr="005F00F5">
        <w:rPr>
          <w:rFonts w:ascii="Times New Roman" w:eastAsia="Times New Roman" w:hAnsi="Times New Roman" w:cs="Times New Roman"/>
        </w:rPr>
        <w:t>r</w:t>
      </w:r>
      <w:r w:rsidRPr="005F00F5">
        <w:rPr>
          <w:rFonts w:ascii="Times New Roman" w:eastAsia="Times New Roman" w:hAnsi="Times New Roman" w:cs="Times New Roman"/>
          <w:spacing w:val="-3"/>
        </w:rPr>
        <w:t xml:space="preserve"> </w:t>
      </w:r>
      <w:r w:rsidRPr="005F00F5">
        <w:rPr>
          <w:rFonts w:ascii="Times New Roman" w:eastAsia="Times New Roman" w:hAnsi="Times New Roman" w:cs="Times New Roman"/>
          <w:spacing w:val="1"/>
        </w:rPr>
        <w:t>p</w:t>
      </w:r>
      <w:r w:rsidRPr="005F00F5">
        <w:rPr>
          <w:rFonts w:ascii="Times New Roman" w:eastAsia="Times New Roman" w:hAnsi="Times New Roman" w:cs="Times New Roman"/>
        </w:rPr>
        <w:t>erformance</w:t>
      </w:r>
      <w:r w:rsidRPr="005F00F5">
        <w:rPr>
          <w:rFonts w:ascii="Times New Roman" w:eastAsia="Times New Roman" w:hAnsi="Times New Roman" w:cs="Times New Roman"/>
          <w:spacing w:val="-11"/>
        </w:rPr>
        <w:t xml:space="preserve"> </w:t>
      </w:r>
      <w:r w:rsidRPr="005F00F5">
        <w:rPr>
          <w:rFonts w:ascii="Times New Roman" w:eastAsia="Times New Roman" w:hAnsi="Times New Roman" w:cs="Times New Roman"/>
        </w:rPr>
        <w:t>a</w:t>
      </w:r>
      <w:r w:rsidRPr="005F00F5">
        <w:rPr>
          <w:rFonts w:ascii="Times New Roman" w:eastAsia="Times New Roman" w:hAnsi="Times New Roman" w:cs="Times New Roman"/>
          <w:spacing w:val="1"/>
        </w:rPr>
        <w:t>n</w:t>
      </w:r>
      <w:r w:rsidRPr="005F00F5">
        <w:rPr>
          <w:rFonts w:ascii="Times New Roman" w:eastAsia="Times New Roman" w:hAnsi="Times New Roman" w:cs="Times New Roman"/>
        </w:rPr>
        <w:t>d</w:t>
      </w:r>
      <w:r w:rsidRPr="005F00F5">
        <w:rPr>
          <w:rFonts w:ascii="Times New Roman" w:eastAsia="Times New Roman" w:hAnsi="Times New Roman" w:cs="Times New Roman"/>
          <w:spacing w:val="-2"/>
        </w:rPr>
        <w:t xml:space="preserve"> </w:t>
      </w:r>
      <w:r w:rsidRPr="005F00F5">
        <w:rPr>
          <w:rFonts w:ascii="Times New Roman" w:eastAsia="Times New Roman" w:hAnsi="Times New Roman" w:cs="Times New Roman"/>
        </w:rPr>
        <w:t>cost</w:t>
      </w:r>
      <w:r w:rsidRPr="005F00F5">
        <w:rPr>
          <w:rFonts w:ascii="Times New Roman" w:eastAsia="Times New Roman" w:hAnsi="Times New Roman" w:cs="Times New Roman"/>
          <w:spacing w:val="-4"/>
        </w:rPr>
        <w:t xml:space="preserve"> </w:t>
      </w:r>
      <w:r w:rsidRPr="005F00F5">
        <w:rPr>
          <w:rFonts w:ascii="Times New Roman" w:eastAsia="Times New Roman" w:hAnsi="Times New Roman" w:cs="Times New Roman"/>
        </w:rPr>
        <w:t>effici</w:t>
      </w:r>
      <w:r w:rsidRPr="005F00F5">
        <w:rPr>
          <w:rFonts w:ascii="Times New Roman" w:eastAsia="Times New Roman" w:hAnsi="Times New Roman" w:cs="Times New Roman"/>
          <w:spacing w:val="1"/>
        </w:rPr>
        <w:t>e</w:t>
      </w:r>
      <w:r w:rsidRPr="005F00F5">
        <w:rPr>
          <w:rFonts w:ascii="Times New Roman" w:eastAsia="Times New Roman" w:hAnsi="Times New Roman" w:cs="Times New Roman"/>
        </w:rPr>
        <w:t>ncies.</w:t>
      </w:r>
      <w:r>
        <w:rPr>
          <w:rFonts w:ascii="Times New Roman" w:eastAsia="Times New Roman" w:hAnsi="Times New Roman" w:cs="Times New Roman"/>
        </w:rPr>
        <w:t xml:space="preserve"> DOT will evaluate the extent to which </w:t>
      </w:r>
      <w:r w:rsidR="00C03369">
        <w:rPr>
          <w:rFonts w:ascii="Times New Roman" w:eastAsia="Times New Roman" w:hAnsi="Times New Roman" w:cs="Times New Roman"/>
        </w:rPr>
        <w:t xml:space="preserve">contract </w:t>
      </w:r>
      <w:r>
        <w:rPr>
          <w:rFonts w:ascii="Times New Roman" w:eastAsia="Times New Roman" w:hAnsi="Times New Roman" w:cs="Times New Roman"/>
        </w:rPr>
        <w:t>awards within the</w:t>
      </w:r>
      <w:r w:rsidR="0012733C">
        <w:rPr>
          <w:rFonts w:ascii="Times New Roman" w:eastAsia="Times New Roman" w:hAnsi="Times New Roman" w:cs="Times New Roman"/>
        </w:rPr>
        <w:t>se functions</w:t>
      </w:r>
      <w:r>
        <w:rPr>
          <w:rFonts w:ascii="Times New Roman" w:eastAsia="Times New Roman" w:hAnsi="Times New Roman" w:cs="Times New Roman"/>
        </w:rPr>
        <w:t xml:space="preserve"> leverage existing </w:t>
      </w:r>
      <w:r w:rsidR="00F0458C">
        <w:rPr>
          <w:rFonts w:ascii="Times New Roman" w:eastAsia="Times New Roman" w:hAnsi="Times New Roman" w:cs="Times New Roman"/>
        </w:rPr>
        <w:t xml:space="preserve">Federal or Departmental </w:t>
      </w:r>
      <w:r>
        <w:rPr>
          <w:rFonts w:ascii="Times New Roman" w:eastAsia="Times New Roman" w:hAnsi="Times New Roman" w:cs="Times New Roman"/>
        </w:rPr>
        <w:t xml:space="preserve">enterprise contract vehicles or present future opportunities for strategic sourcing.  </w:t>
      </w:r>
      <w:r w:rsidR="00C03369">
        <w:rPr>
          <w:rFonts w:ascii="Times New Roman" w:eastAsia="Times New Roman" w:hAnsi="Times New Roman" w:cs="Times New Roman"/>
        </w:rPr>
        <w:t xml:space="preserve">DOT will </w:t>
      </w:r>
      <w:r w:rsidR="00621FC8">
        <w:rPr>
          <w:rFonts w:ascii="Times New Roman" w:eastAsia="Times New Roman" w:hAnsi="Times New Roman" w:cs="Times New Roman"/>
        </w:rPr>
        <w:t xml:space="preserve">specifically assess effective balancing of </w:t>
      </w:r>
      <w:r w:rsidR="00C03369">
        <w:rPr>
          <w:rFonts w:ascii="Times New Roman" w:eastAsia="Times New Roman" w:hAnsi="Times New Roman" w:cs="Times New Roman"/>
        </w:rPr>
        <w:t xml:space="preserve">contracted and government resources for these efforts.  </w:t>
      </w:r>
    </w:p>
    <w:p w:rsidR="004C5C50" w:rsidRDefault="004C5C50" w:rsidP="00AC32B6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</w:p>
    <w:tbl>
      <w:tblPr>
        <w:tblW w:w="14053" w:type="dxa"/>
        <w:tblInd w:w="93" w:type="dxa"/>
        <w:tblLook w:val="04A0" w:firstRow="1" w:lastRow="0" w:firstColumn="1" w:lastColumn="0" w:noHBand="0" w:noVBand="1"/>
      </w:tblPr>
      <w:tblGrid>
        <w:gridCol w:w="4026"/>
        <w:gridCol w:w="7167"/>
        <w:gridCol w:w="1660"/>
        <w:gridCol w:w="1200"/>
      </w:tblGrid>
      <w:tr w:rsidR="00B66657" w:rsidRPr="00B66657" w:rsidTr="000F0143">
        <w:trPr>
          <w:trHeight w:val="300"/>
        </w:trPr>
        <w:tc>
          <w:tcPr>
            <w:tcW w:w="1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57" w:rsidRPr="00BD1763" w:rsidRDefault="00B66657" w:rsidP="008D401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17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FY1</w:t>
            </w:r>
            <w:r w:rsidR="008D4013" w:rsidRPr="00BD17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Pr="00BD17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Appendix C: Inventory Summary</w:t>
            </w:r>
          </w:p>
          <w:p w:rsidR="008D4013" w:rsidRDefault="008D4013" w:rsidP="008D401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  <w:tbl>
            <w:tblPr>
              <w:tblW w:w="10977" w:type="dxa"/>
              <w:tblLook w:val="04A0" w:firstRow="1" w:lastRow="0" w:firstColumn="1" w:lastColumn="0" w:noHBand="0" w:noVBand="1"/>
            </w:tblPr>
            <w:tblGrid>
              <w:gridCol w:w="1871"/>
              <w:gridCol w:w="6226"/>
              <w:gridCol w:w="1720"/>
              <w:gridCol w:w="1160"/>
            </w:tblGrid>
            <w:tr w:rsidR="00BD1763" w:rsidRPr="00BD1763" w:rsidTr="00BD1763">
              <w:trPr>
                <w:trHeight w:val="70"/>
              </w:trPr>
              <w:tc>
                <w:tcPr>
                  <w:tcW w:w="8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BD1763" w:rsidRPr="00BD1763" w:rsidTr="00BD1763">
              <w:trPr>
                <w:trHeight w:val="341"/>
              </w:trPr>
              <w:tc>
                <w:tcPr>
                  <w:tcW w:w="8097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Obligations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% Total Obligations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Special Interest Functions</w:t>
                  </w:r>
                </w:p>
              </w:tc>
              <w:tc>
                <w:tcPr>
                  <w:tcW w:w="6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B505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SPECIAL STUDIES/ANALYSIS- COST BENEFIT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$3,218,837.55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0.05%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D302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IT AND TELECOM- SYSTEMS DEVELOPMENT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$33,604,114.25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0.55%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D307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IT AND TELECOM- IT STRATEGY AND ARCHITECTURE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$27,159,984.85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0.45%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D310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IT AND TELECOM- CYBER SECURITY AND DATA BACKUP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$9,045,360.30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0.15%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D314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IT AND TELECOM- SYSTEM ACQUISITION SUPPORT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$18,704,349.04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0.31%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R406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SUPPORT- PROFESSIONAL: POLICY REVIEW/DEVELOPMENT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$2,622,319.57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0.04%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R407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PROGRAM EVALUATION SERVICES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$102,215.60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0.00%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R408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SUPPORT- PROFESSIONAL: PROGRAM MANAGEMENT/SUPPORT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$214,009,552.18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3.53%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R409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PROGRAM REVIEW/DEVELOPMENT SERVICES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$238,614.65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0.00%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R413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SUPPORT- PROFESSIONAL: SPECIFICATIONS DEVELOPMENT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$2,529,116.63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0.04%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R414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SYSTEMS ENGINEERING SERVICES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$34,347,128.18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0.57%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R421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TECHNICAL ASSISTANCE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$519,830.00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0.01%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R423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SUPPORT- PROFESSIONAL: INTELLIGENCE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$121,708.33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0.00%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R425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SUPPORT- PROFESSIONAL: ENGINEERING/TECHNICAL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$1,087,692,876.71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BBB59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17.92%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R497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SUPPORT- PROFESSIONAL: PERSONAL SERVICES CONTRACTS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$3,068,924.25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0.05%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R707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SUPPORT- MANAGEMENT: CONTRACT/PROCUREMENT/ACQUISITION SUPPORT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$66,972,051.99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1.10%</w:t>
                  </w:r>
                </w:p>
              </w:tc>
            </w:tr>
            <w:tr w:rsidR="00BD1763" w:rsidRPr="00BD1763" w:rsidTr="00BD1763">
              <w:trPr>
                <w:trHeight w:val="60"/>
              </w:trPr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0977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Biggest Percentage of Obligations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AD24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R&amp;D- DEFENSE OTHER: SERVICES (ENGINEERING DEVELOPMENT)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$136,234,206.90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2.24%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AD25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R&amp;D- DEFENSE OTHER: SERVICES (OPERATIONAL SYSTEMS DEVELOPMENT)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$194,468,388.14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3.20%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AD26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R&amp;D- DEFENSE OTHER: SERVICES (MANAGEMENT/SUPPORT)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$274,445,113.17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4.52%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R408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SUPPORT- PROFESSIONAL: PROGRAM MANAGEMENT/SUPPORT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$214,009,552.18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3.53%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R425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SUPPORT- PROFESSIONAL: ENGINEERING/TECHNICAL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$1,087,692,876.71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17.92%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R499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SUPPORT- PROFESSIONAL: OTHER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$165,520,699.30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2.73%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S113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TELEPHONE AND-OR COMMUNICATIONS SER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$149,280,438.63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2.46%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S211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HOUSEKEEPING- SURVEILLANCE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$152,650,205.00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2.51%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S216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HOUSEKEEPING- FACILITIES OPERATIONS SUPPORT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$144,196,443.59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2.38%</w:t>
                  </w:r>
                </w:p>
              </w:tc>
            </w:tr>
            <w:tr w:rsidR="00BD1763" w:rsidRPr="00BD1763" w:rsidTr="00BD1763">
              <w:trPr>
                <w:trHeight w:val="30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Y1LB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CONSTRUCTION OF HIGHWAYS, ROADS, STREETS, BRIDGES, AND RAILWAYS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D1763">
                    <w:rPr>
                      <w:rFonts w:ascii="Arial" w:eastAsia="Times New Roman" w:hAnsi="Arial" w:cs="Arial"/>
                      <w:sz w:val="16"/>
                      <w:szCs w:val="16"/>
                    </w:rPr>
                    <w:t>$366,571,045.13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763" w:rsidRPr="00BD1763" w:rsidRDefault="00BD1763" w:rsidP="00BD1763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BD176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6.04%</w:t>
                  </w:r>
                </w:p>
              </w:tc>
            </w:tr>
          </w:tbl>
          <w:p w:rsidR="008D4013" w:rsidRDefault="008D4013" w:rsidP="008D401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  <w:p w:rsidR="008D4013" w:rsidRDefault="008D4013" w:rsidP="008D401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  <w:p w:rsidR="008D4013" w:rsidRDefault="008D4013" w:rsidP="008D401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  <w:p w:rsidR="008D4013" w:rsidRDefault="008D4013" w:rsidP="008D401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  <w:p w:rsidR="008D4013" w:rsidRDefault="008D4013" w:rsidP="008D401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  <w:p w:rsidR="008D4013" w:rsidRDefault="008D4013" w:rsidP="008D401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  <w:p w:rsidR="008D4013" w:rsidRDefault="008D4013" w:rsidP="008D401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  <w:p w:rsidR="008D4013" w:rsidRDefault="008D4013" w:rsidP="008D401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  <w:p w:rsidR="008D4013" w:rsidRDefault="008D4013" w:rsidP="008D401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  <w:p w:rsidR="008D4013" w:rsidRDefault="008D4013" w:rsidP="008D401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  <w:p w:rsidR="008D4013" w:rsidRDefault="008D4013" w:rsidP="008D401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  <w:p w:rsidR="008D4013" w:rsidRPr="00B66657" w:rsidRDefault="008D4013" w:rsidP="008D4013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57" w:rsidRPr="00B66657" w:rsidRDefault="00B66657" w:rsidP="00B6665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57" w:rsidRPr="00B66657" w:rsidRDefault="00B66657" w:rsidP="00B6665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</w:p>
        </w:tc>
      </w:tr>
      <w:tr w:rsidR="00B66657" w:rsidRPr="00B66657" w:rsidTr="000F0143">
        <w:trPr>
          <w:trHeight w:val="7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57" w:rsidRPr="00B66657" w:rsidRDefault="00B66657" w:rsidP="00B6665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57" w:rsidRPr="00B66657" w:rsidRDefault="00B66657" w:rsidP="00B6665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57" w:rsidRPr="00B66657" w:rsidRDefault="00B66657" w:rsidP="00B6665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57" w:rsidRPr="00B66657" w:rsidRDefault="00B66657" w:rsidP="00B6665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</w:p>
        </w:tc>
      </w:tr>
    </w:tbl>
    <w:p w:rsidR="004C5C50" w:rsidRPr="00B66657" w:rsidRDefault="004C5C50" w:rsidP="000F0143">
      <w:pPr>
        <w:spacing w:after="0" w:line="240" w:lineRule="auto"/>
        <w:ind w:right="-20"/>
        <w:rPr>
          <w:rFonts w:ascii="Times New Roman" w:eastAsia="Times New Roman" w:hAnsi="Times New Roman" w:cs="Times New Roman"/>
          <w:sz w:val="18"/>
        </w:rPr>
      </w:pPr>
    </w:p>
    <w:sectPr w:rsidR="004C5C50" w:rsidRPr="00B66657" w:rsidSect="004C5C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B6"/>
    <w:rsid w:val="000F0143"/>
    <w:rsid w:val="00123A26"/>
    <w:rsid w:val="0012733C"/>
    <w:rsid w:val="0048729F"/>
    <w:rsid w:val="004C5C50"/>
    <w:rsid w:val="00621FC8"/>
    <w:rsid w:val="006C2279"/>
    <w:rsid w:val="0072480D"/>
    <w:rsid w:val="007C2F2F"/>
    <w:rsid w:val="008D4013"/>
    <w:rsid w:val="008F3FAF"/>
    <w:rsid w:val="00993F2F"/>
    <w:rsid w:val="00AC32B6"/>
    <w:rsid w:val="00AC6B87"/>
    <w:rsid w:val="00B66657"/>
    <w:rsid w:val="00B97289"/>
    <w:rsid w:val="00BD1763"/>
    <w:rsid w:val="00C03369"/>
    <w:rsid w:val="00C91BA0"/>
    <w:rsid w:val="00DD0C7B"/>
    <w:rsid w:val="00F0458C"/>
    <w:rsid w:val="00FB0DA6"/>
    <w:rsid w:val="00FC6664"/>
    <w:rsid w:val="00F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B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B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USDOT_User</dc:creator>
  <cp:lastModifiedBy>USDOT_User</cp:lastModifiedBy>
  <cp:revision>2</cp:revision>
  <dcterms:created xsi:type="dcterms:W3CDTF">2016-04-14T18:49:00Z</dcterms:created>
  <dcterms:modified xsi:type="dcterms:W3CDTF">2016-04-14T18:49:00Z</dcterms:modified>
</cp:coreProperties>
</file>