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BAF" w:rsidRDefault="00DE5BAF">
      <w:pPr>
        <w:spacing w:before="8" w:after="0" w:line="170" w:lineRule="exact"/>
        <w:rPr>
          <w:sz w:val="17"/>
          <w:szCs w:val="17"/>
        </w:rPr>
      </w:pPr>
      <w:bookmarkStart w:id="0" w:name="_GoBack"/>
      <w:bookmarkEnd w:id="0"/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Pr="003831ED" w:rsidRDefault="00986B09">
      <w:pPr>
        <w:spacing w:before="29" w:after="0" w:line="240" w:lineRule="auto"/>
        <w:ind w:left="4722" w:right="48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DOT Spon</w:t>
      </w:r>
      <w:r w:rsidRPr="003831E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s</w:t>
      </w: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ored Conferences O</w:t>
      </w:r>
      <w:r w:rsidRPr="003831E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v</w:t>
      </w:r>
      <w:r w:rsidRPr="003831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er $100K</w:t>
      </w:r>
    </w:p>
    <w:p w:rsidR="00DE5BAF" w:rsidRDefault="00DE5BAF">
      <w:pPr>
        <w:spacing w:after="0" w:line="260" w:lineRule="exact"/>
        <w:rPr>
          <w:sz w:val="26"/>
          <w:szCs w:val="26"/>
        </w:rPr>
      </w:pPr>
    </w:p>
    <w:p w:rsidR="00DE5BAF" w:rsidRDefault="00D25DF8">
      <w:pPr>
        <w:spacing w:after="0" w:line="271" w:lineRule="exact"/>
        <w:ind w:left="6014" w:right="61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Fiscal Year 2014</w:t>
      </w:r>
    </w:p>
    <w:p w:rsidR="00DE5BAF" w:rsidRDefault="00DE5BAF">
      <w:pPr>
        <w:spacing w:after="0" w:line="180" w:lineRule="exact"/>
        <w:rPr>
          <w:sz w:val="18"/>
          <w:szCs w:val="18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before="2" w:after="0" w:line="120" w:lineRule="exact"/>
        <w:rPr>
          <w:sz w:val="12"/>
          <w:szCs w:val="12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622"/>
        <w:gridCol w:w="1530"/>
        <w:gridCol w:w="4770"/>
        <w:gridCol w:w="2070"/>
        <w:gridCol w:w="1788"/>
      </w:tblGrid>
      <w:tr w:rsidR="00375D04" w:rsidTr="00375D04">
        <w:trPr>
          <w:trHeight w:val="688"/>
        </w:trPr>
        <w:tc>
          <w:tcPr>
            <w:tcW w:w="2356" w:type="dxa"/>
            <w:vAlign w:val="center"/>
          </w:tcPr>
          <w:p w:rsidR="00375D04" w:rsidRPr="000B4A70" w:rsidRDefault="00375D04" w:rsidP="00375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</w:pP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>Na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6"/>
                <w:sz w:val="20"/>
                <w:szCs w:val="20"/>
              </w:rPr>
              <w:t>m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>e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6"/>
                <w:sz w:val="20"/>
                <w:szCs w:val="20"/>
              </w:rPr>
              <w:t xml:space="preserve"> 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 xml:space="preserve">of 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6"/>
                <w:sz w:val="20"/>
                <w:szCs w:val="20"/>
              </w:rPr>
              <w:t>E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6"/>
                <w:sz w:val="20"/>
                <w:szCs w:val="20"/>
              </w:rPr>
              <w:t>v</w:t>
            </w: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>ent</w:t>
            </w:r>
          </w:p>
        </w:tc>
        <w:tc>
          <w:tcPr>
            <w:tcW w:w="1622" w:type="dxa"/>
            <w:vAlign w:val="center"/>
          </w:tcPr>
          <w:p w:rsidR="00375D04" w:rsidRPr="000B4A70" w:rsidRDefault="00375D04" w:rsidP="00375D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</w:pP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>Location</w:t>
            </w:r>
          </w:p>
        </w:tc>
        <w:tc>
          <w:tcPr>
            <w:tcW w:w="1530" w:type="dxa"/>
            <w:vAlign w:val="center"/>
          </w:tcPr>
          <w:p w:rsidR="00375D04" w:rsidRDefault="00375D04" w:rsidP="00375D04">
            <w:pPr>
              <w:jc w:val="center"/>
            </w:pPr>
            <w:r w:rsidRPr="000B4A70">
              <w:rPr>
                <w:rFonts w:ascii="Times New Roman" w:eastAsia="Times New Roman" w:hAnsi="Times New Roman" w:cs="Times New Roman"/>
                <w:b/>
                <w:bCs/>
                <w:position w:val="-6"/>
                <w:sz w:val="20"/>
                <w:szCs w:val="20"/>
              </w:rPr>
              <w:t>Dates</w:t>
            </w:r>
          </w:p>
        </w:tc>
        <w:tc>
          <w:tcPr>
            <w:tcW w:w="4770" w:type="dxa"/>
            <w:vAlign w:val="center"/>
          </w:tcPr>
          <w:p w:rsidR="00375D04" w:rsidRPr="00375D04" w:rsidRDefault="00375D04" w:rsidP="00375D04">
            <w:pPr>
              <w:tabs>
                <w:tab w:val="left" w:pos="3020"/>
                <w:tab w:val="left" w:pos="4580"/>
                <w:tab w:val="left" w:pos="5680"/>
              </w:tabs>
              <w:spacing w:line="303" w:lineRule="exact"/>
              <w:ind w:right="-87"/>
              <w:jc w:val="center"/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Brief Exp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anation of How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the Conference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Enhan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6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6"/>
                <w:sz w:val="20"/>
                <w:szCs w:val="20"/>
              </w:rPr>
              <w:t>the Agency’s Mission</w:t>
            </w:r>
          </w:p>
        </w:tc>
        <w:tc>
          <w:tcPr>
            <w:tcW w:w="2070" w:type="dxa"/>
            <w:vAlign w:val="center"/>
          </w:tcPr>
          <w:p w:rsidR="00375D04" w:rsidRDefault="00375D04" w:rsidP="00375D0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Number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 Individ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hose Travel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ses Were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id 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the 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ncy</w:t>
            </w:r>
          </w:p>
        </w:tc>
        <w:tc>
          <w:tcPr>
            <w:tcW w:w="1788" w:type="dxa"/>
            <w:vAlign w:val="center"/>
          </w:tcPr>
          <w:p w:rsidR="00375D04" w:rsidRPr="00375D04" w:rsidRDefault="00375D04" w:rsidP="00375D04">
            <w:pPr>
              <w:spacing w:line="239" w:lineRule="auto"/>
              <w:ind w:left="-17" w:right="2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 Confer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 Expenses</w:t>
            </w:r>
          </w:p>
        </w:tc>
      </w:tr>
      <w:tr w:rsidR="00375D04" w:rsidTr="00375D04">
        <w:tc>
          <w:tcPr>
            <w:tcW w:w="2356" w:type="dxa"/>
            <w:vAlign w:val="center"/>
          </w:tcPr>
          <w:p w:rsidR="00375D04" w:rsidRDefault="00375D04" w:rsidP="00375D04">
            <w:pPr>
              <w:ind w:left="102" w:righ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FAA 2014 </w:t>
            </w:r>
            <w:r w:rsidR="00076B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Avionics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 Flight Test Standardization Workshop</w:t>
            </w:r>
          </w:p>
        </w:tc>
        <w:tc>
          <w:tcPr>
            <w:tcW w:w="1622" w:type="dxa"/>
            <w:vAlign w:val="center"/>
          </w:tcPr>
          <w:p w:rsidR="00375D04" w:rsidRDefault="00375D04" w:rsidP="00375D04">
            <w:pPr>
              <w:spacing w:line="230" w:lineRule="exact"/>
              <w:ind w:left="101" w:right="3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Kansas City, MO</w:t>
            </w:r>
          </w:p>
        </w:tc>
        <w:tc>
          <w:tcPr>
            <w:tcW w:w="1530" w:type="dxa"/>
            <w:vAlign w:val="center"/>
          </w:tcPr>
          <w:p w:rsidR="00375D04" w:rsidRDefault="00375D04" w:rsidP="00375D04">
            <w:pPr>
              <w:spacing w:line="230" w:lineRule="exact"/>
              <w:ind w:left="102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15-17,2014</w:t>
            </w:r>
          </w:p>
        </w:tc>
        <w:tc>
          <w:tcPr>
            <w:tcW w:w="4770" w:type="dxa"/>
            <w:vAlign w:val="center"/>
          </w:tcPr>
          <w:p w:rsidR="00375D04" w:rsidRDefault="00375D04" w:rsidP="00076BAD">
            <w:pPr>
              <w:spacing w:before="66"/>
              <w:ind w:left="102"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This workshop improved aviation safety oversight</w:t>
            </w:r>
            <w:r w:rsidR="00076B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facilitated the cre</w:t>
            </w:r>
            <w:r w:rsidR="00076BAD">
              <w:rPr>
                <w:rFonts w:ascii="Times New Roman" w:eastAsia="Times New Roman" w:hAnsi="Times New Roman" w:cs="Times New Roman"/>
                <w:sz w:val="20"/>
                <w:szCs w:val="20"/>
              </w:rPr>
              <w:t>ation of guidance documentation.  This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better enabled implementation of that guidance and enhanced the performance of the Federal Aviation Administration’s (FAA) Office of Aviation Safety-Aircraft Certification Office (ACO)</w:t>
            </w:r>
            <w:r w:rsidR="00076BA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well as headquarters personnel. This workshop served to standardize communication, which in turn, improved policy dissemination and consistency of interpretation.</w:t>
            </w:r>
          </w:p>
        </w:tc>
        <w:tc>
          <w:tcPr>
            <w:tcW w:w="2070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127</w:t>
            </w:r>
          </w:p>
        </w:tc>
        <w:tc>
          <w:tcPr>
            <w:tcW w:w="1788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$138,752</w:t>
            </w:r>
          </w:p>
        </w:tc>
      </w:tr>
      <w:tr w:rsidR="00375D04" w:rsidTr="00375D04">
        <w:tc>
          <w:tcPr>
            <w:tcW w:w="2356" w:type="dxa"/>
            <w:vAlign w:val="center"/>
          </w:tcPr>
          <w:p w:rsidR="00375D04" w:rsidRDefault="00375D04" w:rsidP="00375D04">
            <w:pPr>
              <w:ind w:left="102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FHWA Annual Fall Business Meeting</w:t>
            </w:r>
          </w:p>
        </w:tc>
        <w:tc>
          <w:tcPr>
            <w:tcW w:w="1622" w:type="dxa"/>
            <w:vAlign w:val="center"/>
          </w:tcPr>
          <w:p w:rsidR="00375D04" w:rsidRDefault="00375D04" w:rsidP="00375D04">
            <w:pPr>
              <w:ind w:righ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Crystal City, VA</w:t>
            </w:r>
          </w:p>
        </w:tc>
        <w:tc>
          <w:tcPr>
            <w:tcW w:w="1530" w:type="dxa"/>
            <w:vAlign w:val="center"/>
          </w:tcPr>
          <w:p w:rsidR="00375D04" w:rsidRDefault="00375D04" w:rsidP="00375D04">
            <w:pPr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D04" w:rsidRDefault="00375D04" w:rsidP="00375D0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 10-12, 2014</w:t>
            </w:r>
          </w:p>
        </w:tc>
        <w:tc>
          <w:tcPr>
            <w:tcW w:w="4770" w:type="dxa"/>
            <w:vAlign w:val="center"/>
          </w:tcPr>
          <w:p w:rsidR="00375D04" w:rsidRPr="00375D04" w:rsidRDefault="00375D04" w:rsidP="00375D04">
            <w:pPr>
              <w:spacing w:line="227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This leadership meeting is the only time during the year that all FHWA unit heads gather to discuss Agency priorities, policies and processes. </w:t>
            </w:r>
            <w:r w:rsidR="00076B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The Administrator and Deputy Administrator provide strategic direction to the organizational leaders. </w:t>
            </w:r>
            <w:r w:rsidR="00076B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Significant national highway issues such as stewardship and oversight, transportation performance management, financial management and transportation system trends were discussed.</w:t>
            </w:r>
          </w:p>
        </w:tc>
        <w:tc>
          <w:tcPr>
            <w:tcW w:w="2070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132</w:t>
            </w:r>
          </w:p>
        </w:tc>
        <w:tc>
          <w:tcPr>
            <w:tcW w:w="1788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$141,358</w:t>
            </w:r>
          </w:p>
        </w:tc>
      </w:tr>
      <w:tr w:rsidR="00375D04" w:rsidTr="00375D04">
        <w:tc>
          <w:tcPr>
            <w:tcW w:w="2356" w:type="dxa"/>
            <w:vAlign w:val="center"/>
          </w:tcPr>
          <w:p w:rsidR="00375D04" w:rsidRPr="007B45D8" w:rsidRDefault="00375D04" w:rsidP="00375D04">
            <w:pPr>
              <w:ind w:left="102" w:right="2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5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FTA Annual Capital Project Management Workshop</w:t>
            </w:r>
          </w:p>
        </w:tc>
        <w:tc>
          <w:tcPr>
            <w:tcW w:w="1622" w:type="dxa"/>
            <w:vAlign w:val="center"/>
          </w:tcPr>
          <w:p w:rsidR="00375D04" w:rsidRDefault="00375D04" w:rsidP="00375D0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Washington, DC</w:t>
            </w:r>
          </w:p>
        </w:tc>
        <w:tc>
          <w:tcPr>
            <w:tcW w:w="1530" w:type="dxa"/>
            <w:vAlign w:val="center"/>
          </w:tcPr>
          <w:p w:rsidR="00375D04" w:rsidRDefault="00375D04" w:rsidP="00375D04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June 23-25, 2014</w:t>
            </w:r>
          </w:p>
        </w:tc>
        <w:tc>
          <w:tcPr>
            <w:tcW w:w="4770" w:type="dxa"/>
            <w:vAlign w:val="center"/>
          </w:tcPr>
          <w:p w:rsidR="00375D04" w:rsidRDefault="00076BAD" w:rsidP="00375D04">
            <w:pPr>
              <w:spacing w:before="2" w:line="230" w:lineRule="exact"/>
              <w:ind w:left="102" w:right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meeting provided</w:t>
            </w:r>
            <w:r w:rsidR="00375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 instructional setting to ensur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FTA staff and contractors had</w:t>
            </w:r>
            <w:r w:rsidR="00375D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current information regarding statutes, regulations, policies, program requirements, guidance, project financing, oversight and related issues to provide sound stewardship of FTA-funded projects.</w:t>
            </w:r>
          </w:p>
        </w:tc>
        <w:tc>
          <w:tcPr>
            <w:tcW w:w="2070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110</w:t>
            </w:r>
          </w:p>
        </w:tc>
        <w:tc>
          <w:tcPr>
            <w:tcW w:w="1788" w:type="dxa"/>
            <w:vAlign w:val="center"/>
          </w:tcPr>
          <w:p w:rsidR="00375D04" w:rsidRDefault="00375D04" w:rsidP="00375D04">
            <w:pPr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$128,968</w:t>
            </w:r>
          </w:p>
        </w:tc>
      </w:tr>
    </w:tbl>
    <w:p w:rsidR="00375D04" w:rsidRDefault="00375D04">
      <w:pPr>
        <w:spacing w:after="0" w:line="200" w:lineRule="exact"/>
        <w:rPr>
          <w:sz w:val="20"/>
          <w:szCs w:val="20"/>
        </w:rPr>
      </w:pPr>
    </w:p>
    <w:p w:rsidR="00DE5BAF" w:rsidRDefault="00DE5BAF">
      <w:pPr>
        <w:spacing w:after="0" w:line="200" w:lineRule="exact"/>
        <w:rPr>
          <w:sz w:val="20"/>
          <w:szCs w:val="20"/>
        </w:rPr>
      </w:pPr>
    </w:p>
    <w:sectPr w:rsidR="00DE5BAF">
      <w:pgSz w:w="15840" w:h="12240" w:orient="landscape"/>
      <w:pgMar w:top="1120" w:right="8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AF"/>
    <w:rsid w:val="00045E6A"/>
    <w:rsid w:val="000703FC"/>
    <w:rsid w:val="00076BAD"/>
    <w:rsid w:val="00117E79"/>
    <w:rsid w:val="0013471F"/>
    <w:rsid w:val="00290368"/>
    <w:rsid w:val="002D1647"/>
    <w:rsid w:val="002E2044"/>
    <w:rsid w:val="002E35F8"/>
    <w:rsid w:val="002F5C63"/>
    <w:rsid w:val="00337069"/>
    <w:rsid w:val="003422C6"/>
    <w:rsid w:val="0036061D"/>
    <w:rsid w:val="00370158"/>
    <w:rsid w:val="00375D04"/>
    <w:rsid w:val="003831ED"/>
    <w:rsid w:val="003D2EAD"/>
    <w:rsid w:val="004059C6"/>
    <w:rsid w:val="00430C34"/>
    <w:rsid w:val="004E5973"/>
    <w:rsid w:val="00523A90"/>
    <w:rsid w:val="0052489B"/>
    <w:rsid w:val="00613EA5"/>
    <w:rsid w:val="00621FD4"/>
    <w:rsid w:val="006C01E9"/>
    <w:rsid w:val="00722A8F"/>
    <w:rsid w:val="007B45D8"/>
    <w:rsid w:val="007C775A"/>
    <w:rsid w:val="0085048F"/>
    <w:rsid w:val="008F3EE2"/>
    <w:rsid w:val="00946B86"/>
    <w:rsid w:val="00986B09"/>
    <w:rsid w:val="009C37D1"/>
    <w:rsid w:val="009E5E70"/>
    <w:rsid w:val="00A37202"/>
    <w:rsid w:val="00AB49FB"/>
    <w:rsid w:val="00AB630E"/>
    <w:rsid w:val="00B074E6"/>
    <w:rsid w:val="00BB363C"/>
    <w:rsid w:val="00BC570B"/>
    <w:rsid w:val="00BF6F98"/>
    <w:rsid w:val="00C3511C"/>
    <w:rsid w:val="00CC5F30"/>
    <w:rsid w:val="00D25DF8"/>
    <w:rsid w:val="00D27616"/>
    <w:rsid w:val="00D367C7"/>
    <w:rsid w:val="00DA31D5"/>
    <w:rsid w:val="00DC3B88"/>
    <w:rsid w:val="00DE5BAF"/>
    <w:rsid w:val="00E0597B"/>
    <w:rsid w:val="00E3747A"/>
    <w:rsid w:val="00E55CDA"/>
    <w:rsid w:val="00E739B4"/>
    <w:rsid w:val="00EB6D60"/>
    <w:rsid w:val="00F3013F"/>
    <w:rsid w:val="00F61C3F"/>
    <w:rsid w:val="00F62273"/>
    <w:rsid w:val="00FA41D3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5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DOT Sponsored Conferences Over $100K 1 30 13 OST PA - for budget FINAL CLEAN</vt:lpstr>
    </vt:vector>
  </TitlesOfParts>
  <Company>DOT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DOT Sponsored Conferences Over $100K 1 30 13 OST PA - for budget FINAL CLEAN</dc:title>
  <dc:creator>susan.hendrick</dc:creator>
  <cp:lastModifiedBy>Todd</cp:lastModifiedBy>
  <cp:revision>2</cp:revision>
  <cp:lastPrinted>2015-01-29T15:31:00Z</cp:lastPrinted>
  <dcterms:created xsi:type="dcterms:W3CDTF">2015-02-04T18:03:00Z</dcterms:created>
  <dcterms:modified xsi:type="dcterms:W3CDTF">2015-02-04T18:03:00Z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LastSaved">
    <vt:filetime>2014-01-16T00:00:00Z</vt:filetime>
  </property>
</Properties>
</file>