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890"/>
        <w:tblW w:w="9936" w:type="dxa"/>
        <w:shd w:val="clear" w:color="auto" w:fill="8DB3E2"/>
        <w:tblLayout w:type="fixed"/>
        <w:tblLook w:val="04A0" w:firstRow="1" w:lastRow="0" w:firstColumn="1" w:lastColumn="0" w:noHBand="0" w:noVBand="1"/>
      </w:tblPr>
      <w:tblGrid>
        <w:gridCol w:w="9936"/>
      </w:tblGrid>
      <w:tr w:rsidR="004D474A" w:rsidRPr="004D474A" w14:paraId="5D39C7F2" w14:textId="77777777" w:rsidTr="004D474A">
        <w:trPr>
          <w:trHeight w:val="1330"/>
        </w:trPr>
        <w:tc>
          <w:tcPr>
            <w:tcW w:w="9936" w:type="dxa"/>
            <w:shd w:val="clear" w:color="auto" w:fill="8DB3E2"/>
            <w:tcMar>
              <w:top w:w="110" w:type="dxa"/>
              <w:left w:w="140" w:type="dxa"/>
              <w:bottom w:w="110" w:type="dxa"/>
              <w:right w:w="140" w:type="dxa"/>
            </w:tcMar>
          </w:tcPr>
          <w:p w14:paraId="6431954E" w14:textId="77777777" w:rsidR="004D474A" w:rsidRPr="004D474A" w:rsidRDefault="004D474A" w:rsidP="004D474A">
            <w:pPr>
              <w:spacing w:after="200" w:line="276" w:lineRule="auto"/>
              <w:jc w:val="center"/>
              <w:rPr>
                <w:rFonts w:ascii="Aptos" w:eastAsia="MS Mincho" w:hAnsi="Aptos" w:cs="Times New Roman"/>
                <w:kern w:val="0"/>
                <w:sz w:val="21"/>
                <w:szCs w:val="22"/>
                <w14:ligatures w14:val="none"/>
              </w:rPr>
            </w:pPr>
            <w:bookmarkStart w:id="0" w:name="_Hlk227083175"/>
            <w:r w:rsidRPr="004D474A">
              <w:rPr>
                <w:rFonts w:ascii="Aptos Display" w:eastAsia="MS Mincho" w:hAnsi="Aptos Display" w:cs="Times New Roman"/>
                <w:b/>
                <w:color w:val="17365D"/>
                <w:kern w:val="0"/>
                <w:sz w:val="34"/>
                <w:szCs w:val="22"/>
                <w14:ligatures w14:val="none"/>
              </w:rPr>
              <w:t>SMART PROGRAM</w:t>
            </w:r>
            <w:r w:rsidRPr="004D474A">
              <w:rPr>
                <w:rFonts w:ascii="Aptos Display" w:eastAsia="MS Mincho" w:hAnsi="Aptos Display" w:cs="Times New Roman"/>
                <w:b/>
                <w:color w:val="17365D"/>
                <w:kern w:val="0"/>
                <w:sz w:val="34"/>
                <w:szCs w:val="22"/>
                <w14:ligatures w14:val="none"/>
              </w:rPr>
              <w:br/>
              <w:t>FINAL NONCOMPETITIVE PROCUREMENT GUIDANCE &amp; CHECKLIST</w:t>
            </w:r>
          </w:p>
        </w:tc>
      </w:tr>
    </w:tbl>
    <w:p w14:paraId="0CB87D5D" w14:textId="77777777" w:rsidR="004D474A" w:rsidRPr="004D474A" w:rsidRDefault="004D474A" w:rsidP="004D474A">
      <w:pPr>
        <w:spacing w:after="40" w:line="276" w:lineRule="auto"/>
        <w:rPr>
          <w:rFonts w:ascii="Aptos" w:eastAsia="MS Mincho" w:hAnsi="Aptos" w:cs="Times New Roman"/>
          <w:kern w:val="0"/>
          <w:sz w:val="21"/>
          <w:szCs w:val="22"/>
          <w14:ligatures w14:val="none"/>
        </w:rPr>
      </w:pPr>
    </w:p>
    <w:p w14:paraId="7C4B5834" w14:textId="5EF30DBA" w:rsidR="004D474A" w:rsidRPr="00A3404E" w:rsidRDefault="004D474A" w:rsidP="00A3404E">
      <w:pPr>
        <w:pStyle w:val="ListParagraph"/>
        <w:numPr>
          <w:ilvl w:val="0"/>
          <w:numId w:val="3"/>
        </w:numPr>
        <w:spacing w:after="200" w:line="276" w:lineRule="auto"/>
        <w:rPr>
          <w:rFonts w:ascii="Aptos" w:eastAsia="MS Mincho" w:hAnsi="Aptos" w:cs="Times New Roman"/>
          <w:i/>
          <w:kern w:val="0"/>
          <w:sz w:val="20"/>
          <w:szCs w:val="22"/>
          <w14:ligatures w14:val="none"/>
        </w:rPr>
      </w:pPr>
      <w:r w:rsidRPr="00A3404E">
        <w:rPr>
          <w:rFonts w:ascii="Aptos" w:eastAsia="MS Mincho" w:hAnsi="Aptos" w:cs="Times New Roman"/>
          <w:i/>
          <w:kern w:val="0"/>
          <w:sz w:val="20"/>
          <w:szCs w:val="22"/>
          <w14:ligatures w14:val="none"/>
        </w:rPr>
        <w:t>Use for recipient and subrecipient Sole Source / Noncompetitive Procurement request</w:t>
      </w:r>
    </w:p>
    <w:p w14:paraId="5A84AB0A" w14:textId="6F917E38" w:rsidR="00A3404E" w:rsidRPr="00A3404E" w:rsidRDefault="00A3404E" w:rsidP="00A3404E">
      <w:pPr>
        <w:pStyle w:val="ListParagraph"/>
        <w:numPr>
          <w:ilvl w:val="0"/>
          <w:numId w:val="3"/>
        </w:numPr>
        <w:spacing w:after="200" w:line="276" w:lineRule="auto"/>
        <w:rPr>
          <w:rFonts w:ascii="Aptos" w:eastAsia="MS Mincho" w:hAnsi="Aptos" w:cs="Times New Roman"/>
          <w:kern w:val="0"/>
          <w:sz w:val="21"/>
          <w:szCs w:val="22"/>
          <w14:ligatures w14:val="none"/>
        </w:rPr>
      </w:pPr>
      <w:r w:rsidRPr="00A3404E">
        <w:rPr>
          <w:rFonts w:ascii="Aptos" w:eastAsia="MS Mincho" w:hAnsi="Aptos" w:cs="Times New Roman"/>
          <w:i/>
          <w:kern w:val="0"/>
          <w:sz w:val="21"/>
          <w:szCs w:val="22"/>
          <w14:ligatures w14:val="none"/>
        </w:rPr>
        <w:t xml:space="preserve">Do not use noncompetitive procurement merely for convenience, familiarity with an incumbent contractor, or schedule preference. </w:t>
      </w:r>
      <w:r w:rsidRPr="00A3404E">
        <w:rPr>
          <w:rFonts w:ascii="Aptos" w:eastAsia="MS Mincho" w:hAnsi="Aptos" w:cs="Times New Roman"/>
          <w:kern w:val="0"/>
          <w:sz w:val="21"/>
          <w:szCs w:val="22"/>
          <w14:ligatures w14:val="none"/>
        </w:rPr>
        <w:t xml:space="preserve">Prior contractor familiarity may support </w:t>
      </w:r>
      <w:proofErr w:type="gramStart"/>
      <w:r w:rsidRPr="00A3404E">
        <w:rPr>
          <w:rFonts w:ascii="Aptos" w:eastAsia="MS Mincho" w:hAnsi="Aptos" w:cs="Times New Roman"/>
          <w:kern w:val="0"/>
          <w:sz w:val="21"/>
          <w:szCs w:val="22"/>
          <w14:ligatures w14:val="none"/>
        </w:rPr>
        <w:t>a justification</w:t>
      </w:r>
      <w:proofErr w:type="gramEnd"/>
      <w:r w:rsidRPr="00A3404E">
        <w:rPr>
          <w:rFonts w:ascii="Aptos" w:eastAsia="MS Mincho" w:hAnsi="Aptos" w:cs="Times New Roman"/>
          <w:kern w:val="0"/>
          <w:sz w:val="21"/>
          <w:szCs w:val="22"/>
          <w14:ligatures w14:val="none"/>
        </w:rPr>
        <w:t xml:space="preserve"> only when tied to a valid regulatory basis, such as true single-source availability or documented public exigency.</w:t>
      </w:r>
    </w:p>
    <w:p w14:paraId="7183B9A6" w14:textId="77777777" w:rsidR="004D474A" w:rsidRPr="004D474A" w:rsidRDefault="004D474A" w:rsidP="004D474A">
      <w:pPr>
        <w:keepNext/>
        <w:keepLines/>
        <w:spacing w:after="120" w:line="276" w:lineRule="auto"/>
        <w:outlineLvl w:val="0"/>
        <w:rPr>
          <w:rFonts w:ascii="Aptos" w:eastAsia="MS Gothic" w:hAnsi="Aptos" w:cs="Times New Roman"/>
          <w:b/>
          <w:color w:val="0070C0"/>
          <w:kern w:val="0"/>
          <w:sz w:val="26"/>
          <w:szCs w:val="28"/>
          <w14:ligatures w14:val="none"/>
        </w:rPr>
      </w:pPr>
      <w:r w:rsidRPr="004D474A">
        <w:rPr>
          <w:rFonts w:ascii="Aptos" w:eastAsia="MS Gothic" w:hAnsi="Aptos" w:cs="Times New Roman"/>
          <w:b/>
          <w:color w:val="0070C0"/>
          <w:kern w:val="0"/>
          <w:sz w:val="26"/>
          <w:szCs w:val="28"/>
          <w14:ligatures w14:val="none"/>
        </w:rPr>
        <w:t>1. Core rule</w:t>
      </w:r>
    </w:p>
    <w:p w14:paraId="657611C2" w14:textId="68EF25C7" w:rsidR="004D474A" w:rsidRDefault="004D474A" w:rsidP="004D474A">
      <w:pPr>
        <w:spacing w:after="120" w:line="276" w:lineRule="auto"/>
        <w:rPr>
          <w:rFonts w:ascii="Aptos" w:eastAsia="MS Mincho" w:hAnsi="Aptos" w:cs="Times New Roman"/>
          <w:kern w:val="0"/>
          <w:sz w:val="21"/>
          <w:szCs w:val="22"/>
          <w14:ligatures w14:val="none"/>
        </w:rPr>
      </w:pPr>
      <w:r w:rsidRPr="004D474A">
        <w:rPr>
          <w:rFonts w:ascii="Aptos" w:eastAsia="MS Mincho" w:hAnsi="Aptos" w:cs="Times New Roman"/>
          <w:b/>
          <w:kern w:val="0"/>
          <w:sz w:val="21"/>
          <w:szCs w:val="22"/>
          <w14:ligatures w14:val="none"/>
        </w:rPr>
        <w:t xml:space="preserve">Noncompetitive procurement </w:t>
      </w:r>
      <w:r w:rsidRPr="004D474A">
        <w:rPr>
          <w:rFonts w:ascii="Aptos" w:eastAsia="MS Mincho" w:hAnsi="Aptos" w:cs="Times New Roman"/>
          <w:kern w:val="0"/>
          <w:sz w:val="21"/>
          <w:szCs w:val="22"/>
          <w14:ligatures w14:val="none"/>
        </w:rPr>
        <w:t xml:space="preserve">(often called sole source procurement) is procurement by soliciting a proposal from only one source. It is an </w:t>
      </w:r>
      <w:r w:rsidRPr="004D474A">
        <w:rPr>
          <w:rFonts w:ascii="Aptos" w:eastAsia="MS Mincho" w:hAnsi="Aptos" w:cs="Times New Roman"/>
          <w:b/>
          <w:kern w:val="0"/>
          <w:sz w:val="21"/>
          <w:szCs w:val="22"/>
          <w14:ligatures w14:val="none"/>
        </w:rPr>
        <w:t>exception</w:t>
      </w:r>
      <w:r w:rsidRPr="004D474A">
        <w:rPr>
          <w:rFonts w:ascii="Aptos" w:eastAsia="MS Mincho" w:hAnsi="Aptos" w:cs="Times New Roman"/>
          <w:kern w:val="0"/>
          <w:sz w:val="21"/>
          <w:szCs w:val="22"/>
          <w14:ligatures w14:val="none"/>
        </w:rPr>
        <w:t xml:space="preserve"> to the general requirement for full and open competition and should be used only when a permitted basis exists and is documented.</w:t>
      </w:r>
    </w:p>
    <w:p w14:paraId="2A35892C" w14:textId="327016F6" w:rsidR="00A16D45" w:rsidRDefault="00A16D45" w:rsidP="004D474A">
      <w:pPr>
        <w:spacing w:after="120" w:line="276" w:lineRule="auto"/>
        <w:rPr>
          <w:rFonts w:ascii="Aptos" w:eastAsia="MS Mincho" w:hAnsi="Aptos" w:cs="Times New Roman"/>
          <w:kern w:val="0"/>
          <w:sz w:val="21"/>
          <w:szCs w:val="22"/>
          <w14:ligatures w14:val="none"/>
        </w:rPr>
      </w:pPr>
      <w:r w:rsidRPr="00A16D45">
        <w:rPr>
          <w:rFonts w:ascii="Aptos" w:eastAsia="MS Mincho" w:hAnsi="Aptos" w:cs="Times New Roman"/>
          <w:b/>
          <w:bCs/>
          <w:kern w:val="0"/>
          <w:sz w:val="21"/>
          <w:szCs w:val="22"/>
          <w14:ligatures w14:val="none"/>
        </w:rPr>
        <w:t>Simplified acquisition thresholds:</w:t>
      </w:r>
      <w:r w:rsidRPr="00A16D45">
        <w:rPr>
          <w:rFonts w:ascii="Aptos" w:eastAsia="MS Mincho" w:hAnsi="Aptos" w:cs="Times New Roman"/>
          <w:kern w:val="0"/>
          <w:sz w:val="21"/>
          <w:szCs w:val="22"/>
          <w14:ligatures w14:val="none"/>
        </w:rPr>
        <w:t xml:space="preserve"> The recipient or subrecipient is responsible for determining an appropriate simplified acquisition threshold based on internal controls, an evaluation of risk, and its documented procurement procedures, which may be lower than, but must not exceed, the threshold established in the FAR.</w:t>
      </w:r>
    </w:p>
    <w:p w14:paraId="73698CBB" w14:textId="39BFE920" w:rsidR="00A16D45" w:rsidRDefault="00A16D45" w:rsidP="00A16D45">
      <w:pPr>
        <w:pStyle w:val="ListParagraph"/>
        <w:numPr>
          <w:ilvl w:val="0"/>
          <w:numId w:val="5"/>
        </w:numPr>
        <w:spacing w:after="120" w:line="276" w:lineRule="auto"/>
        <w:rPr>
          <w:rFonts w:ascii="Aptos" w:eastAsia="MS Mincho" w:hAnsi="Aptos" w:cs="Times New Roman"/>
          <w:kern w:val="0"/>
          <w:sz w:val="21"/>
          <w:szCs w:val="22"/>
          <w14:ligatures w14:val="none"/>
        </w:rPr>
      </w:pPr>
      <w:r w:rsidRPr="00A16D45">
        <w:rPr>
          <w:rFonts w:ascii="Aptos" w:eastAsia="MS Mincho" w:hAnsi="Aptos" w:cs="Times New Roman"/>
          <w:kern w:val="0"/>
          <w:sz w:val="21"/>
          <w:szCs w:val="22"/>
          <w14:ligatures w14:val="none"/>
        </w:rPr>
        <w:t>Current threshold: $350,000</w:t>
      </w:r>
    </w:p>
    <w:p w14:paraId="3A9BFAD0" w14:textId="649434A9" w:rsidR="00560555" w:rsidRPr="00560555" w:rsidRDefault="00560555" w:rsidP="00560555">
      <w:pPr>
        <w:spacing w:after="120" w:line="276" w:lineRule="auto"/>
        <w:rPr>
          <w:rFonts w:ascii="Aptos" w:eastAsia="MS Mincho" w:hAnsi="Aptos" w:cs="Times New Roman"/>
          <w:kern w:val="0"/>
          <w:sz w:val="21"/>
          <w:szCs w:val="22"/>
          <w14:ligatures w14:val="none"/>
        </w:rPr>
      </w:pPr>
      <w:r w:rsidRPr="00560555">
        <w:rPr>
          <w:rFonts w:ascii="Aptos" w:eastAsia="MS Mincho" w:hAnsi="Aptos" w:cs="Times New Roman"/>
          <w:b/>
          <w:bCs/>
          <w:kern w:val="0"/>
          <w:sz w:val="21"/>
          <w:szCs w:val="22"/>
          <w14:ligatures w14:val="none"/>
        </w:rPr>
        <w:t>Prohibited contract types:</w:t>
      </w:r>
      <w:r>
        <w:rPr>
          <w:rFonts w:ascii="Aptos" w:eastAsia="MS Mincho" w:hAnsi="Aptos" w:cs="Times New Roman"/>
          <w:kern w:val="0"/>
          <w:sz w:val="21"/>
          <w:szCs w:val="22"/>
          <w14:ligatures w14:val="none"/>
        </w:rPr>
        <w:t xml:space="preserve"> C</w:t>
      </w:r>
      <w:r w:rsidRPr="00560555">
        <w:rPr>
          <w:rFonts w:ascii="Aptos" w:eastAsia="MS Mincho" w:hAnsi="Aptos" w:cs="Times New Roman"/>
          <w:kern w:val="0"/>
          <w:sz w:val="21"/>
          <w:szCs w:val="22"/>
          <w14:ligatures w14:val="none"/>
        </w:rPr>
        <w:t>ost-plus-percentage-of-cost and percentage-of-construction-cost</w:t>
      </w:r>
      <w:r>
        <w:rPr>
          <w:rFonts w:ascii="Aptos" w:eastAsia="MS Mincho" w:hAnsi="Aptos" w:cs="Times New Roman"/>
          <w:kern w:val="0"/>
          <w:sz w:val="21"/>
          <w:szCs w:val="22"/>
          <w14:ligatures w14:val="none"/>
        </w:rPr>
        <w:t>.</w:t>
      </w:r>
    </w:p>
    <w:p w14:paraId="5D65E50E" w14:textId="6A3C0D1F" w:rsidR="004250A5" w:rsidRPr="004250A5" w:rsidRDefault="004250A5" w:rsidP="004D474A">
      <w:pPr>
        <w:spacing w:after="120" w:line="276" w:lineRule="auto"/>
        <w:rPr>
          <w:rFonts w:ascii="Aptos" w:eastAsia="MS Mincho" w:hAnsi="Aptos" w:cs="Times New Roman"/>
          <w:b/>
          <w:color w:val="0070C0"/>
          <w:kern w:val="0"/>
          <w:sz w:val="26"/>
          <w:szCs w:val="26"/>
          <w14:ligatures w14:val="none"/>
        </w:rPr>
      </w:pPr>
      <w:r w:rsidRPr="004250A5">
        <w:rPr>
          <w:rFonts w:ascii="Aptos" w:eastAsia="MS Gothic" w:hAnsi="Aptos" w:cs="Times New Roman"/>
          <w:b/>
          <w:color w:val="0070C0"/>
          <w:kern w:val="0"/>
          <w:sz w:val="26"/>
          <w:szCs w:val="26"/>
          <w14:ligatures w14:val="none"/>
        </w:rPr>
        <w:t>2</w:t>
      </w:r>
      <w:r w:rsidRPr="004D474A">
        <w:rPr>
          <w:rFonts w:ascii="Aptos" w:eastAsia="MS Gothic" w:hAnsi="Aptos" w:cs="Times New Roman"/>
          <w:b/>
          <w:color w:val="0070C0"/>
          <w:kern w:val="0"/>
          <w:sz w:val="26"/>
          <w:szCs w:val="26"/>
          <w14:ligatures w14:val="none"/>
        </w:rPr>
        <w:t xml:space="preserve">. </w:t>
      </w:r>
      <w:r w:rsidRPr="004250A5">
        <w:rPr>
          <w:rFonts w:ascii="Aptos" w:eastAsia="MS Mincho" w:hAnsi="Aptos" w:cs="Times New Roman"/>
          <w:b/>
          <w:color w:val="0070C0"/>
          <w:kern w:val="0"/>
          <w:sz w:val="26"/>
          <w:szCs w:val="26"/>
          <w14:ligatures w14:val="none"/>
        </w:rPr>
        <w:t>Authorities and applicable regulations</w:t>
      </w:r>
    </w:p>
    <w:p w14:paraId="29407931" w14:textId="3409762C" w:rsidR="00A3404E" w:rsidRDefault="004250A5" w:rsidP="004D474A">
      <w:pPr>
        <w:pStyle w:val="ListParagraph"/>
        <w:numPr>
          <w:ilvl w:val="0"/>
          <w:numId w:val="4"/>
        </w:numPr>
        <w:spacing w:after="120" w:line="276" w:lineRule="auto"/>
        <w:rPr>
          <w:rFonts w:ascii="Aptos" w:eastAsia="MS Mincho" w:hAnsi="Aptos" w:cs="Times New Roman"/>
          <w:kern w:val="0"/>
          <w:sz w:val="21"/>
          <w:szCs w:val="22"/>
          <w14:ligatures w14:val="none"/>
        </w:rPr>
      </w:pPr>
      <w:r w:rsidRPr="00A3404E">
        <w:rPr>
          <w:rFonts w:ascii="Aptos" w:eastAsia="MS Mincho" w:hAnsi="Aptos" w:cs="Times New Roman"/>
          <w:b/>
          <w:bCs/>
          <w:kern w:val="0"/>
          <w:sz w:val="21"/>
          <w:szCs w:val="22"/>
          <w14:ligatures w14:val="none"/>
        </w:rPr>
        <w:t>2</w:t>
      </w:r>
      <w:r w:rsidR="00A3404E">
        <w:rPr>
          <w:rFonts w:ascii="Aptos" w:eastAsia="MS Mincho" w:hAnsi="Aptos" w:cs="Times New Roman"/>
          <w:b/>
          <w:bCs/>
          <w:kern w:val="0"/>
          <w:sz w:val="21"/>
          <w:szCs w:val="22"/>
          <w14:ligatures w14:val="none"/>
        </w:rPr>
        <w:t xml:space="preserve"> </w:t>
      </w:r>
      <w:r w:rsidRPr="00A3404E">
        <w:rPr>
          <w:rFonts w:ascii="Aptos" w:eastAsia="MS Mincho" w:hAnsi="Aptos" w:cs="Times New Roman"/>
          <w:b/>
          <w:bCs/>
          <w:kern w:val="0"/>
          <w:sz w:val="21"/>
          <w:szCs w:val="22"/>
          <w14:ligatures w14:val="none"/>
        </w:rPr>
        <w:t>CFR</w:t>
      </w:r>
      <w:r w:rsidR="00A3404E">
        <w:rPr>
          <w:rFonts w:ascii="Aptos" w:eastAsia="MS Mincho" w:hAnsi="Aptos" w:cs="Times New Roman"/>
          <w:b/>
          <w:bCs/>
          <w:kern w:val="0"/>
          <w:sz w:val="21"/>
          <w:szCs w:val="22"/>
          <w14:ligatures w14:val="none"/>
        </w:rPr>
        <w:t xml:space="preserve"> </w:t>
      </w:r>
      <w:r w:rsidRPr="00A3404E">
        <w:rPr>
          <w:rFonts w:ascii="Aptos" w:eastAsia="MS Mincho" w:hAnsi="Aptos" w:cs="Times New Roman"/>
          <w:b/>
          <w:bCs/>
          <w:kern w:val="0"/>
          <w:sz w:val="21"/>
          <w:szCs w:val="22"/>
          <w14:ligatures w14:val="none"/>
        </w:rPr>
        <w:t>200</w:t>
      </w:r>
      <w:r w:rsidR="00A3404E" w:rsidRPr="00A3404E">
        <w:rPr>
          <w:rFonts w:ascii="Aptos" w:eastAsia="MS Mincho" w:hAnsi="Aptos" w:cs="Times New Roman"/>
          <w:kern w:val="0"/>
          <w:sz w:val="21"/>
          <w:szCs w:val="22"/>
          <w14:ligatures w14:val="none"/>
        </w:rPr>
        <w:t>, specifically 2 CFR 200.317–200.327; 2 CFR part 180 as adopted by DOT through 2 CFR part 1200.</w:t>
      </w:r>
    </w:p>
    <w:p w14:paraId="32CB0324" w14:textId="500B95D2" w:rsidR="00A16D45" w:rsidRPr="00A16D45" w:rsidRDefault="00A16D45" w:rsidP="00A16D45">
      <w:pPr>
        <w:pStyle w:val="ListParagraph"/>
        <w:numPr>
          <w:ilvl w:val="0"/>
          <w:numId w:val="4"/>
        </w:numPr>
        <w:spacing w:after="120" w:line="276" w:lineRule="auto"/>
        <w:rPr>
          <w:rFonts w:ascii="Aptos" w:eastAsia="MS Mincho" w:hAnsi="Aptos" w:cs="Times New Roman"/>
          <w:b/>
          <w:bCs/>
          <w:kern w:val="0"/>
          <w:sz w:val="21"/>
          <w:szCs w:val="22"/>
          <w14:ligatures w14:val="none"/>
        </w:rPr>
      </w:pPr>
      <w:r>
        <w:rPr>
          <w:rFonts w:ascii="Aptos" w:eastAsia="MS Mincho" w:hAnsi="Aptos" w:cs="Times New Roman"/>
          <w:b/>
          <w:bCs/>
          <w:kern w:val="0"/>
          <w:sz w:val="21"/>
          <w:szCs w:val="22"/>
          <w14:ligatures w14:val="none"/>
        </w:rPr>
        <w:t>Federal Acquisition Regulation (FAR) Part 13</w:t>
      </w:r>
    </w:p>
    <w:p w14:paraId="64D7ECE5" w14:textId="3E1B1089" w:rsidR="00A3404E" w:rsidRPr="00A16D45" w:rsidRDefault="004250A5" w:rsidP="00A16D45">
      <w:pPr>
        <w:pStyle w:val="ListParagraph"/>
        <w:numPr>
          <w:ilvl w:val="0"/>
          <w:numId w:val="4"/>
        </w:numPr>
        <w:spacing w:after="120" w:line="276" w:lineRule="auto"/>
        <w:rPr>
          <w:rFonts w:ascii="Aptos" w:eastAsia="MS Mincho" w:hAnsi="Aptos" w:cs="Times New Roman"/>
          <w:kern w:val="0"/>
          <w:sz w:val="21"/>
          <w:szCs w:val="22"/>
          <w14:ligatures w14:val="none"/>
        </w:rPr>
      </w:pPr>
      <w:r w:rsidRPr="00A3404E">
        <w:rPr>
          <w:rFonts w:ascii="Aptos" w:eastAsia="MS Mincho" w:hAnsi="Aptos" w:cs="Times New Roman"/>
          <w:b/>
          <w:bCs/>
          <w:kern w:val="0"/>
          <w:sz w:val="21"/>
          <w:szCs w:val="22"/>
          <w14:ligatures w14:val="none"/>
        </w:rPr>
        <w:t>48 CFR 2.101</w:t>
      </w:r>
    </w:p>
    <w:p w14:paraId="39AC9B48" w14:textId="494ED16F" w:rsidR="004D474A" w:rsidRPr="004D474A" w:rsidRDefault="00A3404E" w:rsidP="004D474A">
      <w:pPr>
        <w:keepNext/>
        <w:keepLines/>
        <w:spacing w:after="120" w:line="276" w:lineRule="auto"/>
        <w:outlineLvl w:val="0"/>
        <w:rPr>
          <w:rFonts w:ascii="Aptos" w:eastAsia="MS Gothic" w:hAnsi="Aptos" w:cs="Times New Roman"/>
          <w:b/>
          <w:color w:val="0070C0"/>
          <w:kern w:val="0"/>
          <w:sz w:val="26"/>
          <w:szCs w:val="28"/>
          <w14:ligatures w14:val="none"/>
        </w:rPr>
      </w:pPr>
      <w:r>
        <w:rPr>
          <w:rFonts w:ascii="Aptos" w:eastAsia="MS Gothic" w:hAnsi="Aptos" w:cs="Times New Roman"/>
          <w:b/>
          <w:color w:val="0070C0"/>
          <w:kern w:val="0"/>
          <w:sz w:val="26"/>
          <w:szCs w:val="28"/>
          <w14:ligatures w14:val="none"/>
        </w:rPr>
        <w:t>3</w:t>
      </w:r>
      <w:r w:rsidR="004D474A" w:rsidRPr="004D474A">
        <w:rPr>
          <w:rFonts w:ascii="Aptos" w:eastAsia="MS Gothic" w:hAnsi="Aptos" w:cs="Times New Roman"/>
          <w:b/>
          <w:color w:val="0070C0"/>
          <w:kern w:val="0"/>
          <w:sz w:val="26"/>
          <w:szCs w:val="28"/>
          <w14:ligatures w14:val="none"/>
        </w:rPr>
        <w:t>. Which rules apply to which recipient?</w:t>
      </w:r>
    </w:p>
    <w:tbl>
      <w:tblPr>
        <w:tblW w:w="0" w:type="auto"/>
        <w:jc w:val="center"/>
        <w:tblBorders>
          <w:top w:val="single" w:sz="7" w:space="0" w:color="B7C9D9"/>
          <w:left w:val="single" w:sz="7" w:space="0" w:color="B7C9D9"/>
          <w:bottom w:val="single" w:sz="7" w:space="0" w:color="B7C9D9"/>
          <w:right w:val="single" w:sz="7" w:space="0" w:color="B7C9D9"/>
          <w:insideH w:val="single" w:sz="7" w:space="0" w:color="B7C9D9"/>
          <w:insideV w:val="single" w:sz="7" w:space="0" w:color="B7C9D9"/>
        </w:tblBorders>
        <w:tblLayout w:type="fixed"/>
        <w:tblLook w:val="04A0" w:firstRow="1" w:lastRow="0" w:firstColumn="1" w:lastColumn="0" w:noHBand="0" w:noVBand="1"/>
      </w:tblPr>
      <w:tblGrid>
        <w:gridCol w:w="2592"/>
        <w:gridCol w:w="3312"/>
        <w:gridCol w:w="4032"/>
      </w:tblGrid>
      <w:tr w:rsidR="004D474A" w:rsidRPr="004D474A" w14:paraId="08B77D21" w14:textId="77777777" w:rsidTr="00D67F17">
        <w:trPr>
          <w:jc w:val="center"/>
        </w:trPr>
        <w:tc>
          <w:tcPr>
            <w:tcW w:w="2592" w:type="dxa"/>
            <w:shd w:val="clear" w:color="auto" w:fill="DCEAF7"/>
            <w:tcMar>
              <w:top w:w="80" w:type="dxa"/>
              <w:left w:w="100" w:type="dxa"/>
              <w:bottom w:w="80" w:type="dxa"/>
              <w:right w:w="100" w:type="dxa"/>
            </w:tcMar>
          </w:tcPr>
          <w:p w14:paraId="2DCDF6E5" w14:textId="77777777" w:rsidR="004D474A" w:rsidRPr="004D474A" w:rsidRDefault="004D474A" w:rsidP="004D474A">
            <w:pPr>
              <w:spacing w:after="200" w:line="276" w:lineRule="auto"/>
              <w:rPr>
                <w:rFonts w:ascii="Aptos" w:eastAsia="MS Mincho" w:hAnsi="Aptos" w:cs="Times New Roman"/>
                <w:kern w:val="0"/>
                <w:sz w:val="21"/>
                <w:szCs w:val="22"/>
                <w14:ligatures w14:val="none"/>
              </w:rPr>
            </w:pPr>
            <w:r w:rsidRPr="004D474A">
              <w:rPr>
                <w:rFonts w:ascii="Aptos" w:eastAsia="MS Mincho" w:hAnsi="Aptos" w:cs="Times New Roman"/>
                <w:b/>
                <w:kern w:val="0"/>
                <w:sz w:val="21"/>
                <w:szCs w:val="22"/>
                <w14:ligatures w14:val="none"/>
              </w:rPr>
              <w:t>Recipient type</w:t>
            </w:r>
          </w:p>
        </w:tc>
        <w:tc>
          <w:tcPr>
            <w:tcW w:w="3312" w:type="dxa"/>
            <w:shd w:val="clear" w:color="auto" w:fill="DCEAF7"/>
            <w:tcMar>
              <w:top w:w="80" w:type="dxa"/>
              <w:left w:w="100" w:type="dxa"/>
              <w:bottom w:w="80" w:type="dxa"/>
              <w:right w:w="100" w:type="dxa"/>
            </w:tcMar>
          </w:tcPr>
          <w:p w14:paraId="51856B95" w14:textId="77777777" w:rsidR="004D474A" w:rsidRPr="004D474A" w:rsidRDefault="004D474A" w:rsidP="004D474A">
            <w:pPr>
              <w:spacing w:after="200" w:line="276" w:lineRule="auto"/>
              <w:rPr>
                <w:rFonts w:ascii="Aptos" w:eastAsia="MS Mincho" w:hAnsi="Aptos" w:cs="Times New Roman"/>
                <w:kern w:val="0"/>
                <w:sz w:val="21"/>
                <w:szCs w:val="22"/>
                <w14:ligatures w14:val="none"/>
              </w:rPr>
            </w:pPr>
            <w:r w:rsidRPr="004D474A">
              <w:rPr>
                <w:rFonts w:ascii="Aptos" w:eastAsia="MS Mincho" w:hAnsi="Aptos" w:cs="Times New Roman"/>
                <w:b/>
                <w:kern w:val="0"/>
                <w:sz w:val="21"/>
                <w:szCs w:val="22"/>
                <w14:ligatures w14:val="none"/>
              </w:rPr>
              <w:t>Primary rule</w:t>
            </w:r>
          </w:p>
        </w:tc>
        <w:tc>
          <w:tcPr>
            <w:tcW w:w="4032" w:type="dxa"/>
            <w:shd w:val="clear" w:color="auto" w:fill="DCEAF7"/>
            <w:tcMar>
              <w:top w:w="80" w:type="dxa"/>
              <w:left w:w="100" w:type="dxa"/>
              <w:bottom w:w="80" w:type="dxa"/>
              <w:right w:w="100" w:type="dxa"/>
            </w:tcMar>
          </w:tcPr>
          <w:p w14:paraId="067D1C68" w14:textId="77777777" w:rsidR="004D474A" w:rsidRPr="004D474A" w:rsidRDefault="004D474A" w:rsidP="004D474A">
            <w:pPr>
              <w:spacing w:after="200" w:line="276" w:lineRule="auto"/>
              <w:rPr>
                <w:rFonts w:ascii="Aptos" w:eastAsia="MS Mincho" w:hAnsi="Aptos" w:cs="Times New Roman"/>
                <w:kern w:val="0"/>
                <w:sz w:val="21"/>
                <w:szCs w:val="22"/>
                <w14:ligatures w14:val="none"/>
              </w:rPr>
            </w:pPr>
            <w:r w:rsidRPr="004D474A">
              <w:rPr>
                <w:rFonts w:ascii="Aptos" w:eastAsia="MS Mincho" w:hAnsi="Aptos" w:cs="Times New Roman"/>
                <w:b/>
                <w:kern w:val="0"/>
                <w:sz w:val="21"/>
                <w:szCs w:val="22"/>
                <w14:ligatures w14:val="none"/>
              </w:rPr>
              <w:t>Important note</w:t>
            </w:r>
          </w:p>
        </w:tc>
      </w:tr>
      <w:tr w:rsidR="004D474A" w:rsidRPr="004D474A" w14:paraId="3F810454" w14:textId="77777777" w:rsidTr="00D67F17">
        <w:trPr>
          <w:jc w:val="center"/>
        </w:trPr>
        <w:tc>
          <w:tcPr>
            <w:tcW w:w="2592" w:type="dxa"/>
            <w:tcMar>
              <w:top w:w="80" w:type="dxa"/>
              <w:left w:w="100" w:type="dxa"/>
              <w:bottom w:w="80" w:type="dxa"/>
              <w:right w:w="100" w:type="dxa"/>
            </w:tcMar>
            <w:vAlign w:val="center"/>
          </w:tcPr>
          <w:p w14:paraId="02480913" w14:textId="77777777" w:rsidR="004D474A" w:rsidRPr="004D474A" w:rsidRDefault="004D474A" w:rsidP="004D474A">
            <w:pPr>
              <w:spacing w:after="0" w:line="276" w:lineRule="auto"/>
              <w:rPr>
                <w:rFonts w:ascii="Aptos" w:eastAsia="MS Mincho" w:hAnsi="Aptos" w:cs="Times New Roman"/>
                <w:kern w:val="0"/>
                <w:sz w:val="21"/>
                <w:szCs w:val="22"/>
                <w14:ligatures w14:val="none"/>
              </w:rPr>
            </w:pPr>
            <w:r w:rsidRPr="004D474A">
              <w:rPr>
                <w:rFonts w:ascii="Aptos" w:eastAsia="MS Mincho" w:hAnsi="Aptos" w:cs="Times New Roman"/>
                <w:kern w:val="0"/>
                <w:sz w:val="21"/>
                <w:szCs w:val="22"/>
                <w14:ligatures w14:val="none"/>
              </w:rPr>
              <w:t>State or Indian Tribe</w:t>
            </w:r>
          </w:p>
        </w:tc>
        <w:tc>
          <w:tcPr>
            <w:tcW w:w="3312" w:type="dxa"/>
            <w:tcMar>
              <w:top w:w="80" w:type="dxa"/>
              <w:left w:w="100" w:type="dxa"/>
              <w:bottom w:w="80" w:type="dxa"/>
              <w:right w:w="100" w:type="dxa"/>
            </w:tcMar>
            <w:vAlign w:val="center"/>
          </w:tcPr>
          <w:p w14:paraId="2090C637" w14:textId="77777777" w:rsidR="004D474A" w:rsidRPr="004D474A" w:rsidRDefault="004D474A" w:rsidP="004D474A">
            <w:pPr>
              <w:spacing w:after="0" w:line="276" w:lineRule="auto"/>
              <w:rPr>
                <w:rFonts w:ascii="Aptos" w:eastAsia="MS Mincho" w:hAnsi="Aptos" w:cs="Times New Roman"/>
                <w:kern w:val="0"/>
                <w:sz w:val="21"/>
                <w:szCs w:val="22"/>
                <w14:ligatures w14:val="none"/>
              </w:rPr>
            </w:pPr>
            <w:r w:rsidRPr="004D474A">
              <w:rPr>
                <w:rFonts w:ascii="Aptos" w:eastAsia="MS Mincho" w:hAnsi="Aptos" w:cs="Times New Roman"/>
                <w:kern w:val="0"/>
                <w:sz w:val="21"/>
                <w:szCs w:val="22"/>
                <w14:ligatures w14:val="none"/>
              </w:rPr>
              <w:t>2 CFR 200.317</w:t>
            </w:r>
          </w:p>
        </w:tc>
        <w:tc>
          <w:tcPr>
            <w:tcW w:w="4032" w:type="dxa"/>
            <w:tcMar>
              <w:top w:w="80" w:type="dxa"/>
              <w:left w:w="100" w:type="dxa"/>
              <w:bottom w:w="80" w:type="dxa"/>
              <w:right w:w="100" w:type="dxa"/>
            </w:tcMar>
            <w:vAlign w:val="center"/>
          </w:tcPr>
          <w:p w14:paraId="6D10FB2E" w14:textId="77777777" w:rsidR="004D474A" w:rsidRPr="004D474A" w:rsidRDefault="004D474A" w:rsidP="004D474A">
            <w:pPr>
              <w:spacing w:after="0" w:line="276" w:lineRule="auto"/>
              <w:rPr>
                <w:rFonts w:ascii="Aptos" w:eastAsia="MS Mincho" w:hAnsi="Aptos" w:cs="Times New Roman"/>
                <w:kern w:val="0"/>
                <w:sz w:val="21"/>
                <w:szCs w:val="22"/>
                <w14:ligatures w14:val="none"/>
              </w:rPr>
            </w:pPr>
            <w:r w:rsidRPr="004D474A">
              <w:rPr>
                <w:rFonts w:ascii="Aptos" w:eastAsia="MS Mincho" w:hAnsi="Aptos" w:cs="Times New Roman"/>
                <w:kern w:val="0"/>
                <w:sz w:val="21"/>
                <w:szCs w:val="22"/>
                <w14:ligatures w14:val="none"/>
              </w:rPr>
              <w:t>Use own procurement procedures for non-Federal funds, but still comply with 2 CFR 200.321, 200.322, 200.323, and 200.327; if no own procedures exist, follow 2 CFR 200.318–200.327.</w:t>
            </w:r>
          </w:p>
        </w:tc>
      </w:tr>
      <w:tr w:rsidR="004D474A" w:rsidRPr="004D474A" w14:paraId="6A960A30" w14:textId="77777777" w:rsidTr="00D67F17">
        <w:trPr>
          <w:jc w:val="center"/>
        </w:trPr>
        <w:tc>
          <w:tcPr>
            <w:tcW w:w="2592" w:type="dxa"/>
            <w:tcMar>
              <w:top w:w="80" w:type="dxa"/>
              <w:left w:w="100" w:type="dxa"/>
              <w:bottom w:w="80" w:type="dxa"/>
              <w:right w:w="100" w:type="dxa"/>
            </w:tcMar>
            <w:vAlign w:val="center"/>
          </w:tcPr>
          <w:p w14:paraId="538FE4A7" w14:textId="77777777" w:rsidR="004D474A" w:rsidRPr="004D474A" w:rsidRDefault="004D474A" w:rsidP="004D474A">
            <w:pPr>
              <w:spacing w:after="0" w:line="276" w:lineRule="auto"/>
              <w:rPr>
                <w:rFonts w:ascii="Aptos" w:eastAsia="MS Mincho" w:hAnsi="Aptos" w:cs="Times New Roman"/>
                <w:kern w:val="0"/>
                <w:sz w:val="21"/>
                <w:szCs w:val="22"/>
                <w14:ligatures w14:val="none"/>
              </w:rPr>
            </w:pPr>
            <w:r w:rsidRPr="004D474A">
              <w:rPr>
                <w:rFonts w:ascii="Aptos" w:eastAsia="MS Mincho" w:hAnsi="Aptos" w:cs="Times New Roman"/>
                <w:kern w:val="0"/>
                <w:sz w:val="21"/>
                <w:szCs w:val="22"/>
                <w14:ligatures w14:val="none"/>
              </w:rPr>
              <w:t>All other recipients and subrecipients</w:t>
            </w:r>
          </w:p>
        </w:tc>
        <w:tc>
          <w:tcPr>
            <w:tcW w:w="3312" w:type="dxa"/>
            <w:tcMar>
              <w:top w:w="80" w:type="dxa"/>
              <w:left w:w="100" w:type="dxa"/>
              <w:bottom w:w="80" w:type="dxa"/>
              <w:right w:w="100" w:type="dxa"/>
            </w:tcMar>
            <w:vAlign w:val="center"/>
          </w:tcPr>
          <w:p w14:paraId="5243C836" w14:textId="77777777" w:rsidR="004D474A" w:rsidRPr="004D474A" w:rsidRDefault="004D474A" w:rsidP="004D474A">
            <w:pPr>
              <w:spacing w:after="0" w:line="276" w:lineRule="auto"/>
              <w:rPr>
                <w:rFonts w:ascii="Aptos" w:eastAsia="MS Mincho" w:hAnsi="Aptos" w:cs="Times New Roman"/>
                <w:kern w:val="0"/>
                <w:sz w:val="21"/>
                <w:szCs w:val="22"/>
                <w14:ligatures w14:val="none"/>
              </w:rPr>
            </w:pPr>
            <w:r w:rsidRPr="004D474A">
              <w:rPr>
                <w:rFonts w:ascii="Aptos" w:eastAsia="MS Mincho" w:hAnsi="Aptos" w:cs="Times New Roman"/>
                <w:kern w:val="0"/>
                <w:sz w:val="21"/>
                <w:szCs w:val="22"/>
                <w14:ligatures w14:val="none"/>
              </w:rPr>
              <w:t>2 CFR 200.318–200.327</w:t>
            </w:r>
          </w:p>
        </w:tc>
        <w:tc>
          <w:tcPr>
            <w:tcW w:w="4032" w:type="dxa"/>
            <w:tcMar>
              <w:top w:w="80" w:type="dxa"/>
              <w:left w:w="100" w:type="dxa"/>
              <w:bottom w:w="80" w:type="dxa"/>
              <w:right w:w="100" w:type="dxa"/>
            </w:tcMar>
            <w:vAlign w:val="center"/>
          </w:tcPr>
          <w:p w14:paraId="0D64AEE4" w14:textId="77777777" w:rsidR="004D474A" w:rsidRPr="004D474A" w:rsidRDefault="004D474A" w:rsidP="004D474A">
            <w:pPr>
              <w:spacing w:after="0" w:line="276" w:lineRule="auto"/>
              <w:rPr>
                <w:rFonts w:ascii="Aptos" w:eastAsia="MS Mincho" w:hAnsi="Aptos" w:cs="Times New Roman"/>
                <w:kern w:val="0"/>
                <w:sz w:val="21"/>
                <w:szCs w:val="22"/>
                <w14:ligatures w14:val="none"/>
              </w:rPr>
            </w:pPr>
            <w:r w:rsidRPr="004D474A">
              <w:rPr>
                <w:rFonts w:ascii="Aptos" w:eastAsia="MS Mincho" w:hAnsi="Aptos" w:cs="Times New Roman"/>
                <w:kern w:val="0"/>
                <w:sz w:val="21"/>
                <w:szCs w:val="22"/>
                <w14:ligatures w14:val="none"/>
              </w:rPr>
              <w:t>Must maintain documented procurement procedures consistent with applicable law and Uniform Guidance.</w:t>
            </w:r>
          </w:p>
        </w:tc>
      </w:tr>
    </w:tbl>
    <w:p w14:paraId="2E81649E" w14:textId="77777777" w:rsidR="004D474A" w:rsidRPr="004D474A" w:rsidRDefault="004D474A" w:rsidP="004D474A">
      <w:pPr>
        <w:spacing w:after="60" w:line="276" w:lineRule="auto"/>
        <w:rPr>
          <w:rFonts w:ascii="Aptos" w:eastAsia="MS Mincho" w:hAnsi="Aptos" w:cs="Times New Roman"/>
          <w:kern w:val="0"/>
          <w:sz w:val="21"/>
          <w:szCs w:val="22"/>
          <w14:ligatures w14:val="none"/>
        </w:rPr>
      </w:pPr>
    </w:p>
    <w:p w14:paraId="57B83CE0" w14:textId="0188D725" w:rsidR="004D474A" w:rsidRPr="004D474A" w:rsidRDefault="00A3404E" w:rsidP="004D474A">
      <w:pPr>
        <w:keepNext/>
        <w:keepLines/>
        <w:spacing w:after="120" w:line="276" w:lineRule="auto"/>
        <w:outlineLvl w:val="0"/>
        <w:rPr>
          <w:rFonts w:ascii="Aptos" w:eastAsia="MS Gothic" w:hAnsi="Aptos" w:cs="Times New Roman"/>
          <w:b/>
          <w:bCs/>
          <w:color w:val="17365D"/>
          <w:kern w:val="0"/>
          <w:sz w:val="26"/>
          <w:szCs w:val="28"/>
          <w14:ligatures w14:val="none"/>
        </w:rPr>
      </w:pPr>
      <w:r>
        <w:rPr>
          <w:rFonts w:ascii="Aptos" w:eastAsia="MS Gothic" w:hAnsi="Aptos" w:cs="Times New Roman"/>
          <w:b/>
          <w:color w:val="0070C0"/>
          <w:kern w:val="0"/>
          <w:sz w:val="26"/>
          <w:szCs w:val="28"/>
          <w14:ligatures w14:val="none"/>
        </w:rPr>
        <w:lastRenderedPageBreak/>
        <w:t>4</w:t>
      </w:r>
      <w:r w:rsidR="004D474A" w:rsidRPr="004D474A">
        <w:rPr>
          <w:rFonts w:ascii="Aptos" w:eastAsia="MS Gothic" w:hAnsi="Aptos" w:cs="Times New Roman"/>
          <w:b/>
          <w:color w:val="0070C0"/>
          <w:kern w:val="0"/>
          <w:sz w:val="26"/>
          <w:szCs w:val="28"/>
          <w14:ligatures w14:val="none"/>
        </w:rPr>
        <w:t>. Permissible bas</w:t>
      </w:r>
      <w:r w:rsidR="001E71B1">
        <w:rPr>
          <w:rFonts w:ascii="Aptos" w:eastAsia="MS Gothic" w:hAnsi="Aptos" w:cs="Times New Roman"/>
          <w:b/>
          <w:color w:val="0070C0"/>
          <w:kern w:val="0"/>
          <w:sz w:val="26"/>
          <w:szCs w:val="28"/>
          <w14:ligatures w14:val="none"/>
        </w:rPr>
        <w:t>e</w:t>
      </w:r>
      <w:r w:rsidR="004D474A" w:rsidRPr="004D474A">
        <w:rPr>
          <w:rFonts w:ascii="Aptos" w:eastAsia="MS Gothic" w:hAnsi="Aptos" w:cs="Times New Roman"/>
          <w:b/>
          <w:color w:val="0070C0"/>
          <w:kern w:val="0"/>
          <w:sz w:val="26"/>
          <w:szCs w:val="28"/>
          <w14:ligatures w14:val="none"/>
        </w:rPr>
        <w:t>s for noncompetitive procurement</w:t>
      </w:r>
    </w:p>
    <w:tbl>
      <w:tblPr>
        <w:tblW w:w="10701" w:type="dxa"/>
        <w:jc w:val="center"/>
        <w:tblBorders>
          <w:top w:val="single" w:sz="7" w:space="0" w:color="B7C9D9"/>
          <w:left w:val="single" w:sz="7" w:space="0" w:color="B7C9D9"/>
          <w:bottom w:val="single" w:sz="7" w:space="0" w:color="B7C9D9"/>
          <w:right w:val="single" w:sz="7" w:space="0" w:color="B7C9D9"/>
          <w:insideH w:val="single" w:sz="7" w:space="0" w:color="B7C9D9"/>
          <w:insideV w:val="single" w:sz="7" w:space="0" w:color="B7C9D9"/>
        </w:tblBorders>
        <w:tblLayout w:type="fixed"/>
        <w:tblLook w:val="04A0" w:firstRow="1" w:lastRow="0" w:firstColumn="1" w:lastColumn="0" w:noHBand="0" w:noVBand="1"/>
      </w:tblPr>
      <w:tblGrid>
        <w:gridCol w:w="864"/>
        <w:gridCol w:w="3168"/>
        <w:gridCol w:w="6669"/>
      </w:tblGrid>
      <w:tr w:rsidR="004D474A" w:rsidRPr="004D474A" w14:paraId="518F0F03" w14:textId="77777777" w:rsidTr="000F3472">
        <w:trPr>
          <w:jc w:val="center"/>
        </w:trPr>
        <w:tc>
          <w:tcPr>
            <w:tcW w:w="864" w:type="dxa"/>
            <w:shd w:val="clear" w:color="auto" w:fill="DCEAF7"/>
            <w:tcMar>
              <w:top w:w="80" w:type="dxa"/>
              <w:left w:w="100" w:type="dxa"/>
              <w:bottom w:w="80" w:type="dxa"/>
              <w:right w:w="100" w:type="dxa"/>
            </w:tcMar>
          </w:tcPr>
          <w:p w14:paraId="520445C0" w14:textId="77777777" w:rsidR="004D474A" w:rsidRPr="004D474A" w:rsidRDefault="004D474A" w:rsidP="004D474A">
            <w:pPr>
              <w:spacing w:after="200" w:line="276" w:lineRule="auto"/>
              <w:rPr>
                <w:rFonts w:ascii="Aptos" w:eastAsia="MS Mincho" w:hAnsi="Aptos" w:cs="Times New Roman"/>
                <w:kern w:val="0"/>
                <w:sz w:val="21"/>
                <w:szCs w:val="22"/>
                <w14:ligatures w14:val="none"/>
              </w:rPr>
            </w:pPr>
            <w:r w:rsidRPr="004D474A">
              <w:rPr>
                <w:rFonts w:ascii="Aptos" w:eastAsia="MS Mincho" w:hAnsi="Aptos" w:cs="Times New Roman"/>
                <w:b/>
                <w:kern w:val="0"/>
                <w:sz w:val="21"/>
                <w:szCs w:val="22"/>
                <w14:ligatures w14:val="none"/>
              </w:rPr>
              <w:t>#</w:t>
            </w:r>
          </w:p>
        </w:tc>
        <w:tc>
          <w:tcPr>
            <w:tcW w:w="3168" w:type="dxa"/>
            <w:shd w:val="clear" w:color="auto" w:fill="DCEAF7"/>
            <w:tcMar>
              <w:top w:w="80" w:type="dxa"/>
              <w:left w:w="100" w:type="dxa"/>
              <w:bottom w:w="80" w:type="dxa"/>
              <w:right w:w="100" w:type="dxa"/>
            </w:tcMar>
          </w:tcPr>
          <w:p w14:paraId="08F4B191" w14:textId="77777777" w:rsidR="004D474A" w:rsidRPr="004D474A" w:rsidRDefault="004D474A" w:rsidP="004D474A">
            <w:pPr>
              <w:spacing w:after="200" w:line="276" w:lineRule="auto"/>
              <w:rPr>
                <w:rFonts w:ascii="Aptos" w:eastAsia="MS Mincho" w:hAnsi="Aptos" w:cs="Times New Roman"/>
                <w:kern w:val="0"/>
                <w:sz w:val="21"/>
                <w:szCs w:val="22"/>
                <w14:ligatures w14:val="none"/>
              </w:rPr>
            </w:pPr>
            <w:r w:rsidRPr="004D474A">
              <w:rPr>
                <w:rFonts w:ascii="Aptos" w:eastAsia="MS Mincho" w:hAnsi="Aptos" w:cs="Times New Roman"/>
                <w:b/>
                <w:kern w:val="0"/>
                <w:sz w:val="21"/>
                <w:szCs w:val="22"/>
                <w14:ligatures w14:val="none"/>
              </w:rPr>
              <w:t>Permissible basis</w:t>
            </w:r>
          </w:p>
        </w:tc>
        <w:tc>
          <w:tcPr>
            <w:tcW w:w="6669" w:type="dxa"/>
            <w:shd w:val="clear" w:color="auto" w:fill="DCEAF7"/>
            <w:tcMar>
              <w:top w:w="80" w:type="dxa"/>
              <w:left w:w="100" w:type="dxa"/>
              <w:bottom w:w="80" w:type="dxa"/>
              <w:right w:w="100" w:type="dxa"/>
            </w:tcMar>
          </w:tcPr>
          <w:p w14:paraId="2E4CC0D9" w14:textId="77777777" w:rsidR="004D474A" w:rsidRPr="004D474A" w:rsidRDefault="004D474A" w:rsidP="004D474A">
            <w:pPr>
              <w:spacing w:after="200" w:line="276" w:lineRule="auto"/>
              <w:rPr>
                <w:rFonts w:ascii="Aptos" w:eastAsia="MS Mincho" w:hAnsi="Aptos" w:cs="Times New Roman"/>
                <w:kern w:val="0"/>
                <w:sz w:val="21"/>
                <w:szCs w:val="22"/>
                <w14:ligatures w14:val="none"/>
              </w:rPr>
            </w:pPr>
            <w:r w:rsidRPr="004D474A">
              <w:rPr>
                <w:rFonts w:ascii="Aptos" w:eastAsia="MS Mincho" w:hAnsi="Aptos" w:cs="Times New Roman"/>
                <w:b/>
                <w:kern w:val="0"/>
                <w:sz w:val="21"/>
                <w:szCs w:val="22"/>
                <w14:ligatures w14:val="none"/>
              </w:rPr>
              <w:t>What the file should show</w:t>
            </w:r>
          </w:p>
        </w:tc>
      </w:tr>
      <w:tr w:rsidR="004D474A" w:rsidRPr="004D474A" w14:paraId="2DB3B900" w14:textId="77777777" w:rsidTr="000F3472">
        <w:trPr>
          <w:jc w:val="center"/>
        </w:trPr>
        <w:tc>
          <w:tcPr>
            <w:tcW w:w="864" w:type="dxa"/>
            <w:tcMar>
              <w:top w:w="80" w:type="dxa"/>
              <w:left w:w="100" w:type="dxa"/>
              <w:bottom w:w="80" w:type="dxa"/>
              <w:right w:w="100" w:type="dxa"/>
            </w:tcMar>
          </w:tcPr>
          <w:p w14:paraId="783FB92F" w14:textId="77777777" w:rsidR="004D474A" w:rsidRPr="004D474A" w:rsidRDefault="004D474A" w:rsidP="004D474A">
            <w:pPr>
              <w:spacing w:after="0" w:line="276" w:lineRule="auto"/>
              <w:jc w:val="center"/>
              <w:rPr>
                <w:rFonts w:ascii="Aptos" w:eastAsia="MS Mincho" w:hAnsi="Aptos" w:cs="Times New Roman"/>
                <w:kern w:val="0"/>
                <w:sz w:val="21"/>
                <w:szCs w:val="22"/>
                <w14:ligatures w14:val="none"/>
              </w:rPr>
            </w:pPr>
            <w:r w:rsidRPr="004D474A">
              <w:rPr>
                <w:rFonts w:ascii="Aptos" w:eastAsia="MS Mincho" w:hAnsi="Aptos" w:cs="Times New Roman"/>
                <w:kern w:val="0"/>
                <w:sz w:val="21"/>
                <w:szCs w:val="22"/>
                <w14:ligatures w14:val="none"/>
              </w:rPr>
              <w:t>1</w:t>
            </w:r>
          </w:p>
        </w:tc>
        <w:tc>
          <w:tcPr>
            <w:tcW w:w="3168" w:type="dxa"/>
            <w:tcMar>
              <w:top w:w="80" w:type="dxa"/>
              <w:left w:w="100" w:type="dxa"/>
              <w:bottom w:w="80" w:type="dxa"/>
              <w:right w:w="100" w:type="dxa"/>
            </w:tcMar>
          </w:tcPr>
          <w:p w14:paraId="0C312693" w14:textId="77777777" w:rsidR="004D474A" w:rsidRDefault="004D474A" w:rsidP="004D474A">
            <w:pPr>
              <w:spacing w:after="0" w:line="276" w:lineRule="auto"/>
              <w:rPr>
                <w:rFonts w:ascii="Aptos" w:eastAsia="MS Mincho" w:hAnsi="Aptos" w:cs="Times New Roman"/>
                <w:kern w:val="0"/>
                <w:sz w:val="21"/>
                <w:szCs w:val="22"/>
                <w14:ligatures w14:val="none"/>
              </w:rPr>
            </w:pPr>
            <w:r w:rsidRPr="004D474A">
              <w:rPr>
                <w:rFonts w:ascii="Aptos" w:eastAsia="MS Mincho" w:hAnsi="Aptos" w:cs="Times New Roman"/>
                <w:kern w:val="0"/>
                <w:sz w:val="21"/>
                <w:szCs w:val="22"/>
                <w14:ligatures w14:val="none"/>
              </w:rPr>
              <w:t>Micro-purchase, where applicable</w:t>
            </w:r>
          </w:p>
          <w:p w14:paraId="3FB02AC6" w14:textId="5557E2F0" w:rsidR="00E535D6" w:rsidRPr="004D474A" w:rsidRDefault="00E535D6" w:rsidP="004D474A">
            <w:pPr>
              <w:spacing w:after="0" w:line="276" w:lineRule="auto"/>
              <w:rPr>
                <w:rFonts w:ascii="Aptos" w:eastAsia="MS Mincho" w:hAnsi="Aptos" w:cs="Times New Roman"/>
                <w:kern w:val="0"/>
                <w:sz w:val="21"/>
                <w:szCs w:val="22"/>
                <w14:ligatures w14:val="none"/>
              </w:rPr>
            </w:pPr>
            <w:r>
              <w:rPr>
                <w:rFonts w:ascii="Aptos" w:eastAsia="MS Mincho" w:hAnsi="Aptos" w:cs="Times New Roman"/>
                <w:kern w:val="0"/>
                <w:sz w:val="21"/>
                <w:szCs w:val="22"/>
                <w14:ligatures w14:val="none"/>
              </w:rPr>
              <w:t>Current threshold: $15,000</w:t>
            </w:r>
          </w:p>
        </w:tc>
        <w:tc>
          <w:tcPr>
            <w:tcW w:w="6669" w:type="dxa"/>
            <w:tcMar>
              <w:top w:w="80" w:type="dxa"/>
              <w:left w:w="100" w:type="dxa"/>
              <w:bottom w:w="80" w:type="dxa"/>
              <w:right w:w="100" w:type="dxa"/>
            </w:tcMar>
          </w:tcPr>
          <w:p w14:paraId="6465BA94" w14:textId="4AF1242D" w:rsidR="004D474A" w:rsidRPr="004D474A" w:rsidRDefault="00F171E6" w:rsidP="004D474A">
            <w:pPr>
              <w:spacing w:after="0" w:line="276" w:lineRule="auto"/>
              <w:rPr>
                <w:rFonts w:ascii="Aptos" w:eastAsia="MS Mincho" w:hAnsi="Aptos" w:cs="Times New Roman"/>
                <w:kern w:val="0"/>
                <w:sz w:val="21"/>
                <w:szCs w:val="22"/>
                <w14:ligatures w14:val="none"/>
              </w:rPr>
            </w:pPr>
            <w:r>
              <w:rPr>
                <w:rFonts w:ascii="Aptos" w:eastAsia="MS Mincho" w:hAnsi="Aptos" w:cs="Times New Roman"/>
                <w:kern w:val="0"/>
                <w:sz w:val="21"/>
                <w:szCs w:val="22"/>
                <w14:ligatures w14:val="none"/>
              </w:rPr>
              <w:t>T</w:t>
            </w:r>
            <w:r w:rsidR="004D474A" w:rsidRPr="004D474A">
              <w:rPr>
                <w:rFonts w:ascii="Aptos" w:eastAsia="MS Mincho" w:hAnsi="Aptos" w:cs="Times New Roman"/>
                <w:kern w:val="0"/>
                <w:sz w:val="21"/>
                <w:szCs w:val="22"/>
                <w14:ligatures w14:val="none"/>
              </w:rPr>
              <w:t>he micro-purchase threshold that applies to the organization and why this action qualifies. Verify current threshold treatment under 2 CFR 200.320(a)(1) before relying on this basis.</w:t>
            </w:r>
          </w:p>
        </w:tc>
      </w:tr>
      <w:tr w:rsidR="004D474A" w:rsidRPr="004D474A" w14:paraId="14E292EE" w14:textId="77777777" w:rsidTr="000F3472">
        <w:trPr>
          <w:jc w:val="center"/>
        </w:trPr>
        <w:tc>
          <w:tcPr>
            <w:tcW w:w="864" w:type="dxa"/>
            <w:tcMar>
              <w:top w:w="80" w:type="dxa"/>
              <w:left w:w="100" w:type="dxa"/>
              <w:bottom w:w="80" w:type="dxa"/>
              <w:right w:w="100" w:type="dxa"/>
            </w:tcMar>
          </w:tcPr>
          <w:p w14:paraId="62CD0ACB" w14:textId="77777777" w:rsidR="004D474A" w:rsidRPr="004D474A" w:rsidRDefault="004D474A" w:rsidP="004D474A">
            <w:pPr>
              <w:spacing w:after="0" w:line="276" w:lineRule="auto"/>
              <w:jc w:val="center"/>
              <w:rPr>
                <w:rFonts w:ascii="Aptos" w:eastAsia="MS Mincho" w:hAnsi="Aptos" w:cs="Times New Roman"/>
                <w:kern w:val="0"/>
                <w:sz w:val="21"/>
                <w:szCs w:val="22"/>
                <w14:ligatures w14:val="none"/>
              </w:rPr>
            </w:pPr>
            <w:r w:rsidRPr="004D474A">
              <w:rPr>
                <w:rFonts w:ascii="Aptos" w:eastAsia="MS Mincho" w:hAnsi="Aptos" w:cs="Times New Roman"/>
                <w:kern w:val="0"/>
                <w:sz w:val="21"/>
                <w:szCs w:val="22"/>
                <w14:ligatures w14:val="none"/>
              </w:rPr>
              <w:t>2</w:t>
            </w:r>
          </w:p>
        </w:tc>
        <w:tc>
          <w:tcPr>
            <w:tcW w:w="3168" w:type="dxa"/>
            <w:tcMar>
              <w:top w:w="80" w:type="dxa"/>
              <w:left w:w="100" w:type="dxa"/>
              <w:bottom w:w="80" w:type="dxa"/>
              <w:right w:w="100" w:type="dxa"/>
            </w:tcMar>
          </w:tcPr>
          <w:p w14:paraId="6F23E6C2" w14:textId="77777777" w:rsidR="004D474A" w:rsidRPr="004D474A" w:rsidRDefault="004D474A" w:rsidP="004D474A">
            <w:pPr>
              <w:spacing w:after="0" w:line="276" w:lineRule="auto"/>
              <w:rPr>
                <w:rFonts w:ascii="Aptos" w:eastAsia="MS Mincho" w:hAnsi="Aptos" w:cs="Times New Roman"/>
                <w:kern w:val="0"/>
                <w:sz w:val="21"/>
                <w:szCs w:val="22"/>
                <w14:ligatures w14:val="none"/>
              </w:rPr>
            </w:pPr>
            <w:r w:rsidRPr="004D474A">
              <w:rPr>
                <w:rFonts w:ascii="Aptos" w:eastAsia="MS Mincho" w:hAnsi="Aptos" w:cs="Times New Roman"/>
                <w:kern w:val="0"/>
                <w:sz w:val="21"/>
                <w:szCs w:val="22"/>
                <w14:ligatures w14:val="none"/>
              </w:rPr>
              <w:t>Item or service is available only from one source</w:t>
            </w:r>
          </w:p>
        </w:tc>
        <w:tc>
          <w:tcPr>
            <w:tcW w:w="6669" w:type="dxa"/>
            <w:tcMar>
              <w:top w:w="80" w:type="dxa"/>
              <w:left w:w="100" w:type="dxa"/>
              <w:bottom w:w="80" w:type="dxa"/>
              <w:right w:w="100" w:type="dxa"/>
            </w:tcMar>
          </w:tcPr>
          <w:p w14:paraId="4F589896" w14:textId="77777777" w:rsidR="004D474A" w:rsidRPr="004D474A" w:rsidRDefault="004D474A" w:rsidP="004D474A">
            <w:pPr>
              <w:spacing w:after="0" w:line="276" w:lineRule="auto"/>
              <w:rPr>
                <w:rFonts w:ascii="Aptos" w:eastAsia="MS Mincho" w:hAnsi="Aptos" w:cs="Times New Roman"/>
                <w:kern w:val="0"/>
                <w:sz w:val="21"/>
                <w:szCs w:val="22"/>
                <w14:ligatures w14:val="none"/>
              </w:rPr>
            </w:pPr>
            <w:r w:rsidRPr="004D474A">
              <w:rPr>
                <w:rFonts w:ascii="Aptos" w:eastAsia="MS Mincho" w:hAnsi="Aptos" w:cs="Times New Roman"/>
                <w:kern w:val="0"/>
                <w:sz w:val="21"/>
                <w:szCs w:val="22"/>
                <w14:ligatures w14:val="none"/>
              </w:rPr>
              <w:t>Document market research, proprietary/compatibility facts, intellectual property limitations, or other evidence showing true single-source availability.</w:t>
            </w:r>
          </w:p>
        </w:tc>
      </w:tr>
      <w:tr w:rsidR="004D474A" w:rsidRPr="004D474A" w14:paraId="48291B90" w14:textId="77777777" w:rsidTr="000F3472">
        <w:trPr>
          <w:jc w:val="center"/>
        </w:trPr>
        <w:tc>
          <w:tcPr>
            <w:tcW w:w="864" w:type="dxa"/>
            <w:tcMar>
              <w:top w:w="80" w:type="dxa"/>
              <w:left w:w="100" w:type="dxa"/>
              <w:bottom w:w="80" w:type="dxa"/>
              <w:right w:w="100" w:type="dxa"/>
            </w:tcMar>
          </w:tcPr>
          <w:p w14:paraId="532B5F2B" w14:textId="77777777" w:rsidR="004D474A" w:rsidRPr="004D474A" w:rsidRDefault="004D474A" w:rsidP="004D474A">
            <w:pPr>
              <w:spacing w:after="0" w:line="276" w:lineRule="auto"/>
              <w:jc w:val="center"/>
              <w:rPr>
                <w:rFonts w:ascii="Aptos" w:eastAsia="MS Mincho" w:hAnsi="Aptos" w:cs="Times New Roman"/>
                <w:kern w:val="0"/>
                <w:sz w:val="21"/>
                <w:szCs w:val="22"/>
                <w14:ligatures w14:val="none"/>
              </w:rPr>
            </w:pPr>
            <w:r w:rsidRPr="004D474A">
              <w:rPr>
                <w:rFonts w:ascii="Aptos" w:eastAsia="MS Mincho" w:hAnsi="Aptos" w:cs="Times New Roman"/>
                <w:kern w:val="0"/>
                <w:sz w:val="21"/>
                <w:szCs w:val="22"/>
                <w14:ligatures w14:val="none"/>
              </w:rPr>
              <w:t>3</w:t>
            </w:r>
          </w:p>
        </w:tc>
        <w:tc>
          <w:tcPr>
            <w:tcW w:w="3168" w:type="dxa"/>
            <w:tcMar>
              <w:top w:w="80" w:type="dxa"/>
              <w:left w:w="100" w:type="dxa"/>
              <w:bottom w:w="80" w:type="dxa"/>
              <w:right w:w="100" w:type="dxa"/>
            </w:tcMar>
          </w:tcPr>
          <w:p w14:paraId="41EEE2FE" w14:textId="77777777" w:rsidR="004D474A" w:rsidRPr="004D474A" w:rsidRDefault="004D474A" w:rsidP="004D474A">
            <w:pPr>
              <w:spacing w:after="0" w:line="276" w:lineRule="auto"/>
              <w:rPr>
                <w:rFonts w:ascii="Aptos" w:eastAsia="MS Mincho" w:hAnsi="Aptos" w:cs="Times New Roman"/>
                <w:kern w:val="0"/>
                <w:sz w:val="21"/>
                <w:szCs w:val="22"/>
                <w14:ligatures w14:val="none"/>
              </w:rPr>
            </w:pPr>
            <w:r w:rsidRPr="004D474A">
              <w:rPr>
                <w:rFonts w:ascii="Aptos" w:eastAsia="MS Mincho" w:hAnsi="Aptos" w:cs="Times New Roman"/>
                <w:kern w:val="0"/>
                <w:sz w:val="21"/>
                <w:szCs w:val="22"/>
                <w14:ligatures w14:val="none"/>
              </w:rPr>
              <w:t>Public exigency or emergency</w:t>
            </w:r>
          </w:p>
        </w:tc>
        <w:tc>
          <w:tcPr>
            <w:tcW w:w="6669" w:type="dxa"/>
            <w:tcMar>
              <w:top w:w="80" w:type="dxa"/>
              <w:left w:w="100" w:type="dxa"/>
              <w:bottom w:w="80" w:type="dxa"/>
              <w:right w:w="100" w:type="dxa"/>
            </w:tcMar>
          </w:tcPr>
          <w:p w14:paraId="0486F31C" w14:textId="5F433E49" w:rsidR="004D474A" w:rsidRPr="004D474A" w:rsidRDefault="00F171E6" w:rsidP="004D474A">
            <w:pPr>
              <w:spacing w:after="0" w:line="276" w:lineRule="auto"/>
              <w:rPr>
                <w:rFonts w:ascii="Aptos" w:eastAsia="MS Mincho" w:hAnsi="Aptos" w:cs="Times New Roman"/>
                <w:kern w:val="0"/>
                <w:sz w:val="21"/>
                <w:szCs w:val="22"/>
                <w14:ligatures w14:val="none"/>
              </w:rPr>
            </w:pPr>
            <w:r>
              <w:rPr>
                <w:rFonts w:ascii="Aptos" w:eastAsia="MS Mincho" w:hAnsi="Aptos" w:cs="Times New Roman"/>
                <w:kern w:val="0"/>
                <w:sz w:val="21"/>
                <w:szCs w:val="22"/>
                <w14:ligatures w14:val="none"/>
              </w:rPr>
              <w:t>Document</w:t>
            </w:r>
            <w:r w:rsidR="004D474A" w:rsidRPr="004D474A">
              <w:rPr>
                <w:rFonts w:ascii="Aptos" w:eastAsia="MS Mincho" w:hAnsi="Aptos" w:cs="Times New Roman"/>
                <w:kern w:val="0"/>
                <w:sz w:val="21"/>
                <w:szCs w:val="22"/>
                <w14:ligatures w14:val="none"/>
              </w:rPr>
              <w:t xml:space="preserve"> the exigency or emergency, why delay from competition is unacceptable, and why the scope is limited to what </w:t>
            </w:r>
            <w:proofErr w:type="gramStart"/>
            <w:r w:rsidR="004D474A" w:rsidRPr="004D474A">
              <w:rPr>
                <w:rFonts w:ascii="Aptos" w:eastAsia="MS Mincho" w:hAnsi="Aptos" w:cs="Times New Roman"/>
                <w:kern w:val="0"/>
                <w:sz w:val="21"/>
                <w:szCs w:val="22"/>
                <w14:ligatures w14:val="none"/>
              </w:rPr>
              <w:t>the urgent</w:t>
            </w:r>
            <w:proofErr w:type="gramEnd"/>
            <w:r w:rsidR="004D474A" w:rsidRPr="004D474A">
              <w:rPr>
                <w:rFonts w:ascii="Aptos" w:eastAsia="MS Mincho" w:hAnsi="Aptos" w:cs="Times New Roman"/>
                <w:kern w:val="0"/>
                <w:sz w:val="21"/>
                <w:szCs w:val="22"/>
                <w14:ligatures w14:val="none"/>
              </w:rPr>
              <w:t xml:space="preserve"> need requires.</w:t>
            </w:r>
          </w:p>
        </w:tc>
      </w:tr>
      <w:tr w:rsidR="004D474A" w:rsidRPr="004D474A" w14:paraId="2B6B9BF6" w14:textId="77777777" w:rsidTr="000F3472">
        <w:trPr>
          <w:jc w:val="center"/>
        </w:trPr>
        <w:tc>
          <w:tcPr>
            <w:tcW w:w="864" w:type="dxa"/>
            <w:tcMar>
              <w:top w:w="80" w:type="dxa"/>
              <w:left w:w="100" w:type="dxa"/>
              <w:bottom w:w="80" w:type="dxa"/>
              <w:right w:w="100" w:type="dxa"/>
            </w:tcMar>
          </w:tcPr>
          <w:p w14:paraId="6C134B76" w14:textId="77777777" w:rsidR="004D474A" w:rsidRPr="004D474A" w:rsidRDefault="004D474A" w:rsidP="004D474A">
            <w:pPr>
              <w:spacing w:after="0" w:line="276" w:lineRule="auto"/>
              <w:jc w:val="center"/>
              <w:rPr>
                <w:rFonts w:ascii="Aptos" w:eastAsia="MS Mincho" w:hAnsi="Aptos" w:cs="Times New Roman"/>
                <w:kern w:val="0"/>
                <w:sz w:val="21"/>
                <w:szCs w:val="22"/>
                <w14:ligatures w14:val="none"/>
              </w:rPr>
            </w:pPr>
            <w:r w:rsidRPr="004D474A">
              <w:rPr>
                <w:rFonts w:ascii="Aptos" w:eastAsia="MS Mincho" w:hAnsi="Aptos" w:cs="Times New Roman"/>
                <w:kern w:val="0"/>
                <w:sz w:val="21"/>
                <w:szCs w:val="22"/>
                <w14:ligatures w14:val="none"/>
              </w:rPr>
              <w:t>4</w:t>
            </w:r>
          </w:p>
        </w:tc>
        <w:tc>
          <w:tcPr>
            <w:tcW w:w="3168" w:type="dxa"/>
            <w:tcMar>
              <w:top w:w="80" w:type="dxa"/>
              <w:left w:w="100" w:type="dxa"/>
              <w:bottom w:w="80" w:type="dxa"/>
              <w:right w:w="100" w:type="dxa"/>
            </w:tcMar>
          </w:tcPr>
          <w:p w14:paraId="3B42DA24" w14:textId="77777777" w:rsidR="004D474A" w:rsidRPr="004D474A" w:rsidRDefault="004D474A" w:rsidP="004D474A">
            <w:pPr>
              <w:spacing w:after="0" w:line="276" w:lineRule="auto"/>
              <w:rPr>
                <w:rFonts w:ascii="Aptos" w:eastAsia="MS Mincho" w:hAnsi="Aptos" w:cs="Times New Roman"/>
                <w:kern w:val="0"/>
                <w:sz w:val="21"/>
                <w:szCs w:val="22"/>
                <w14:ligatures w14:val="none"/>
              </w:rPr>
            </w:pPr>
            <w:r w:rsidRPr="004D474A">
              <w:rPr>
                <w:rFonts w:ascii="Aptos" w:eastAsia="MS Mincho" w:hAnsi="Aptos" w:cs="Times New Roman"/>
                <w:kern w:val="0"/>
                <w:sz w:val="21"/>
                <w:szCs w:val="22"/>
                <w14:ligatures w14:val="none"/>
              </w:rPr>
              <w:t>Express written Federal authorization</w:t>
            </w:r>
          </w:p>
        </w:tc>
        <w:tc>
          <w:tcPr>
            <w:tcW w:w="6669" w:type="dxa"/>
            <w:tcMar>
              <w:top w:w="80" w:type="dxa"/>
              <w:left w:w="100" w:type="dxa"/>
              <w:bottom w:w="80" w:type="dxa"/>
              <w:right w:w="100" w:type="dxa"/>
            </w:tcMar>
          </w:tcPr>
          <w:p w14:paraId="0EB75CB1" w14:textId="06C9BF3A" w:rsidR="004D474A" w:rsidRPr="004D474A" w:rsidRDefault="00F171E6" w:rsidP="004D474A">
            <w:pPr>
              <w:spacing w:after="0" w:line="276" w:lineRule="auto"/>
              <w:rPr>
                <w:rFonts w:ascii="Aptos" w:eastAsia="MS Mincho" w:hAnsi="Aptos" w:cs="Times New Roman"/>
                <w:kern w:val="0"/>
                <w:sz w:val="21"/>
                <w:szCs w:val="22"/>
                <w14:ligatures w14:val="none"/>
              </w:rPr>
            </w:pPr>
            <w:r>
              <w:rPr>
                <w:rFonts w:ascii="Aptos" w:eastAsia="MS Mincho" w:hAnsi="Aptos" w:cs="Times New Roman"/>
                <w:kern w:val="0"/>
                <w:sz w:val="21"/>
                <w:szCs w:val="22"/>
                <w14:ligatures w14:val="none"/>
              </w:rPr>
              <w:t>The w</w:t>
            </w:r>
            <w:r w:rsidR="004D474A" w:rsidRPr="004D474A">
              <w:rPr>
                <w:rFonts w:ascii="Aptos" w:eastAsia="MS Mincho" w:hAnsi="Aptos" w:cs="Times New Roman"/>
                <w:kern w:val="0"/>
                <w:sz w:val="21"/>
                <w:szCs w:val="22"/>
                <w14:ligatures w14:val="none"/>
              </w:rPr>
              <w:t>ritten authorization from the Federal agency or pass-through entity in the file and tie it to the specific procurement action.</w:t>
            </w:r>
          </w:p>
        </w:tc>
      </w:tr>
      <w:tr w:rsidR="004D474A" w:rsidRPr="004D474A" w14:paraId="42FB81D3" w14:textId="77777777" w:rsidTr="000F3472">
        <w:trPr>
          <w:jc w:val="center"/>
        </w:trPr>
        <w:tc>
          <w:tcPr>
            <w:tcW w:w="864" w:type="dxa"/>
            <w:tcMar>
              <w:top w:w="80" w:type="dxa"/>
              <w:left w:w="100" w:type="dxa"/>
              <w:bottom w:w="80" w:type="dxa"/>
              <w:right w:w="100" w:type="dxa"/>
            </w:tcMar>
          </w:tcPr>
          <w:p w14:paraId="5A4B05E8" w14:textId="77777777" w:rsidR="004D474A" w:rsidRPr="004D474A" w:rsidRDefault="004D474A" w:rsidP="004D474A">
            <w:pPr>
              <w:spacing w:after="0" w:line="276" w:lineRule="auto"/>
              <w:jc w:val="center"/>
              <w:rPr>
                <w:rFonts w:ascii="Aptos" w:eastAsia="MS Mincho" w:hAnsi="Aptos" w:cs="Times New Roman"/>
                <w:kern w:val="0"/>
                <w:sz w:val="21"/>
                <w:szCs w:val="22"/>
                <w14:ligatures w14:val="none"/>
              </w:rPr>
            </w:pPr>
            <w:r w:rsidRPr="004D474A">
              <w:rPr>
                <w:rFonts w:ascii="Aptos" w:eastAsia="MS Mincho" w:hAnsi="Aptos" w:cs="Times New Roman"/>
                <w:kern w:val="0"/>
                <w:sz w:val="21"/>
                <w:szCs w:val="22"/>
                <w14:ligatures w14:val="none"/>
              </w:rPr>
              <w:t>5</w:t>
            </w:r>
          </w:p>
        </w:tc>
        <w:tc>
          <w:tcPr>
            <w:tcW w:w="3168" w:type="dxa"/>
            <w:tcMar>
              <w:top w:w="80" w:type="dxa"/>
              <w:left w:w="100" w:type="dxa"/>
              <w:bottom w:w="80" w:type="dxa"/>
              <w:right w:w="100" w:type="dxa"/>
            </w:tcMar>
          </w:tcPr>
          <w:p w14:paraId="0B2E7172" w14:textId="77777777" w:rsidR="004D474A" w:rsidRPr="004D474A" w:rsidRDefault="004D474A" w:rsidP="004D474A">
            <w:pPr>
              <w:spacing w:after="0" w:line="276" w:lineRule="auto"/>
              <w:rPr>
                <w:rFonts w:ascii="Aptos" w:eastAsia="MS Mincho" w:hAnsi="Aptos" w:cs="Times New Roman"/>
                <w:kern w:val="0"/>
                <w:sz w:val="21"/>
                <w:szCs w:val="22"/>
                <w14:ligatures w14:val="none"/>
              </w:rPr>
            </w:pPr>
            <w:r w:rsidRPr="004D474A">
              <w:rPr>
                <w:rFonts w:ascii="Aptos" w:eastAsia="MS Mincho" w:hAnsi="Aptos" w:cs="Times New Roman"/>
                <w:kern w:val="0"/>
                <w:sz w:val="21"/>
                <w:szCs w:val="22"/>
                <w14:ligatures w14:val="none"/>
              </w:rPr>
              <w:t>Competition inadequate after soliciting several sources</w:t>
            </w:r>
          </w:p>
        </w:tc>
        <w:tc>
          <w:tcPr>
            <w:tcW w:w="6669" w:type="dxa"/>
            <w:tcMar>
              <w:top w:w="80" w:type="dxa"/>
              <w:left w:w="100" w:type="dxa"/>
              <w:bottom w:w="80" w:type="dxa"/>
              <w:right w:w="100" w:type="dxa"/>
            </w:tcMar>
          </w:tcPr>
          <w:p w14:paraId="0FC2E5ED" w14:textId="77777777" w:rsidR="004D474A" w:rsidRPr="004D474A" w:rsidRDefault="004D474A" w:rsidP="004D474A">
            <w:pPr>
              <w:spacing w:after="0" w:line="276" w:lineRule="auto"/>
              <w:rPr>
                <w:rFonts w:ascii="Aptos" w:eastAsia="MS Mincho" w:hAnsi="Aptos" w:cs="Times New Roman"/>
                <w:kern w:val="0"/>
                <w:sz w:val="21"/>
                <w:szCs w:val="22"/>
                <w14:ligatures w14:val="none"/>
              </w:rPr>
            </w:pPr>
            <w:r w:rsidRPr="004D474A">
              <w:rPr>
                <w:rFonts w:ascii="Aptos" w:eastAsia="MS Mincho" w:hAnsi="Aptos" w:cs="Times New Roman"/>
                <w:kern w:val="0"/>
                <w:sz w:val="21"/>
                <w:szCs w:val="22"/>
                <w14:ligatures w14:val="none"/>
              </w:rPr>
              <w:t>Document the solicitation effort, responses received, and why competition was inadequate despite a reasonable attempt to compete.</w:t>
            </w:r>
          </w:p>
        </w:tc>
      </w:tr>
    </w:tbl>
    <w:p w14:paraId="0A4C1F46" w14:textId="37106E8D" w:rsidR="004D474A" w:rsidRPr="004D474A" w:rsidRDefault="004D474A" w:rsidP="004D474A">
      <w:pPr>
        <w:spacing w:after="120" w:line="276" w:lineRule="auto"/>
        <w:rPr>
          <w:rFonts w:ascii="Aptos" w:eastAsia="MS Mincho" w:hAnsi="Aptos" w:cs="Times New Roman"/>
          <w:i/>
          <w:color w:val="666666"/>
          <w:kern w:val="0"/>
          <w:sz w:val="18"/>
          <w:szCs w:val="22"/>
          <w14:ligatures w14:val="none"/>
        </w:rPr>
      </w:pPr>
      <w:r w:rsidRPr="004D474A">
        <w:rPr>
          <w:rFonts w:ascii="Aptos" w:eastAsia="MS Mincho" w:hAnsi="Aptos" w:cs="Times New Roman"/>
          <w:i/>
          <w:color w:val="666666"/>
          <w:kern w:val="0"/>
          <w:sz w:val="18"/>
          <w:szCs w:val="22"/>
          <w14:ligatures w14:val="none"/>
        </w:rPr>
        <w:t>Threshold note: the FAR simplified acquisition threshold is currently $350,000, and the micro-purchase threshold rules are more nuanced than a blanket $50,000 cap. Recipients should document the threshold applicable to their organization and award before proceeding.</w:t>
      </w:r>
    </w:p>
    <w:p w14:paraId="18CC9473" w14:textId="071C0E05" w:rsidR="004D474A" w:rsidRPr="004D474A" w:rsidRDefault="00A3404E" w:rsidP="004D474A">
      <w:pPr>
        <w:keepNext/>
        <w:keepLines/>
        <w:spacing w:after="120" w:line="276" w:lineRule="auto"/>
        <w:outlineLvl w:val="0"/>
        <w:rPr>
          <w:rFonts w:ascii="Aptos" w:eastAsia="MS Gothic" w:hAnsi="Aptos" w:cs="Times New Roman"/>
          <w:b/>
          <w:color w:val="0070C0"/>
          <w:kern w:val="0"/>
          <w:sz w:val="26"/>
          <w:szCs w:val="28"/>
          <w14:ligatures w14:val="none"/>
        </w:rPr>
      </w:pPr>
      <w:bookmarkStart w:id="1" w:name="_Hlk227090182"/>
      <w:r>
        <w:rPr>
          <w:rFonts w:ascii="Aptos" w:eastAsia="MS Gothic" w:hAnsi="Aptos" w:cs="Times New Roman"/>
          <w:b/>
          <w:color w:val="0070C0"/>
          <w:kern w:val="0"/>
          <w:sz w:val="26"/>
          <w:szCs w:val="28"/>
          <w14:ligatures w14:val="none"/>
        </w:rPr>
        <w:t>5</w:t>
      </w:r>
      <w:r w:rsidR="004D474A" w:rsidRPr="004D474A">
        <w:rPr>
          <w:rFonts w:ascii="Aptos" w:eastAsia="MS Gothic" w:hAnsi="Aptos" w:cs="Times New Roman"/>
          <w:b/>
          <w:color w:val="0070C0"/>
          <w:kern w:val="0"/>
          <w:sz w:val="26"/>
          <w:szCs w:val="28"/>
          <w14:ligatures w14:val="none"/>
        </w:rPr>
        <w:t xml:space="preserve">. </w:t>
      </w:r>
      <w:r w:rsidR="00212D99">
        <w:rPr>
          <w:rFonts w:ascii="Aptos" w:eastAsia="MS Gothic" w:hAnsi="Aptos" w:cs="Times New Roman"/>
          <w:b/>
          <w:color w:val="0070C0"/>
          <w:kern w:val="0"/>
          <w:sz w:val="26"/>
          <w:szCs w:val="28"/>
          <w14:ligatures w14:val="none"/>
        </w:rPr>
        <w:t xml:space="preserve">Sole Source </w:t>
      </w:r>
      <w:r w:rsidR="004D474A" w:rsidRPr="004D474A">
        <w:rPr>
          <w:rFonts w:ascii="Aptos" w:eastAsia="MS Gothic" w:hAnsi="Aptos" w:cs="Times New Roman"/>
          <w:b/>
          <w:color w:val="0070C0"/>
          <w:kern w:val="0"/>
          <w:sz w:val="26"/>
          <w:szCs w:val="28"/>
          <w14:ligatures w14:val="none"/>
        </w:rPr>
        <w:t xml:space="preserve">Justification </w:t>
      </w:r>
      <w:r w:rsidR="00975DC6">
        <w:rPr>
          <w:rFonts w:ascii="Aptos" w:eastAsia="MS Gothic" w:hAnsi="Aptos" w:cs="Times New Roman"/>
          <w:b/>
          <w:color w:val="0070C0"/>
          <w:kern w:val="0"/>
          <w:sz w:val="26"/>
          <w:szCs w:val="28"/>
          <w14:ligatures w14:val="none"/>
        </w:rPr>
        <w:t>C</w:t>
      </w:r>
      <w:r w:rsidR="004D474A" w:rsidRPr="004D474A">
        <w:rPr>
          <w:rFonts w:ascii="Aptos" w:eastAsia="MS Gothic" w:hAnsi="Aptos" w:cs="Times New Roman"/>
          <w:b/>
          <w:color w:val="0070C0"/>
          <w:kern w:val="0"/>
          <w:sz w:val="26"/>
          <w:szCs w:val="28"/>
          <w14:ligatures w14:val="none"/>
        </w:rPr>
        <w:t>ontents</w:t>
      </w:r>
      <w:r w:rsidR="00D94AFC">
        <w:rPr>
          <w:rFonts w:ascii="Aptos" w:eastAsia="MS Gothic" w:hAnsi="Aptos" w:cs="Times New Roman"/>
          <w:b/>
          <w:color w:val="0070C0"/>
          <w:kern w:val="0"/>
          <w:sz w:val="26"/>
          <w:szCs w:val="28"/>
          <w14:ligatures w14:val="none"/>
        </w:rPr>
        <w:t xml:space="preserve"> checklist</w:t>
      </w:r>
    </w:p>
    <w:bookmarkEnd w:id="1"/>
    <w:p w14:paraId="5013CA7F" w14:textId="2837633B" w:rsidR="004D474A" w:rsidRDefault="004D474A" w:rsidP="004D474A">
      <w:pPr>
        <w:pStyle w:val="ListParagraph"/>
        <w:numPr>
          <w:ilvl w:val="0"/>
          <w:numId w:val="2"/>
        </w:numPr>
        <w:tabs>
          <w:tab w:val="num" w:pos="360"/>
        </w:tabs>
        <w:spacing w:after="20" w:line="276" w:lineRule="auto"/>
        <w:rPr>
          <w:rFonts w:ascii="Aptos" w:eastAsia="MS Mincho" w:hAnsi="Aptos" w:cs="Times New Roman"/>
          <w:kern w:val="0"/>
          <w:sz w:val="21"/>
          <w:szCs w:val="22"/>
          <w14:ligatures w14:val="none"/>
        </w:rPr>
      </w:pPr>
      <w:r w:rsidRPr="004D474A">
        <w:rPr>
          <w:rFonts w:ascii="Aptos" w:eastAsia="MS Mincho" w:hAnsi="Aptos" w:cs="Times New Roman"/>
          <w:kern w:val="0"/>
          <w:sz w:val="21"/>
          <w:szCs w:val="22"/>
          <w14:ligatures w14:val="none"/>
        </w:rPr>
        <w:t>Recipient information: Organization type, Award number, Project title</w:t>
      </w:r>
      <w:r w:rsidR="00A460A1">
        <w:rPr>
          <w:rFonts w:ascii="Aptos" w:eastAsia="MS Mincho" w:hAnsi="Aptos" w:cs="Times New Roman"/>
          <w:kern w:val="0"/>
          <w:sz w:val="21"/>
          <w:szCs w:val="22"/>
          <w14:ligatures w14:val="none"/>
        </w:rPr>
        <w:t>, Award amount</w:t>
      </w:r>
    </w:p>
    <w:p w14:paraId="750F4C99" w14:textId="77777777" w:rsidR="004D474A" w:rsidRDefault="004D474A" w:rsidP="004D474A">
      <w:pPr>
        <w:pStyle w:val="ListParagraph"/>
        <w:numPr>
          <w:ilvl w:val="0"/>
          <w:numId w:val="2"/>
        </w:numPr>
        <w:tabs>
          <w:tab w:val="num" w:pos="360"/>
        </w:tabs>
        <w:spacing w:after="20" w:line="276" w:lineRule="auto"/>
        <w:rPr>
          <w:rFonts w:ascii="Aptos" w:eastAsia="MS Mincho" w:hAnsi="Aptos" w:cs="Times New Roman"/>
          <w:kern w:val="0"/>
          <w:sz w:val="21"/>
          <w:szCs w:val="22"/>
          <w14:ligatures w14:val="none"/>
        </w:rPr>
      </w:pPr>
      <w:r w:rsidRPr="004D474A">
        <w:rPr>
          <w:rFonts w:ascii="Aptos" w:eastAsia="MS Mincho" w:hAnsi="Aptos" w:cs="Times New Roman"/>
          <w:kern w:val="0"/>
          <w:sz w:val="21"/>
          <w:szCs w:val="22"/>
          <w14:ligatures w14:val="none"/>
        </w:rPr>
        <w:t>Intended procurement method per 2CFR200.320 (informal procurement methods for micro-purchases and simplified acquisitions, formal procurement/competitive methods through sealed bids or proposals, and noncompetitive procurement methods.</w:t>
      </w:r>
    </w:p>
    <w:p w14:paraId="2938311B" w14:textId="77777777" w:rsidR="004D474A" w:rsidRDefault="004D474A" w:rsidP="004D474A">
      <w:pPr>
        <w:pStyle w:val="ListParagraph"/>
        <w:numPr>
          <w:ilvl w:val="0"/>
          <w:numId w:val="2"/>
        </w:numPr>
        <w:tabs>
          <w:tab w:val="num" w:pos="360"/>
        </w:tabs>
        <w:spacing w:after="20" w:line="276" w:lineRule="auto"/>
        <w:rPr>
          <w:rFonts w:ascii="Aptos" w:eastAsia="MS Mincho" w:hAnsi="Aptos" w:cs="Times New Roman"/>
          <w:kern w:val="0"/>
          <w:sz w:val="21"/>
          <w:szCs w:val="22"/>
          <w14:ligatures w14:val="none"/>
        </w:rPr>
      </w:pPr>
      <w:r w:rsidRPr="004D474A">
        <w:rPr>
          <w:rFonts w:ascii="Aptos" w:eastAsia="MS Mincho" w:hAnsi="Aptos" w:cs="Times New Roman"/>
          <w:kern w:val="0"/>
          <w:sz w:val="21"/>
          <w:szCs w:val="22"/>
          <w14:ligatures w14:val="none"/>
        </w:rPr>
        <w:t>Contractor information, contract value, funding source, and proposed procurement/contract type.</w:t>
      </w:r>
    </w:p>
    <w:p w14:paraId="3875025C" w14:textId="77777777" w:rsidR="004D474A" w:rsidRDefault="004D474A" w:rsidP="004D474A">
      <w:pPr>
        <w:pStyle w:val="ListParagraph"/>
        <w:numPr>
          <w:ilvl w:val="0"/>
          <w:numId w:val="2"/>
        </w:numPr>
        <w:tabs>
          <w:tab w:val="num" w:pos="360"/>
        </w:tabs>
        <w:spacing w:after="20" w:line="276" w:lineRule="auto"/>
        <w:rPr>
          <w:rFonts w:ascii="Aptos" w:eastAsia="MS Mincho" w:hAnsi="Aptos" w:cs="Times New Roman"/>
          <w:kern w:val="0"/>
          <w:sz w:val="21"/>
          <w:szCs w:val="22"/>
          <w14:ligatures w14:val="none"/>
        </w:rPr>
      </w:pPr>
      <w:r w:rsidRPr="004D474A">
        <w:rPr>
          <w:rFonts w:ascii="Aptos" w:eastAsia="MS Mincho" w:hAnsi="Aptos" w:cs="Times New Roman"/>
          <w:kern w:val="0"/>
          <w:sz w:val="21"/>
          <w:szCs w:val="22"/>
          <w14:ligatures w14:val="none"/>
        </w:rPr>
        <w:t>Statement of work / scope and period of performance.</w:t>
      </w:r>
    </w:p>
    <w:p w14:paraId="7D3E3824" w14:textId="59CCFF7C" w:rsidR="004D474A" w:rsidRDefault="008D5449" w:rsidP="004D474A">
      <w:pPr>
        <w:pStyle w:val="ListParagraph"/>
        <w:numPr>
          <w:ilvl w:val="0"/>
          <w:numId w:val="2"/>
        </w:numPr>
        <w:tabs>
          <w:tab w:val="num" w:pos="360"/>
        </w:tabs>
        <w:spacing w:after="20" w:line="276" w:lineRule="auto"/>
        <w:rPr>
          <w:rFonts w:ascii="Aptos" w:eastAsia="MS Mincho" w:hAnsi="Aptos" w:cs="Times New Roman"/>
          <w:kern w:val="0"/>
          <w:sz w:val="21"/>
          <w:szCs w:val="22"/>
          <w14:ligatures w14:val="none"/>
        </w:rPr>
      </w:pPr>
      <w:r>
        <w:rPr>
          <w:rFonts w:ascii="Aptos" w:eastAsia="MS Mincho" w:hAnsi="Aptos" w:cs="Times New Roman"/>
          <w:kern w:val="0"/>
          <w:sz w:val="21"/>
          <w:szCs w:val="22"/>
          <w14:ligatures w14:val="none"/>
        </w:rPr>
        <w:t>Identify the s</w:t>
      </w:r>
      <w:r w:rsidR="004D474A" w:rsidRPr="004D474A">
        <w:rPr>
          <w:rFonts w:ascii="Aptos" w:eastAsia="MS Mincho" w:hAnsi="Aptos" w:cs="Times New Roman"/>
          <w:kern w:val="0"/>
          <w:sz w:val="21"/>
          <w:szCs w:val="22"/>
          <w14:ligatures w14:val="none"/>
        </w:rPr>
        <w:t>pecific regulatory basis for using noncompetitive procurement under 2 CFR 200.320(c)</w:t>
      </w:r>
      <w:r>
        <w:rPr>
          <w:rFonts w:ascii="Aptos" w:eastAsia="MS Mincho" w:hAnsi="Aptos" w:cs="Times New Roman"/>
          <w:kern w:val="0"/>
          <w:sz w:val="21"/>
          <w:szCs w:val="22"/>
          <w14:ligatures w14:val="none"/>
        </w:rPr>
        <w:t xml:space="preserve"> and justification.</w:t>
      </w:r>
    </w:p>
    <w:p w14:paraId="29FBA268" w14:textId="2B55A907" w:rsidR="004D474A" w:rsidRDefault="004D474A" w:rsidP="004D474A">
      <w:pPr>
        <w:pStyle w:val="ListParagraph"/>
        <w:numPr>
          <w:ilvl w:val="0"/>
          <w:numId w:val="2"/>
        </w:numPr>
        <w:tabs>
          <w:tab w:val="num" w:pos="360"/>
        </w:tabs>
        <w:spacing w:after="20" w:line="276" w:lineRule="auto"/>
        <w:rPr>
          <w:rFonts w:ascii="Aptos" w:eastAsia="MS Mincho" w:hAnsi="Aptos" w:cs="Times New Roman"/>
          <w:kern w:val="0"/>
          <w:sz w:val="21"/>
          <w:szCs w:val="22"/>
          <w14:ligatures w14:val="none"/>
        </w:rPr>
      </w:pPr>
      <w:r w:rsidRPr="004D474A">
        <w:rPr>
          <w:rFonts w:ascii="Aptos" w:eastAsia="MS Mincho" w:hAnsi="Aptos" w:cs="Times New Roman"/>
          <w:kern w:val="0"/>
          <w:sz w:val="21"/>
          <w:szCs w:val="22"/>
          <w14:ligatures w14:val="none"/>
        </w:rPr>
        <w:t>Independent estimate and cost or price analysis, plus support for fair and reasonable pricing.</w:t>
      </w:r>
    </w:p>
    <w:p w14:paraId="2F8A15E6" w14:textId="77777777" w:rsidR="004D474A" w:rsidRDefault="004D474A" w:rsidP="004D474A">
      <w:pPr>
        <w:pStyle w:val="ListParagraph"/>
        <w:numPr>
          <w:ilvl w:val="0"/>
          <w:numId w:val="2"/>
        </w:numPr>
        <w:tabs>
          <w:tab w:val="num" w:pos="360"/>
        </w:tabs>
        <w:spacing w:after="20" w:line="276" w:lineRule="auto"/>
        <w:rPr>
          <w:rFonts w:ascii="Aptos" w:eastAsia="MS Mincho" w:hAnsi="Aptos" w:cs="Times New Roman"/>
          <w:kern w:val="0"/>
          <w:sz w:val="21"/>
          <w:szCs w:val="22"/>
          <w14:ligatures w14:val="none"/>
        </w:rPr>
      </w:pPr>
      <w:r w:rsidRPr="004D474A">
        <w:rPr>
          <w:rFonts w:ascii="Aptos" w:eastAsia="MS Mincho" w:hAnsi="Aptos" w:cs="Times New Roman"/>
          <w:kern w:val="0"/>
          <w:sz w:val="21"/>
          <w:szCs w:val="22"/>
          <w14:ligatures w14:val="none"/>
        </w:rPr>
        <w:t>Responsibility determination for the proposed contractor, including Conflict-of-interest review under 2 CFR 200.318(c) and suspension/debarment verification via SAM.gov Exclusions list.</w:t>
      </w:r>
    </w:p>
    <w:p w14:paraId="30DC5972" w14:textId="77777777" w:rsidR="004D474A" w:rsidRDefault="004D474A" w:rsidP="004D474A">
      <w:pPr>
        <w:pStyle w:val="ListParagraph"/>
        <w:numPr>
          <w:ilvl w:val="0"/>
          <w:numId w:val="2"/>
        </w:numPr>
        <w:tabs>
          <w:tab w:val="num" w:pos="360"/>
        </w:tabs>
        <w:spacing w:after="20" w:line="276" w:lineRule="auto"/>
        <w:rPr>
          <w:rFonts w:ascii="Aptos" w:eastAsia="MS Mincho" w:hAnsi="Aptos" w:cs="Times New Roman"/>
          <w:kern w:val="0"/>
          <w:sz w:val="21"/>
          <w:szCs w:val="22"/>
          <w14:ligatures w14:val="none"/>
        </w:rPr>
      </w:pPr>
      <w:r w:rsidRPr="004D474A">
        <w:rPr>
          <w:rFonts w:ascii="Aptos" w:eastAsia="MS Mincho" w:hAnsi="Aptos" w:cs="Times New Roman"/>
          <w:kern w:val="0"/>
          <w:sz w:val="21"/>
          <w:szCs w:val="22"/>
          <w14:ligatures w14:val="none"/>
        </w:rPr>
        <w:t>Application of contract provisions under 2 CFR 200.327 and Appendix II, plus any program-specific requirements/clauses.</w:t>
      </w:r>
    </w:p>
    <w:p w14:paraId="20B5643F" w14:textId="4931EBD9" w:rsidR="004D474A" w:rsidRDefault="004D474A" w:rsidP="004D474A">
      <w:pPr>
        <w:pStyle w:val="ListParagraph"/>
        <w:numPr>
          <w:ilvl w:val="0"/>
          <w:numId w:val="2"/>
        </w:numPr>
        <w:tabs>
          <w:tab w:val="num" w:pos="360"/>
        </w:tabs>
        <w:spacing w:after="20" w:line="276" w:lineRule="auto"/>
        <w:rPr>
          <w:rFonts w:ascii="Aptos" w:eastAsia="MS Mincho" w:hAnsi="Aptos" w:cs="Times New Roman"/>
          <w:kern w:val="0"/>
          <w:sz w:val="21"/>
          <w:szCs w:val="22"/>
          <w14:ligatures w14:val="none"/>
        </w:rPr>
      </w:pPr>
      <w:r w:rsidRPr="004D474A">
        <w:rPr>
          <w:rFonts w:ascii="Aptos" w:eastAsia="MS Mincho" w:hAnsi="Aptos" w:cs="Times New Roman"/>
          <w:kern w:val="0"/>
          <w:sz w:val="21"/>
          <w:szCs w:val="22"/>
          <w14:ligatures w14:val="none"/>
        </w:rPr>
        <w:t>Statement to confirm if the proposed procurement follows the organization’s policies</w:t>
      </w:r>
      <w:r w:rsidR="008E2C74">
        <w:rPr>
          <w:rFonts w:ascii="Aptos" w:eastAsia="MS Mincho" w:hAnsi="Aptos" w:cs="Times New Roman"/>
          <w:kern w:val="0"/>
          <w:sz w:val="21"/>
          <w:szCs w:val="22"/>
          <w14:ligatures w14:val="none"/>
        </w:rPr>
        <w:t>.</w:t>
      </w:r>
    </w:p>
    <w:p w14:paraId="3C76AD38" w14:textId="1BB598B9" w:rsidR="004D474A" w:rsidRDefault="00F171E6" w:rsidP="004D474A">
      <w:pPr>
        <w:pStyle w:val="ListParagraph"/>
        <w:numPr>
          <w:ilvl w:val="0"/>
          <w:numId w:val="2"/>
        </w:numPr>
        <w:tabs>
          <w:tab w:val="num" w:pos="360"/>
        </w:tabs>
        <w:spacing w:after="20" w:line="276" w:lineRule="auto"/>
        <w:rPr>
          <w:rFonts w:ascii="Aptos" w:eastAsia="MS Mincho" w:hAnsi="Aptos" w:cs="Times New Roman"/>
          <w:kern w:val="0"/>
          <w:sz w:val="21"/>
          <w:szCs w:val="22"/>
          <w14:ligatures w14:val="none"/>
        </w:rPr>
      </w:pPr>
      <w:r>
        <w:rPr>
          <w:rFonts w:ascii="Aptos" w:eastAsia="MS Mincho" w:hAnsi="Aptos" w:cs="Times New Roman"/>
          <w:kern w:val="0"/>
          <w:sz w:val="21"/>
          <w:szCs w:val="22"/>
          <w14:ligatures w14:val="none"/>
        </w:rPr>
        <w:t>Relevant documents</w:t>
      </w:r>
      <w:r w:rsidR="009777A6">
        <w:rPr>
          <w:rFonts w:ascii="Aptos" w:eastAsia="MS Mincho" w:hAnsi="Aptos" w:cs="Times New Roman"/>
          <w:kern w:val="0"/>
          <w:sz w:val="21"/>
          <w:szCs w:val="22"/>
          <w14:ligatures w14:val="none"/>
        </w:rPr>
        <w:t xml:space="preserve"> as specified in section </w:t>
      </w:r>
      <w:r w:rsidR="00A3404E">
        <w:rPr>
          <w:rFonts w:ascii="Aptos" w:eastAsia="MS Mincho" w:hAnsi="Aptos" w:cs="Times New Roman"/>
          <w:kern w:val="0"/>
          <w:sz w:val="21"/>
          <w:szCs w:val="22"/>
          <w14:ligatures w14:val="none"/>
        </w:rPr>
        <w:t>4</w:t>
      </w:r>
      <w:r w:rsidR="009777A6">
        <w:rPr>
          <w:rFonts w:ascii="Aptos" w:eastAsia="MS Mincho" w:hAnsi="Aptos" w:cs="Times New Roman"/>
          <w:kern w:val="0"/>
          <w:sz w:val="21"/>
          <w:szCs w:val="22"/>
          <w14:ligatures w14:val="none"/>
        </w:rPr>
        <w:t xml:space="preserve"> of this guidance</w:t>
      </w:r>
      <w:r>
        <w:rPr>
          <w:rFonts w:ascii="Aptos" w:eastAsia="MS Mincho" w:hAnsi="Aptos" w:cs="Times New Roman"/>
          <w:kern w:val="0"/>
          <w:sz w:val="21"/>
          <w:szCs w:val="22"/>
          <w14:ligatures w14:val="none"/>
        </w:rPr>
        <w:t xml:space="preserve"> to support the request/proposed procurement, including internal record of review/approval.</w:t>
      </w:r>
    </w:p>
    <w:p w14:paraId="008B3352" w14:textId="1090827D" w:rsidR="00212D99" w:rsidRPr="000F3472" w:rsidRDefault="004D474A" w:rsidP="000F3472">
      <w:pPr>
        <w:pStyle w:val="ListParagraph"/>
        <w:numPr>
          <w:ilvl w:val="0"/>
          <w:numId w:val="2"/>
        </w:numPr>
        <w:tabs>
          <w:tab w:val="num" w:pos="360"/>
        </w:tabs>
        <w:spacing w:after="20" w:line="276" w:lineRule="auto"/>
        <w:rPr>
          <w:rFonts w:ascii="Aptos" w:eastAsia="MS Mincho" w:hAnsi="Aptos" w:cs="Times New Roman"/>
          <w:kern w:val="0"/>
          <w:sz w:val="21"/>
          <w:szCs w:val="22"/>
          <w14:ligatures w14:val="none"/>
        </w:rPr>
      </w:pPr>
      <w:r w:rsidRPr="004D474A">
        <w:rPr>
          <w:rFonts w:ascii="Aptos" w:eastAsia="MS Mincho" w:hAnsi="Aptos" w:cs="Times New Roman"/>
          <w:kern w:val="0"/>
          <w:sz w:val="21"/>
          <w:szCs w:val="22"/>
          <w14:ligatures w14:val="none"/>
        </w:rPr>
        <w:t xml:space="preserve">Written justification must be </w:t>
      </w:r>
      <w:r>
        <w:rPr>
          <w:rFonts w:ascii="Aptos" w:eastAsia="MS Mincho" w:hAnsi="Aptos" w:cs="Times New Roman"/>
          <w:kern w:val="0"/>
          <w:sz w:val="21"/>
          <w:szCs w:val="22"/>
          <w14:ligatures w14:val="none"/>
        </w:rPr>
        <w:t xml:space="preserve">completed and </w:t>
      </w:r>
      <w:r w:rsidRPr="004D474A">
        <w:rPr>
          <w:rFonts w:ascii="Aptos" w:eastAsia="MS Mincho" w:hAnsi="Aptos" w:cs="Times New Roman"/>
          <w:kern w:val="0"/>
          <w:sz w:val="21"/>
          <w:szCs w:val="22"/>
          <w14:ligatures w14:val="none"/>
        </w:rPr>
        <w:t>signed by an authorized official.</w:t>
      </w:r>
      <w:bookmarkEnd w:id="0"/>
    </w:p>
    <w:sectPr w:rsidR="00212D99" w:rsidRPr="000F3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2449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62E80"/>
    <w:multiLevelType w:val="hybridMultilevel"/>
    <w:tmpl w:val="00088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D62BA"/>
    <w:multiLevelType w:val="hybridMultilevel"/>
    <w:tmpl w:val="7694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ED55D6"/>
    <w:multiLevelType w:val="hybridMultilevel"/>
    <w:tmpl w:val="8E8E67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D63B8B"/>
    <w:multiLevelType w:val="hybridMultilevel"/>
    <w:tmpl w:val="697AF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271556">
    <w:abstractNumId w:val="0"/>
  </w:num>
  <w:num w:numId="2" w16cid:durableId="990326794">
    <w:abstractNumId w:val="2"/>
  </w:num>
  <w:num w:numId="3" w16cid:durableId="361134417">
    <w:abstractNumId w:val="3"/>
  </w:num>
  <w:num w:numId="4" w16cid:durableId="378943434">
    <w:abstractNumId w:val="1"/>
  </w:num>
  <w:num w:numId="5" w16cid:durableId="1743135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4A"/>
    <w:rsid w:val="000F3472"/>
    <w:rsid w:val="001E71B1"/>
    <w:rsid w:val="00212D99"/>
    <w:rsid w:val="004250A5"/>
    <w:rsid w:val="004D474A"/>
    <w:rsid w:val="00560555"/>
    <w:rsid w:val="00591079"/>
    <w:rsid w:val="00692DA2"/>
    <w:rsid w:val="00764237"/>
    <w:rsid w:val="008D5449"/>
    <w:rsid w:val="008E2C74"/>
    <w:rsid w:val="008F6974"/>
    <w:rsid w:val="00975DC6"/>
    <w:rsid w:val="009777A6"/>
    <w:rsid w:val="00A16D45"/>
    <w:rsid w:val="00A3404E"/>
    <w:rsid w:val="00A460A1"/>
    <w:rsid w:val="00B749EA"/>
    <w:rsid w:val="00D94AFC"/>
    <w:rsid w:val="00E535D6"/>
    <w:rsid w:val="00F17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20880"/>
  <w15:chartTrackingRefBased/>
  <w15:docId w15:val="{7A23B00D-E99B-401A-9CEE-308E47AA4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0A1"/>
  </w:style>
  <w:style w:type="paragraph" w:styleId="Heading1">
    <w:name w:val="heading 1"/>
    <w:basedOn w:val="Normal"/>
    <w:next w:val="Normal"/>
    <w:link w:val="Heading1Char"/>
    <w:uiPriority w:val="9"/>
    <w:qFormat/>
    <w:rsid w:val="004D47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7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7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7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7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7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7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7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7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7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7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7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7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7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7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7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7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74A"/>
    <w:rPr>
      <w:rFonts w:eastAsiaTheme="majorEastAsia" w:cstheme="majorBidi"/>
      <w:color w:val="272727" w:themeColor="text1" w:themeTint="D8"/>
    </w:rPr>
  </w:style>
  <w:style w:type="paragraph" w:styleId="Title">
    <w:name w:val="Title"/>
    <w:basedOn w:val="Normal"/>
    <w:next w:val="Normal"/>
    <w:link w:val="TitleChar"/>
    <w:uiPriority w:val="10"/>
    <w:qFormat/>
    <w:rsid w:val="004D47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7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7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7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74A"/>
    <w:pPr>
      <w:spacing w:before="160"/>
      <w:jc w:val="center"/>
    </w:pPr>
    <w:rPr>
      <w:i/>
      <w:iCs/>
      <w:color w:val="404040" w:themeColor="text1" w:themeTint="BF"/>
    </w:rPr>
  </w:style>
  <w:style w:type="character" w:customStyle="1" w:styleId="QuoteChar">
    <w:name w:val="Quote Char"/>
    <w:basedOn w:val="DefaultParagraphFont"/>
    <w:link w:val="Quote"/>
    <w:uiPriority w:val="29"/>
    <w:rsid w:val="004D474A"/>
    <w:rPr>
      <w:i/>
      <w:iCs/>
      <w:color w:val="404040" w:themeColor="text1" w:themeTint="BF"/>
    </w:rPr>
  </w:style>
  <w:style w:type="paragraph" w:styleId="ListParagraph">
    <w:name w:val="List Paragraph"/>
    <w:basedOn w:val="Normal"/>
    <w:uiPriority w:val="34"/>
    <w:qFormat/>
    <w:rsid w:val="004D474A"/>
    <w:pPr>
      <w:ind w:left="720"/>
      <w:contextualSpacing/>
    </w:pPr>
  </w:style>
  <w:style w:type="character" w:styleId="IntenseEmphasis">
    <w:name w:val="Intense Emphasis"/>
    <w:basedOn w:val="DefaultParagraphFont"/>
    <w:uiPriority w:val="21"/>
    <w:qFormat/>
    <w:rsid w:val="004D474A"/>
    <w:rPr>
      <w:i/>
      <w:iCs/>
      <w:color w:val="0F4761" w:themeColor="accent1" w:themeShade="BF"/>
    </w:rPr>
  </w:style>
  <w:style w:type="paragraph" w:styleId="IntenseQuote">
    <w:name w:val="Intense Quote"/>
    <w:basedOn w:val="Normal"/>
    <w:next w:val="Normal"/>
    <w:link w:val="IntenseQuoteChar"/>
    <w:uiPriority w:val="30"/>
    <w:qFormat/>
    <w:rsid w:val="004D4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74A"/>
    <w:rPr>
      <w:i/>
      <w:iCs/>
      <w:color w:val="0F4761" w:themeColor="accent1" w:themeShade="BF"/>
    </w:rPr>
  </w:style>
  <w:style w:type="character" w:styleId="IntenseReference">
    <w:name w:val="Intense Reference"/>
    <w:basedOn w:val="DefaultParagraphFont"/>
    <w:uiPriority w:val="32"/>
    <w:qFormat/>
    <w:rsid w:val="004D474A"/>
    <w:rPr>
      <w:b/>
      <w:bCs/>
      <w:smallCaps/>
      <w:color w:val="0F4761" w:themeColor="accent1" w:themeShade="BF"/>
      <w:spacing w:val="5"/>
    </w:rPr>
  </w:style>
  <w:style w:type="paragraph" w:styleId="ListBullet">
    <w:name w:val="List Bullet"/>
    <w:basedOn w:val="Normal"/>
    <w:uiPriority w:val="99"/>
    <w:unhideWhenUsed/>
    <w:rsid w:val="004D474A"/>
    <w:pPr>
      <w:numPr>
        <w:numId w:val="1"/>
      </w:numPr>
      <w:tabs>
        <w:tab w:val="clear" w:pos="360"/>
      </w:tabs>
      <w:spacing w:after="200" w:line="276" w:lineRule="auto"/>
      <w:ind w:left="0" w:firstLine="0"/>
      <w:contextualSpacing/>
    </w:pPr>
    <w:rPr>
      <w:rFonts w:ascii="Aptos" w:eastAsia="MS Mincho" w:hAnsi="Aptos"/>
      <w:kern w:val="0"/>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CE616072E16F4192048B84DB1664BA" ma:contentTypeVersion="15" ma:contentTypeDescription="Create a new document." ma:contentTypeScope="" ma:versionID="e59eac52fdd52b341d216ef301c33e35">
  <xsd:schema xmlns:xsd="http://www.w3.org/2001/XMLSchema" xmlns:xs="http://www.w3.org/2001/XMLSchema" xmlns:p="http://schemas.microsoft.com/office/2006/metadata/properties" xmlns:ns2="04633026-c0e4-4b84-bcbe-406bbff03bb5" xmlns:ns3="31261f41-70b7-4198-a5a2-c0b62003477d" targetNamespace="http://schemas.microsoft.com/office/2006/metadata/properties" ma:root="true" ma:fieldsID="b50a2b694d3f7525fa5b8545f8009661" ns2:_="" ns3:_="">
    <xsd:import namespace="04633026-c0e4-4b84-bcbe-406bbff03bb5"/>
    <xsd:import namespace="31261f41-70b7-4198-a5a2-c0b6200347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33026-c0e4-4b84-bcbe-406bbff03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261f41-70b7-4198-a5a2-c0b6200347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fc4d179-7837-4ec1-8ae1-dab98c4cd86c}" ma:internalName="TaxCatchAll" ma:showField="CatchAllData" ma:web="31261f41-70b7-4198-a5a2-c0b6200347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261f41-70b7-4198-a5a2-c0b62003477d" xsi:nil="true"/>
    <lcf76f155ced4ddcb4097134ff3c332f xmlns="04633026-c0e4-4b84-bcbe-406bbff03b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2F31D1-EC9C-4A24-8EB2-0C836C6D4233}"/>
</file>

<file path=customXml/itemProps2.xml><?xml version="1.0" encoding="utf-8"?>
<ds:datastoreItem xmlns:ds="http://schemas.openxmlformats.org/officeDocument/2006/customXml" ds:itemID="{8F7CA0FD-0BC8-424B-A86D-FE663F6DAF65}"/>
</file>

<file path=customXml/itemProps3.xml><?xml version="1.0" encoding="utf-8"?>
<ds:datastoreItem xmlns:ds="http://schemas.openxmlformats.org/officeDocument/2006/customXml" ds:itemID="{23B93445-C53B-4843-BCEA-D3AE489A563A}"/>
</file>

<file path=docProps/app.xml><?xml version="1.0" encoding="utf-8"?>
<Properties xmlns="http://schemas.openxmlformats.org/officeDocument/2006/extended-properties" xmlns:vt="http://schemas.openxmlformats.org/officeDocument/2006/docPropsVTypes">
  <Template>Normal.dotm</Template>
  <TotalTime>1567</TotalTime>
  <Pages>2</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Thy (OST-R)</dc:creator>
  <cp:keywords/>
  <dc:description/>
  <cp:lastModifiedBy>Nguyen, Thy (OST-R)</cp:lastModifiedBy>
  <cp:revision>16</cp:revision>
  <dcterms:created xsi:type="dcterms:W3CDTF">2026-04-14T23:19:00Z</dcterms:created>
  <dcterms:modified xsi:type="dcterms:W3CDTF">2026-04-17T19:46:00Z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0x0101006DCE616072E16F4192048B84DB1664BA</vt:lpwstr>
  </property>
  <property fmtid="{D5CDD505-2E9C-101B-9397-08002B2CF9AE}" pid="4" name="docLang">
    <vt:lpwstr>en</vt:lpwstr>
  </property>
  <property fmtid="{D5CDD505-2E9C-101B-9397-08002B2CF9AE}" pid="5" name="MediaServiceImageTags">
    <vt:lpwstr/>
  </property>
</Properties>
</file>