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A331" w14:textId="69E8E65B" w:rsidR="005A0C69" w:rsidRDefault="005A0C69" w:rsidP="001F4277">
      <w:pPr>
        <w:spacing w:line="480" w:lineRule="auto"/>
        <w:rPr>
          <w:b/>
          <w:bCs/>
        </w:rPr>
      </w:pPr>
      <w:r w:rsidRPr="00592962">
        <w:rPr>
          <w:b/>
          <w:noProof/>
        </w:rPr>
        <mc:AlternateContent>
          <mc:Choice Requires="wps">
            <w:drawing>
              <wp:inline distT="0" distB="0" distL="0" distR="0" wp14:anchorId="26DA274C" wp14:editId="1A225A37">
                <wp:extent cx="5905500" cy="15049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504950"/>
                        </a:xfrm>
                        <a:prstGeom prst="rect">
                          <a:avLst/>
                        </a:prstGeom>
                        <a:solidFill>
                          <a:srgbClr val="FFFFFF"/>
                        </a:solidFill>
                        <a:ln w="9525">
                          <a:solidFill>
                            <a:srgbClr val="0070C0"/>
                          </a:solidFill>
                          <a:miter lim="800000"/>
                          <a:headEnd/>
                          <a:tailEnd/>
                        </a:ln>
                      </wps:spPr>
                      <wps:txbx>
                        <w:txbxContent>
                          <w:p w14:paraId="1D6F55FE" w14:textId="17279608" w:rsidR="005A0C69" w:rsidRDefault="005A0C69" w:rsidP="005A0C69">
                            <w:pPr>
                              <w:rPr>
                                <w:sz w:val="22"/>
                                <w:szCs w:val="22"/>
                              </w:rPr>
                            </w:pPr>
                            <w:r>
                              <w:t xml:space="preserve">The Acting General Counsel of the U.S. Department of Transportation, </w:t>
                            </w:r>
                            <w:r w:rsidRPr="00910534">
                              <w:rPr>
                                <w:rFonts w:eastAsiaTheme="minorHAnsi"/>
                                <w:kern w:val="2"/>
                                <w14:ligatures w14:val="standardContextual"/>
                              </w:rPr>
                              <w:t>Gregory D. Cote</w:t>
                            </w:r>
                            <w:r>
                              <w:t>, signed the following Notice on June 2, 2025</w:t>
                            </w:r>
                            <w:r w:rsidRPr="00F325BA">
                              <w:t>,</w:t>
                            </w:r>
                            <w:r>
                              <w:t xml:space="preserve"> and we are submitting it for publication in the </w:t>
                            </w:r>
                            <w:r>
                              <w:rPr>
                                <w:i/>
                                <w:iCs/>
                              </w:rPr>
                              <w:t>Federal Register</w:t>
                            </w:r>
                            <w:r>
                              <w:t xml:space="preserve">. While we have taken steps to ensure the accuracy of this Internet version of the Final Rule, it is not the official version. Please refer to the official version in a forthcoming </w:t>
                            </w:r>
                            <w:r>
                              <w:rPr>
                                <w:i/>
                                <w:iCs/>
                              </w:rPr>
                              <w:t xml:space="preserve">Federal Register </w:t>
                            </w:r>
                            <w:r>
                              <w:t xml:space="preserve">publication, which will appear on the </w:t>
                            </w:r>
                            <w:r>
                              <w:rPr>
                                <w:i/>
                                <w:iCs/>
                              </w:rPr>
                              <w:t>Federal Register</w:t>
                            </w:r>
                            <w:r>
                              <w:t>’s website (</w:t>
                            </w:r>
                            <w:hyperlink r:id="rId6" w:history="1">
                              <w:r w:rsidR="00AD1C14" w:rsidRPr="00A966DB">
                                <w:rPr>
                                  <w:rStyle w:val="Hyperlink"/>
                                </w:rPr>
                                <w:t>www.federalregister.gov</w:t>
                              </w:r>
                            </w:hyperlink>
                            <w:r>
                              <w:t xml:space="preserve">). Once the official version of this Final Rule is published in the </w:t>
                            </w:r>
                            <w:r>
                              <w:rPr>
                                <w:i/>
                                <w:iCs/>
                              </w:rPr>
                              <w:t>Federal Register</w:t>
                            </w:r>
                            <w:r>
                              <w:t>, this version will be removed from the Internet and replaced with a link to the official version.</w:t>
                            </w:r>
                          </w:p>
                          <w:p w14:paraId="5342C3C5" w14:textId="77777777" w:rsidR="005A0C69" w:rsidRDefault="005A0C69" w:rsidP="005A0C69"/>
                        </w:txbxContent>
                      </wps:txbx>
                      <wps:bodyPr rot="0" vert="horz" wrap="square" lIns="91440" tIns="45720" rIns="91440" bIns="45720" anchor="t" anchorCtr="0">
                        <a:noAutofit/>
                      </wps:bodyPr>
                    </wps:wsp>
                  </a:graphicData>
                </a:graphic>
              </wp:inline>
            </w:drawing>
          </mc:Choice>
          <mc:Fallback>
            <w:pict>
              <v:shapetype w14:anchorId="26DA274C" id="_x0000_t202" coordsize="21600,21600" o:spt="202" path="m,l,21600r21600,l21600,xe">
                <v:stroke joinstyle="miter"/>
                <v:path gradientshapeok="t" o:connecttype="rect"/>
              </v:shapetype>
              <v:shape id="Text Box 2" o:spid="_x0000_s1026" type="#_x0000_t202" style="width:46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" strokecolor="#0070c0">
                <v:textbox>
                  <w:txbxContent>
                    <w:p w14:paraId="1D6F55FE" w14:textId="17279608" w:rsidR="005A0C69" w:rsidRDefault="005A0C69" w:rsidP="005A0C69">
                      <w:pPr>
                        <w:rPr>
                          <w:sz w:val="22"/>
                          <w:szCs w:val="22"/>
                        </w:rPr>
                      </w:pPr>
                      <w:r>
                        <w:t xml:space="preserve">The Acting General Counsel of the U.S. Department of Transportation, </w:t>
                      </w:r>
                      <w:r w:rsidRPr="00910534">
                        <w:rPr>
                          <w:rFonts w:eastAsiaTheme="minorHAnsi"/>
                          <w:kern w:val="2"/>
                          <w14:ligatures w14:val="standardContextual"/>
                        </w:rPr>
                        <w:t>Gregory D. Cote</w:t>
                      </w:r>
                      <w:r>
                        <w:t>, signed the following Notice on June 2, 2025</w:t>
                      </w:r>
                      <w:r w:rsidRPr="00F325BA">
                        <w:t>,</w:t>
                      </w:r>
                      <w:r>
                        <w:t xml:space="preserve"> and we are submitting it for publication in the </w:t>
                      </w:r>
                      <w:r>
                        <w:rPr>
                          <w:i/>
                          <w:iCs/>
                        </w:rPr>
                        <w:t>Federal Register</w:t>
                      </w:r>
                      <w:r>
                        <w:t xml:space="preserve">. While we have taken steps to ensure the accuracy of this Internet version of the Final Rule, it is not the official version. Please refer to the official version in a forthcoming </w:t>
                      </w:r>
                      <w:r>
                        <w:rPr>
                          <w:i/>
                          <w:iCs/>
                        </w:rPr>
                        <w:t xml:space="preserve">Federal Register </w:t>
                      </w:r>
                      <w:r>
                        <w:t xml:space="preserve">publication, which will appear on the </w:t>
                      </w:r>
                      <w:r>
                        <w:rPr>
                          <w:i/>
                          <w:iCs/>
                        </w:rPr>
                        <w:t>Federal Register</w:t>
                      </w:r>
                      <w:r>
                        <w:t>’s website (</w:t>
                      </w:r>
                      <w:hyperlink r:id="rId7" w:history="1">
                        <w:r w:rsidR="00AD1C14" w:rsidRPr="00A966DB">
                          <w:rPr>
                            <w:rStyle w:val="Hyperlink"/>
                          </w:rPr>
                          <w:t>www.federalregister.gov</w:t>
                        </w:r>
                      </w:hyperlink>
                      <w:r>
                        <w:t xml:space="preserve">). Once the official version of this Final Rule is published in the </w:t>
                      </w:r>
                      <w:r>
                        <w:rPr>
                          <w:i/>
                          <w:iCs/>
                        </w:rPr>
                        <w:t>Federal Register</w:t>
                      </w:r>
                      <w:r>
                        <w:t>, this version will be removed from the Internet and replaced with a link to the official version.</w:t>
                      </w:r>
                    </w:p>
                    <w:p w14:paraId="5342C3C5" w14:textId="77777777" w:rsidR="005A0C69" w:rsidRDefault="005A0C69" w:rsidP="005A0C69"/>
                  </w:txbxContent>
                </v:textbox>
                <w10:anchorlock/>
              </v:shape>
            </w:pict>
          </mc:Fallback>
        </mc:AlternateContent>
      </w:r>
    </w:p>
    <w:p w14:paraId="79C25023" w14:textId="77777777" w:rsidR="005A0C69" w:rsidRDefault="005A0C69" w:rsidP="001F4277">
      <w:pPr>
        <w:spacing w:line="480" w:lineRule="auto"/>
        <w:rPr>
          <w:b/>
          <w:bCs/>
        </w:rPr>
      </w:pPr>
    </w:p>
    <w:p w14:paraId="257638F7" w14:textId="046A36BB" w:rsidR="001F4277" w:rsidRPr="00910534" w:rsidRDefault="001F4277" w:rsidP="001F4277">
      <w:pPr>
        <w:spacing w:line="480" w:lineRule="auto"/>
        <w:rPr>
          <w:rFonts w:eastAsia="Calibri"/>
          <w:b/>
          <w:smallCaps/>
        </w:rPr>
      </w:pPr>
      <w:r w:rsidRPr="00910534">
        <w:rPr>
          <w:b/>
          <w:bCs/>
        </w:rPr>
        <w:t>DEPARTMENT OF TRANSPORTATION</w:t>
      </w:r>
      <w:r w:rsidRPr="00910534">
        <w:rPr>
          <w:b/>
          <w:bCs/>
        </w:rPr>
        <w:tab/>
      </w:r>
      <w:r w:rsidRPr="00910534">
        <w:rPr>
          <w:b/>
          <w:bCs/>
        </w:rPr>
        <w:tab/>
      </w:r>
      <w:r w:rsidRPr="00910534">
        <w:rPr>
          <w:b/>
          <w:bCs/>
        </w:rPr>
        <w:tab/>
        <w:t xml:space="preserve"> </w:t>
      </w:r>
      <w:r w:rsidRPr="00910534">
        <w:rPr>
          <w:b/>
        </w:rPr>
        <w:tab/>
      </w:r>
      <w:r w:rsidRPr="00910534">
        <w:rPr>
          <w:b/>
        </w:rPr>
        <w:tab/>
      </w:r>
      <w:r w:rsidRPr="00910534">
        <w:rPr>
          <w:rFonts w:eastAsia="Calibri"/>
          <w:b/>
          <w:smallCaps/>
        </w:rPr>
        <w:t>4910-9X</w:t>
      </w:r>
    </w:p>
    <w:p w14:paraId="43742B28" w14:textId="77777777" w:rsidR="001F4277" w:rsidRPr="00910534" w:rsidRDefault="001F4277" w:rsidP="001F4277">
      <w:pPr>
        <w:spacing w:line="480" w:lineRule="auto"/>
        <w:rPr>
          <w:rFonts w:eastAsiaTheme="minorHAnsi"/>
          <w:b/>
          <w:bCs/>
          <w:kern w:val="2"/>
          <w14:ligatures w14:val="standardContextual"/>
        </w:rPr>
      </w:pPr>
      <w:r w:rsidRPr="00910534">
        <w:rPr>
          <w:rFonts w:eastAsiaTheme="minorHAnsi"/>
          <w:b/>
          <w:bCs/>
          <w:kern w:val="2"/>
          <w14:ligatures w14:val="standardContextual"/>
        </w:rPr>
        <w:t>Office of the Secretary of Transportation</w:t>
      </w:r>
    </w:p>
    <w:p w14:paraId="5AA865B0" w14:textId="77777777" w:rsidR="001F4277" w:rsidRPr="00910534" w:rsidRDefault="001F4277" w:rsidP="001F4277">
      <w:pPr>
        <w:spacing w:line="480" w:lineRule="auto"/>
        <w:rPr>
          <w:rFonts w:eastAsiaTheme="minorHAnsi"/>
          <w:b/>
          <w:bCs/>
          <w:kern w:val="2"/>
          <w14:ligatures w14:val="standardContextual"/>
        </w:rPr>
      </w:pPr>
      <w:r w:rsidRPr="00910534">
        <w:rPr>
          <w:rFonts w:eastAsiaTheme="minorHAnsi"/>
          <w:b/>
          <w:bCs/>
          <w:kern w:val="2"/>
          <w14:ligatures w14:val="standardContextual"/>
        </w:rPr>
        <w:t xml:space="preserve">14 CFR Part 382 </w:t>
      </w:r>
    </w:p>
    <w:p w14:paraId="0951E7B5" w14:textId="77777777" w:rsidR="001F4277" w:rsidRPr="00910534" w:rsidRDefault="001F4277" w:rsidP="001F4277">
      <w:pPr>
        <w:spacing w:line="480" w:lineRule="auto"/>
        <w:rPr>
          <w:rFonts w:eastAsiaTheme="minorHAnsi"/>
          <w:b/>
          <w:bCs/>
          <w:kern w:val="2"/>
          <w14:ligatures w14:val="standardContextual"/>
        </w:rPr>
      </w:pPr>
      <w:r w:rsidRPr="00910534">
        <w:rPr>
          <w:rFonts w:eastAsiaTheme="minorHAnsi"/>
          <w:b/>
          <w:bCs/>
          <w:kern w:val="2"/>
          <w14:ligatures w14:val="standardContextual"/>
        </w:rPr>
        <w:t>[Docket No. DOT-OST-2022-0144]</w:t>
      </w:r>
    </w:p>
    <w:p w14:paraId="2632CB45" w14:textId="77777777" w:rsidR="001F4277" w:rsidRPr="00910534" w:rsidRDefault="001F4277" w:rsidP="001F4277">
      <w:pPr>
        <w:spacing w:line="480" w:lineRule="auto"/>
        <w:rPr>
          <w:rFonts w:eastAsiaTheme="minorHAnsi"/>
          <w:b/>
          <w:bCs/>
          <w:kern w:val="2"/>
          <w14:ligatures w14:val="standardContextual"/>
        </w:rPr>
      </w:pPr>
      <w:r w:rsidRPr="00910534">
        <w:rPr>
          <w:rFonts w:eastAsiaTheme="minorHAnsi"/>
          <w:b/>
          <w:bCs/>
          <w:kern w:val="2"/>
          <w14:ligatures w14:val="standardContextual"/>
        </w:rPr>
        <w:t>RIN 2105-AF14</w:t>
      </w:r>
    </w:p>
    <w:p w14:paraId="05ACD89B" w14:textId="77777777" w:rsidR="001F4277" w:rsidRPr="00910534" w:rsidRDefault="001F4277" w:rsidP="001F4277">
      <w:pPr>
        <w:spacing w:line="480" w:lineRule="auto"/>
        <w:rPr>
          <w:rFonts w:eastAsiaTheme="minorHAnsi"/>
          <w:b/>
          <w:bCs/>
          <w:kern w:val="2"/>
          <w14:ligatures w14:val="standardContextual"/>
        </w:rPr>
      </w:pPr>
      <w:r w:rsidRPr="00910534">
        <w:rPr>
          <w:rFonts w:eastAsiaTheme="minorHAnsi"/>
          <w:b/>
          <w:bCs/>
          <w:kern w:val="2"/>
          <w14:ligatures w14:val="standardContextual"/>
        </w:rPr>
        <w:t>Ensuring Safe Accommodations for Air Travelers With Disabilities Using Wheelchairs</w:t>
      </w:r>
    </w:p>
    <w:p w14:paraId="52FE712C" w14:textId="77777777" w:rsidR="001F4277" w:rsidRPr="00910534" w:rsidRDefault="001F4277" w:rsidP="001F4277">
      <w:pPr>
        <w:spacing w:line="480" w:lineRule="auto"/>
        <w:rPr>
          <w:rFonts w:eastAsiaTheme="minorHAnsi"/>
          <w:kern w:val="2"/>
          <w14:ligatures w14:val="standardContextual"/>
        </w:rPr>
      </w:pPr>
      <w:r w:rsidRPr="00910534">
        <w:rPr>
          <w:rFonts w:eastAsiaTheme="minorHAnsi"/>
          <w:b/>
          <w:bCs/>
          <w:kern w:val="2"/>
          <w14:ligatures w14:val="standardContextual"/>
        </w:rPr>
        <w:t>AGENCY:</w:t>
      </w:r>
      <w:r w:rsidRPr="00910534">
        <w:rPr>
          <w:rFonts w:eastAsiaTheme="minorHAnsi"/>
          <w:kern w:val="2"/>
          <w14:ligatures w14:val="standardContextual"/>
        </w:rPr>
        <w:t xml:space="preserve">  Office of the Secretary of Transportation (OST), U.S. Department of Transportation.</w:t>
      </w:r>
    </w:p>
    <w:p w14:paraId="06488E0A" w14:textId="77777777" w:rsidR="001F4277" w:rsidRPr="00910534" w:rsidRDefault="001F4277" w:rsidP="001F4277">
      <w:pPr>
        <w:spacing w:line="480" w:lineRule="auto"/>
        <w:rPr>
          <w:rFonts w:eastAsiaTheme="minorHAnsi"/>
          <w:kern w:val="2"/>
          <w14:ligatures w14:val="standardContextual"/>
        </w:rPr>
      </w:pPr>
      <w:r w:rsidRPr="00910534">
        <w:rPr>
          <w:rFonts w:eastAsiaTheme="minorHAnsi"/>
          <w:b/>
          <w:bCs/>
          <w:kern w:val="2"/>
          <w14:ligatures w14:val="standardContextual"/>
        </w:rPr>
        <w:t>ACTION</w:t>
      </w:r>
      <w:r w:rsidRPr="00910534">
        <w:rPr>
          <w:rFonts w:eastAsiaTheme="minorHAnsi"/>
          <w:kern w:val="2"/>
          <w14:ligatures w14:val="standardContextual"/>
        </w:rPr>
        <w:t>:  Notification of enforcement discretion.</w:t>
      </w:r>
    </w:p>
    <w:p w14:paraId="287DBC13" w14:textId="77777777" w:rsidR="001F4277" w:rsidRPr="00910534" w:rsidRDefault="001F4277" w:rsidP="001F4277">
      <w:pPr>
        <w:spacing w:line="480" w:lineRule="auto"/>
        <w:rPr>
          <w:rFonts w:eastAsiaTheme="minorHAnsi"/>
          <w:kern w:val="2"/>
          <w14:ligatures w14:val="standardContextual"/>
        </w:rPr>
      </w:pPr>
      <w:r w:rsidRPr="00910534">
        <w:rPr>
          <w:rFonts w:eastAsiaTheme="minorHAnsi"/>
          <w:b/>
          <w:bCs/>
          <w:kern w:val="2"/>
          <w14:ligatures w14:val="standardContextual"/>
        </w:rPr>
        <w:t>SUMMARY</w:t>
      </w:r>
      <w:r w:rsidRPr="00910534">
        <w:rPr>
          <w:rFonts w:eastAsiaTheme="minorHAnsi"/>
          <w:kern w:val="2"/>
          <w14:ligatures w14:val="standardContextual"/>
        </w:rPr>
        <w:t xml:space="preserve">:  This notice announces that the U.S. Department of Transportation (DOT) will not take enforcement action against regulated entities before August 1, 2025, for failing to comply with the new or revised requirements contained in the final rule on Ensuring Safe Accommodations for Air Travelers With Disabilities Using Wheelchairs (Wheelchair Rule). This enforcement discretion does not apply to violations of 14 CFR Part 382 that would also have been violations prior to the issuance of the Wheelchair Rule. </w:t>
      </w:r>
    </w:p>
    <w:p w14:paraId="7AA4DF58" w14:textId="77777777" w:rsidR="001F4277" w:rsidRPr="00910534" w:rsidRDefault="001F4277" w:rsidP="001F4277">
      <w:pPr>
        <w:spacing w:line="480" w:lineRule="auto"/>
        <w:rPr>
          <w:rFonts w:eastAsiaTheme="minorHAnsi"/>
          <w:kern w:val="2"/>
          <w14:ligatures w14:val="standardContextual"/>
        </w:rPr>
      </w:pPr>
      <w:r w:rsidRPr="00910534">
        <w:rPr>
          <w:rFonts w:eastAsiaTheme="minorHAnsi"/>
          <w:b/>
          <w:bCs/>
          <w:kern w:val="2"/>
          <w14:ligatures w14:val="standardContextual"/>
        </w:rPr>
        <w:t>DATES:</w:t>
      </w:r>
      <w:r w:rsidRPr="00910534">
        <w:rPr>
          <w:rFonts w:eastAsiaTheme="minorHAnsi"/>
          <w:kern w:val="2"/>
          <w14:ligatures w14:val="standardContextual"/>
        </w:rPr>
        <w:t xml:space="preserve">  As of [INSERT DATE OF PUBLICATION IN THE FEDERAL REGISTER], enforcement of the amendments enacted in the final rule published December 17, 2024, at 89 FR 102398, is delayed until August 1, 2025.</w:t>
      </w:r>
    </w:p>
    <w:p w14:paraId="221926E3" w14:textId="77777777" w:rsidR="001F4277" w:rsidRPr="00910534" w:rsidRDefault="001F4277" w:rsidP="001F4277">
      <w:pPr>
        <w:spacing w:line="480" w:lineRule="auto"/>
        <w:rPr>
          <w:rFonts w:eastAsiaTheme="minorHAnsi"/>
          <w:kern w:val="2"/>
          <w14:ligatures w14:val="standardContextual"/>
        </w:rPr>
      </w:pPr>
      <w:r w:rsidRPr="00910534">
        <w:rPr>
          <w:rFonts w:eastAsiaTheme="minorHAnsi"/>
          <w:b/>
          <w:bCs/>
          <w:kern w:val="2"/>
          <w14:ligatures w14:val="standardContextual"/>
        </w:rPr>
        <w:lastRenderedPageBreak/>
        <w:t xml:space="preserve">FOR FURTHER INFORMATION CONTACT:  </w:t>
      </w:r>
      <w:r w:rsidRPr="00910534">
        <w:rPr>
          <w:rFonts w:eastAsiaTheme="minorHAnsi"/>
          <w:kern w:val="2"/>
          <w14:ligatures w14:val="standardContextual"/>
        </w:rPr>
        <w:t xml:space="preserve">Tori Ford, Vinh Nguyen, Robert Gorman, or Blane Workie, Office of Aviation Consumer Protection, U.S. Department of Transportation, 1200 New Jersey Ave. SE, Washington, DC 20590, 202-366-9342 (phone), 202-366-7152 (fax), </w:t>
      </w:r>
      <w:r w:rsidRPr="00910534">
        <w:rPr>
          <w:rFonts w:eastAsiaTheme="minorHAnsi"/>
          <w:i/>
          <w:iCs/>
          <w:kern w:val="2"/>
          <w14:ligatures w14:val="standardContextual"/>
        </w:rPr>
        <w:t>victoria.ford@dot.gov</w:t>
      </w:r>
      <w:r w:rsidRPr="00910534">
        <w:rPr>
          <w:rFonts w:eastAsiaTheme="minorHAnsi"/>
          <w:kern w:val="2"/>
          <w14:ligatures w14:val="standardContextual"/>
        </w:rPr>
        <w:t xml:space="preserve">, </w:t>
      </w:r>
      <w:r w:rsidRPr="00910534">
        <w:rPr>
          <w:rFonts w:eastAsiaTheme="minorHAnsi"/>
          <w:i/>
          <w:iCs/>
          <w:kern w:val="2"/>
          <w14:ligatures w14:val="standardContextual"/>
        </w:rPr>
        <w:t>vinh.nguyen@dot.gov</w:t>
      </w:r>
      <w:r w:rsidRPr="00910534">
        <w:rPr>
          <w:rFonts w:eastAsiaTheme="minorHAnsi"/>
          <w:kern w:val="2"/>
          <w14:ligatures w14:val="standardContextual"/>
        </w:rPr>
        <w:t xml:space="preserve">, </w:t>
      </w:r>
      <w:r w:rsidRPr="00910534">
        <w:rPr>
          <w:rFonts w:eastAsiaTheme="minorHAnsi"/>
          <w:i/>
          <w:iCs/>
          <w:kern w:val="2"/>
          <w14:ligatures w14:val="standardContextual"/>
        </w:rPr>
        <w:t>robert.gorman@dot.gov</w:t>
      </w:r>
      <w:r w:rsidRPr="00910534">
        <w:rPr>
          <w:rFonts w:eastAsiaTheme="minorHAnsi"/>
          <w:kern w:val="2"/>
          <w14:ligatures w14:val="standardContextual"/>
        </w:rPr>
        <w:t xml:space="preserve">, or </w:t>
      </w:r>
      <w:r w:rsidRPr="00910534">
        <w:rPr>
          <w:rFonts w:eastAsiaTheme="minorHAnsi"/>
          <w:i/>
          <w:iCs/>
          <w:kern w:val="2"/>
          <w14:ligatures w14:val="standardContextual"/>
        </w:rPr>
        <w:t>blane.workie@dot.gov</w:t>
      </w:r>
      <w:r w:rsidRPr="00910534">
        <w:rPr>
          <w:rFonts w:eastAsiaTheme="minorHAnsi"/>
          <w:kern w:val="2"/>
          <w14:ligatures w14:val="standardContextual"/>
        </w:rPr>
        <w:t xml:space="preserve"> (email).</w:t>
      </w:r>
    </w:p>
    <w:p w14:paraId="39F585F1" w14:textId="77777777" w:rsidR="001F4277" w:rsidRPr="00910534" w:rsidRDefault="001F4277" w:rsidP="001F4277">
      <w:pPr>
        <w:spacing w:line="480" w:lineRule="auto"/>
        <w:rPr>
          <w:rFonts w:eastAsiaTheme="minorHAnsi"/>
          <w:kern w:val="2"/>
          <w14:ligatures w14:val="standardContextual"/>
        </w:rPr>
      </w:pPr>
      <w:r w:rsidRPr="00910534">
        <w:rPr>
          <w:rFonts w:eastAsiaTheme="minorHAnsi"/>
          <w:b/>
          <w:bCs/>
          <w:kern w:val="2"/>
          <w14:ligatures w14:val="standardContextual"/>
        </w:rPr>
        <w:t xml:space="preserve">Electronic Access and Filing:  </w:t>
      </w:r>
      <w:r w:rsidRPr="00910534">
        <w:rPr>
          <w:rFonts w:eastAsiaTheme="minorHAnsi"/>
          <w:kern w:val="2"/>
          <w14:ligatures w14:val="standardContextual"/>
        </w:rPr>
        <w:t xml:space="preserve">This notification of enforcement discretion, the notice of proposed rulemaking (NPRM), all comments received, the final rule, and all background material may be viewed online at </w:t>
      </w:r>
      <w:hyperlink r:id="rId8" w:history="1">
        <w:r w:rsidRPr="00910534">
          <w:rPr>
            <w:rFonts w:eastAsiaTheme="minorHAnsi"/>
            <w:color w:val="0563C1" w:themeColor="hyperlink"/>
            <w:kern w:val="2"/>
            <w:u w:val="single"/>
            <w14:ligatures w14:val="standardContextual"/>
          </w:rPr>
          <w:t>www.regulations.gov</w:t>
        </w:r>
      </w:hyperlink>
      <w:r w:rsidRPr="00910534">
        <w:rPr>
          <w:rFonts w:eastAsiaTheme="minorHAnsi"/>
          <w:kern w:val="2"/>
          <w14:ligatures w14:val="standardContextual"/>
        </w:rPr>
        <w:t xml:space="preserve"> using the docket number listed above. Electronic retrieval help and guidelines are available on the website. It is available 24 hours each day, 365 days each year. An electronic copy of this document may also be downloaded from the Office of the Federal Register's website at </w:t>
      </w:r>
      <w:hyperlink r:id="rId9" w:history="1">
        <w:r w:rsidRPr="00910534">
          <w:rPr>
            <w:rFonts w:eastAsiaTheme="minorHAnsi"/>
            <w:color w:val="0563C1" w:themeColor="hyperlink"/>
            <w:kern w:val="2"/>
            <w:u w:val="single"/>
            <w14:ligatures w14:val="standardContextual"/>
          </w:rPr>
          <w:t>www.federalregister.gov</w:t>
        </w:r>
      </w:hyperlink>
      <w:r w:rsidRPr="00910534">
        <w:rPr>
          <w:rFonts w:eastAsiaTheme="minorHAnsi"/>
          <w:kern w:val="2"/>
          <w14:ligatures w14:val="standardContextual"/>
        </w:rPr>
        <w:t xml:space="preserve"> and the Government Publishing Office's website at </w:t>
      </w:r>
      <w:hyperlink r:id="rId10" w:history="1">
        <w:r w:rsidRPr="00910534">
          <w:rPr>
            <w:rFonts w:eastAsiaTheme="minorHAnsi"/>
            <w:color w:val="0563C1" w:themeColor="hyperlink"/>
            <w:kern w:val="2"/>
            <w:u w:val="single"/>
            <w14:ligatures w14:val="standardContextual"/>
          </w:rPr>
          <w:t>www.GovInfo.gov</w:t>
        </w:r>
      </w:hyperlink>
      <w:r w:rsidRPr="00910534">
        <w:rPr>
          <w:rFonts w:eastAsiaTheme="minorHAnsi"/>
          <w:kern w:val="2"/>
          <w14:ligatures w14:val="standardContextual"/>
        </w:rPr>
        <w:t>.</w:t>
      </w:r>
    </w:p>
    <w:p w14:paraId="1B20403A" w14:textId="77777777" w:rsidR="001F4277" w:rsidRPr="00910534" w:rsidRDefault="001F4277" w:rsidP="001F4277">
      <w:pPr>
        <w:spacing w:line="480" w:lineRule="auto"/>
        <w:rPr>
          <w:rFonts w:eastAsiaTheme="minorHAnsi"/>
          <w:kern w:val="2"/>
          <w14:ligatures w14:val="standardContextual"/>
        </w:rPr>
      </w:pPr>
      <w:r w:rsidRPr="00910534">
        <w:rPr>
          <w:rFonts w:eastAsiaTheme="minorHAnsi"/>
          <w:b/>
          <w:bCs/>
          <w:kern w:val="2"/>
          <w14:ligatures w14:val="standardContextual"/>
        </w:rPr>
        <w:t xml:space="preserve">SUPPLEMENTARY INFORMATION:  </w:t>
      </w:r>
      <w:r w:rsidRPr="00910534">
        <w:rPr>
          <w:rFonts w:eastAsiaTheme="minorHAnsi"/>
          <w:kern w:val="2"/>
          <w14:ligatures w14:val="standardContextual"/>
        </w:rPr>
        <w:t xml:space="preserve">On December 17, 2024, DOT issued a final rule on Ensuring Safe Accommodations for Air Travelers With Disabilities Using Wheelchairs (Wheelchair Rule). </w:t>
      </w:r>
      <w:r w:rsidRPr="00910534">
        <w:rPr>
          <w:rFonts w:eastAsiaTheme="minorHAnsi"/>
          <w:i/>
          <w:iCs/>
          <w:kern w:val="2"/>
          <w14:ligatures w14:val="standardContextual"/>
        </w:rPr>
        <w:t xml:space="preserve">See </w:t>
      </w:r>
      <w:r w:rsidRPr="00910534">
        <w:rPr>
          <w:rFonts w:eastAsiaTheme="minorHAnsi"/>
          <w:kern w:val="2"/>
          <w14:ligatures w14:val="standardContextual"/>
        </w:rPr>
        <w:t xml:space="preserve">89 FR 102398. The final rule, which included </w:t>
      </w:r>
      <w:r w:rsidRPr="00910534">
        <w:rPr>
          <w:rFonts w:eastAsiaTheme="minorHAnsi" w:cstheme="minorBidi"/>
          <w:bCs/>
          <w:kern w:val="2"/>
          <w:szCs w:val="22"/>
          <w14:ligatures w14:val="standardContextual"/>
        </w:rPr>
        <w:t>certain provisions required by the FAA Reauthorization Act of 2024 (2024 FAA Act),</w:t>
      </w:r>
      <w:r w:rsidRPr="00910534">
        <w:rPr>
          <w:rFonts w:eastAsiaTheme="minorHAnsi" w:cstheme="minorBidi"/>
          <w:bCs/>
          <w:kern w:val="2"/>
          <w:szCs w:val="22"/>
          <w:vertAlign w:val="superscript"/>
          <w14:ligatures w14:val="standardContextual"/>
        </w:rPr>
        <w:footnoteReference w:id="1"/>
      </w:r>
      <w:r w:rsidRPr="00910534">
        <w:rPr>
          <w:rFonts w:eastAsiaTheme="minorHAnsi" w:cstheme="minorBidi"/>
          <w:bCs/>
          <w:kern w:val="2"/>
          <w:szCs w:val="22"/>
          <w14:ligatures w14:val="standardContextual"/>
        </w:rPr>
        <w:t xml:space="preserve"> expanded existing airline obligations in </w:t>
      </w:r>
      <w:r w:rsidRPr="00910534">
        <w:rPr>
          <w:rFonts w:eastAsiaTheme="minorHAnsi"/>
          <w:kern w:val="2"/>
          <w14:ligatures w14:val="standardContextual"/>
        </w:rPr>
        <w:t xml:space="preserve">14 CFR Part 382 regarding the treatment of air travelers with disabilities. More specifically, the final rule established new requirements in various areas such as training for airline personnel and contractors, assistance to passengers who use wheelchairs in embarking and disembarking from aircraft and moving within the terminal, and airlines’ obligation should wheelchairs or scooters be mishandled. The final rule became effective on January 16, 2025; </w:t>
      </w:r>
      <w:r w:rsidRPr="00910534">
        <w:rPr>
          <w:rFonts w:eastAsiaTheme="minorHAnsi" w:cstheme="minorBidi"/>
          <w:bCs/>
          <w:kern w:val="2"/>
          <w:szCs w:val="22"/>
          <w14:ligatures w14:val="standardContextual"/>
        </w:rPr>
        <w:t xml:space="preserve">however, </w:t>
      </w:r>
      <w:r w:rsidRPr="00910534">
        <w:rPr>
          <w:rFonts w:eastAsiaTheme="minorHAnsi" w:cstheme="minorBidi"/>
          <w:bCs/>
          <w:kern w:val="2"/>
          <w:szCs w:val="22"/>
          <w14:ligatures w14:val="standardContextual"/>
        </w:rPr>
        <w:lastRenderedPageBreak/>
        <w:t>individual requirements in the final rule have varying implementation times, ranging from January 16, 2025 to June 17, 2026 for training requirements</w:t>
      </w:r>
      <w:r w:rsidRPr="00910534">
        <w:rPr>
          <w:rFonts w:eastAsiaTheme="minorHAnsi"/>
          <w:kern w:val="2"/>
          <w14:ligatures w14:val="standardContextual"/>
        </w:rPr>
        <w:t xml:space="preserve">.   </w:t>
      </w:r>
    </w:p>
    <w:p w14:paraId="3F4CA419" w14:textId="77777777" w:rsidR="001F4277" w:rsidRPr="00910534" w:rsidRDefault="001F4277" w:rsidP="001F4277">
      <w:pPr>
        <w:spacing w:line="480" w:lineRule="auto"/>
        <w:ind w:firstLine="720"/>
        <w:rPr>
          <w:rFonts w:eastAsiaTheme="minorHAnsi"/>
          <w:kern w:val="2"/>
          <w14:ligatures w14:val="standardContextual"/>
        </w:rPr>
      </w:pPr>
      <w:r w:rsidRPr="00910534">
        <w:rPr>
          <w:rFonts w:eastAsiaTheme="minorHAnsi"/>
          <w:kern w:val="2"/>
          <w14:ligatures w14:val="standardContextual"/>
        </w:rPr>
        <w:t xml:space="preserve">DOT previously announced that it would exercise its enforcement discretion and not enforce the Wheelchair Rule until March 20, 2025. </w:t>
      </w:r>
      <w:r w:rsidRPr="00910534">
        <w:rPr>
          <w:rFonts w:eastAsiaTheme="minorHAnsi"/>
          <w:i/>
          <w:iCs/>
          <w:kern w:val="2"/>
          <w14:ligatures w14:val="standardContextual"/>
        </w:rPr>
        <w:t>See</w:t>
      </w:r>
      <w:r w:rsidRPr="00910534">
        <w:rPr>
          <w:rFonts w:eastAsiaTheme="minorHAnsi"/>
          <w:kern w:val="2"/>
          <w14:ligatures w14:val="standardContextual"/>
        </w:rPr>
        <w:t xml:space="preserve"> 90 FR 9953 (Feb. 20, 2025). DOT is now providing notice that it will continue to exercise its enforcement discretion and not enforce the Wheelchair Rule before August 1, 2025, to allow additional time for the officials appointed or designated by the President to review the Wheelchair Rule to ensure that it is consistent with the law, </w:t>
      </w:r>
      <w:r w:rsidRPr="00910534">
        <w:rPr>
          <w:rFonts w:eastAsiaTheme="minorHAnsi" w:cstheme="minorBidi"/>
          <w:bCs/>
          <w:kern w:val="2"/>
          <w:szCs w:val="22"/>
          <w14:ligatures w14:val="standardContextual"/>
        </w:rPr>
        <w:t>including the requirements of the 2024 FAA Act,</w:t>
      </w:r>
      <w:r w:rsidRPr="00910534">
        <w:rPr>
          <w:rFonts w:eastAsiaTheme="minorHAnsi"/>
          <w:kern w:val="2"/>
          <w14:ligatures w14:val="standardContextual"/>
        </w:rPr>
        <w:t xml:space="preserve"> and Administration policies, and to consider the issues raised by a lawsuit filed recently to challenge certain provisions of the Wheelchair Rule.</w:t>
      </w:r>
      <w:r w:rsidRPr="00910534">
        <w:rPr>
          <w:rFonts w:eastAsiaTheme="minorHAnsi"/>
          <w:kern w:val="2"/>
          <w:vertAlign w:val="superscript"/>
          <w14:ligatures w14:val="standardContextual"/>
        </w:rPr>
        <w:footnoteReference w:id="2"/>
      </w:r>
      <w:r w:rsidRPr="00910534">
        <w:rPr>
          <w:rFonts w:eastAsiaTheme="minorHAnsi"/>
          <w:kern w:val="2"/>
          <w14:ligatures w14:val="standardContextual"/>
        </w:rPr>
        <w:t xml:space="preserve"> This notice of enforcement discretion pertains only to the new or revised requirements imposed by the Wheelchair Rule. It does not apply to violations of 14 CFR Part 382 that would also have been violations prior to the issuance of the Wheelchair Rule.</w:t>
      </w:r>
    </w:p>
    <w:p w14:paraId="7A40214E" w14:textId="77777777" w:rsidR="001F4277" w:rsidRPr="00910534" w:rsidRDefault="001F4277" w:rsidP="001F4277">
      <w:pPr>
        <w:spacing w:line="480" w:lineRule="auto"/>
        <w:ind w:firstLine="720"/>
        <w:rPr>
          <w:rFonts w:eastAsiaTheme="minorHAnsi"/>
          <w:kern w:val="2"/>
          <w14:ligatures w14:val="standardContextual"/>
        </w:rPr>
      </w:pPr>
      <w:r w:rsidRPr="00910534">
        <w:rPr>
          <w:rFonts w:eastAsiaTheme="minorHAnsi"/>
          <w:kern w:val="2"/>
          <w14:ligatures w14:val="standardContextual"/>
        </w:rPr>
        <w:t>Issued in Washington, D.C., under authority delegated in 49 CFR 1.27(a):</w:t>
      </w:r>
    </w:p>
    <w:p w14:paraId="094A9F75" w14:textId="3BEE8D2D" w:rsidR="001F4277" w:rsidRPr="00910534" w:rsidRDefault="001F4277" w:rsidP="001F4277">
      <w:pPr>
        <w:spacing w:line="480" w:lineRule="auto"/>
        <w:rPr>
          <w:rFonts w:eastAsiaTheme="minorHAnsi"/>
          <w:kern w:val="2"/>
          <w14:ligatures w14:val="standardContextual"/>
        </w:rPr>
      </w:pPr>
      <w:r w:rsidRPr="00910534">
        <w:rPr>
          <w:rFonts w:eastAsiaTheme="minorHAnsi"/>
          <w:kern w:val="2"/>
          <w14:ligatures w14:val="standardContextual"/>
        </w:rPr>
        <w:tab/>
        <w:t>__</w:t>
      </w:r>
      <w:r w:rsidRPr="001F4277">
        <w:rPr>
          <w:rFonts w:eastAsiaTheme="minorHAnsi"/>
          <w:kern w:val="2"/>
          <w:u w:val="single"/>
          <w14:ligatures w14:val="standardContextual"/>
        </w:rPr>
        <w:t xml:space="preserve">- Original Signed - </w:t>
      </w:r>
      <w:r w:rsidRPr="00910534">
        <w:rPr>
          <w:rFonts w:eastAsiaTheme="minorHAnsi"/>
          <w:kern w:val="2"/>
          <w14:ligatures w14:val="standardContextual"/>
        </w:rPr>
        <w:t>__</w:t>
      </w:r>
    </w:p>
    <w:p w14:paraId="0ED3F132" w14:textId="77777777" w:rsidR="001F4277" w:rsidRPr="00910534" w:rsidRDefault="001F4277" w:rsidP="001F4277">
      <w:pPr>
        <w:spacing w:line="480" w:lineRule="auto"/>
        <w:rPr>
          <w:rFonts w:eastAsiaTheme="minorHAnsi"/>
          <w:kern w:val="2"/>
          <w14:ligatures w14:val="standardContextual"/>
        </w:rPr>
      </w:pPr>
      <w:r w:rsidRPr="00910534">
        <w:rPr>
          <w:rFonts w:eastAsiaTheme="minorHAnsi"/>
          <w:kern w:val="2"/>
          <w14:ligatures w14:val="standardContextual"/>
        </w:rPr>
        <w:tab/>
        <w:t>Gregory D. Cote,</w:t>
      </w:r>
    </w:p>
    <w:p w14:paraId="73D8CCA6" w14:textId="77777777" w:rsidR="001F4277" w:rsidRPr="00910534" w:rsidRDefault="001F4277" w:rsidP="001F4277">
      <w:pPr>
        <w:spacing w:line="480" w:lineRule="auto"/>
        <w:rPr>
          <w:rFonts w:eastAsiaTheme="minorHAnsi"/>
          <w:kern w:val="2"/>
          <w14:ligatures w14:val="standardContextual"/>
        </w:rPr>
      </w:pPr>
      <w:r w:rsidRPr="00910534">
        <w:rPr>
          <w:rFonts w:eastAsiaTheme="minorHAnsi"/>
          <w:kern w:val="2"/>
          <w14:ligatures w14:val="standardContextual"/>
        </w:rPr>
        <w:tab/>
        <w:t>Acting General Counsel.</w:t>
      </w:r>
    </w:p>
    <w:p w14:paraId="5F2FF311" w14:textId="77777777" w:rsidR="001F4277" w:rsidRPr="00516CD8" w:rsidRDefault="001F4277" w:rsidP="001F4277"/>
    <w:p w14:paraId="3E28B002" w14:textId="77777777" w:rsidR="009B77BB" w:rsidRDefault="009B77BB"/>
    <w:sectPr w:rsidR="009B77BB" w:rsidSect="001F4277">
      <w:headerReference w:type="default" r:id="rId11"/>
      <w:footerReference w:type="default" r:id="rId12"/>
      <w:headerReference w:type="first" r:id="rId13"/>
      <w:footerReference w:type="first" r:id="rId14"/>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6B08" w14:textId="77777777" w:rsidR="001935B1" w:rsidRDefault="001935B1" w:rsidP="001F4277">
      <w:r>
        <w:separator/>
      </w:r>
    </w:p>
  </w:endnote>
  <w:endnote w:type="continuationSeparator" w:id="0">
    <w:p w14:paraId="11644753" w14:textId="77777777" w:rsidR="001935B1" w:rsidRDefault="001935B1" w:rsidP="001F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136546"/>
      <w:docPartObj>
        <w:docPartGallery w:val="Page Numbers (Bottom of Page)"/>
        <w:docPartUnique/>
      </w:docPartObj>
    </w:sdtPr>
    <w:sdtEndPr>
      <w:rPr>
        <w:noProof/>
      </w:rPr>
    </w:sdtEndPr>
    <w:sdtContent>
      <w:p w14:paraId="70660062" w14:textId="77777777" w:rsidR="007C7C0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29A5EB" w14:textId="77777777" w:rsidR="007C7C0C" w:rsidRDefault="007C7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FB60" w14:textId="77777777" w:rsidR="007C7C0C" w:rsidRDefault="007C7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E9C5" w14:textId="77777777" w:rsidR="001935B1" w:rsidRDefault="001935B1" w:rsidP="001F4277">
      <w:r>
        <w:separator/>
      </w:r>
    </w:p>
  </w:footnote>
  <w:footnote w:type="continuationSeparator" w:id="0">
    <w:p w14:paraId="461A97FB" w14:textId="77777777" w:rsidR="001935B1" w:rsidRDefault="001935B1" w:rsidP="001F4277">
      <w:r>
        <w:continuationSeparator/>
      </w:r>
    </w:p>
  </w:footnote>
  <w:footnote w:id="1">
    <w:p w14:paraId="4D8CA945" w14:textId="77777777" w:rsidR="001F4277" w:rsidRDefault="001F4277" w:rsidP="001F4277">
      <w:pPr>
        <w:pStyle w:val="FootnoteText"/>
      </w:pPr>
      <w:r w:rsidRPr="00213A82">
        <w:rPr>
          <w:rStyle w:val="FootnoteReference"/>
        </w:rPr>
        <w:footnoteRef/>
      </w:r>
      <w:r>
        <w:t xml:space="preserve"> </w:t>
      </w:r>
      <w:r w:rsidRPr="0003666F">
        <w:t xml:space="preserve">The FAA Reauthorization Act of 2024, </w:t>
      </w:r>
      <w:r w:rsidRPr="004C3484">
        <w:t>Public Law 118-63</w:t>
      </w:r>
      <w:r w:rsidRPr="0003666F">
        <w:t xml:space="preserve"> (May 16, 2024).</w:t>
      </w:r>
    </w:p>
  </w:footnote>
  <w:footnote w:id="2">
    <w:p w14:paraId="28468A98" w14:textId="77777777" w:rsidR="001F4277" w:rsidRPr="00213A82" w:rsidRDefault="001F4277" w:rsidP="001F4277">
      <w:pPr>
        <w:pStyle w:val="FootnoteText"/>
      </w:pPr>
      <w:r w:rsidRPr="00213A82">
        <w:rPr>
          <w:rStyle w:val="FootnoteReference"/>
        </w:rPr>
        <w:footnoteRef/>
      </w:r>
      <w:r w:rsidRPr="00213A82">
        <w:t xml:space="preserve"> </w:t>
      </w:r>
      <w:r w:rsidRPr="00CD4CD5">
        <w:rPr>
          <w:i/>
          <w:iCs/>
        </w:rPr>
        <w:t xml:space="preserve">Airlines for America, et al. v. </w:t>
      </w:r>
      <w:proofErr w:type="spellStart"/>
      <w:r w:rsidRPr="00CD4CD5">
        <w:rPr>
          <w:i/>
          <w:iCs/>
        </w:rPr>
        <w:t>Dep’t</w:t>
      </w:r>
      <w:proofErr w:type="spellEnd"/>
      <w:r w:rsidRPr="00CD4CD5">
        <w:rPr>
          <w:i/>
          <w:iCs/>
        </w:rPr>
        <w:t xml:space="preserve"> of Transp</w:t>
      </w:r>
      <w:r w:rsidRPr="00213A82">
        <w:t>., No. 25-60071 (5th Cir.).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AA7B" w14:textId="77777777" w:rsidR="007C7C0C" w:rsidRDefault="007C7C0C">
    <w:pPr>
      <w:pStyle w:val="Header"/>
      <w:jc w:val="right"/>
    </w:pPr>
  </w:p>
  <w:p w14:paraId="667C128A" w14:textId="77777777" w:rsidR="007C7C0C" w:rsidRDefault="007C7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F1EB" w14:textId="77777777" w:rsidR="007C7C0C" w:rsidRPr="00910534" w:rsidRDefault="007C7C0C" w:rsidP="00910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77"/>
    <w:rsid w:val="001935B1"/>
    <w:rsid w:val="001D7A44"/>
    <w:rsid w:val="001F4277"/>
    <w:rsid w:val="005A0C69"/>
    <w:rsid w:val="005F79E8"/>
    <w:rsid w:val="0070448E"/>
    <w:rsid w:val="007C7C0C"/>
    <w:rsid w:val="009B77BB"/>
    <w:rsid w:val="00AD1C14"/>
    <w:rsid w:val="00AD521F"/>
    <w:rsid w:val="00BB2834"/>
    <w:rsid w:val="00C77DC4"/>
    <w:rsid w:val="00D27709"/>
    <w:rsid w:val="00DE1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BE32"/>
  <w15:chartTrackingRefBased/>
  <w15:docId w15:val="{A194049A-7A85-420F-A1A8-52523786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277"/>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4277"/>
    <w:pPr>
      <w:tabs>
        <w:tab w:val="center" w:pos="4680"/>
        <w:tab w:val="right" w:pos="9360"/>
      </w:tabs>
    </w:pPr>
  </w:style>
  <w:style w:type="character" w:customStyle="1" w:styleId="HeaderChar">
    <w:name w:val="Header Char"/>
    <w:basedOn w:val="DefaultParagraphFont"/>
    <w:link w:val="Header"/>
    <w:uiPriority w:val="99"/>
    <w:rsid w:val="001F4277"/>
    <w:rPr>
      <w:rFonts w:eastAsia="Times New Roman" w:cs="Times New Roman"/>
      <w:kern w:val="0"/>
      <w:szCs w:val="24"/>
      <w14:ligatures w14:val="none"/>
    </w:rPr>
  </w:style>
  <w:style w:type="paragraph" w:styleId="Footer">
    <w:name w:val="footer"/>
    <w:basedOn w:val="Normal"/>
    <w:link w:val="FooterChar"/>
    <w:uiPriority w:val="99"/>
    <w:rsid w:val="001F4277"/>
    <w:pPr>
      <w:tabs>
        <w:tab w:val="center" w:pos="4680"/>
        <w:tab w:val="right" w:pos="9360"/>
      </w:tabs>
    </w:pPr>
  </w:style>
  <w:style w:type="character" w:customStyle="1" w:styleId="FooterChar">
    <w:name w:val="Footer Char"/>
    <w:basedOn w:val="DefaultParagraphFont"/>
    <w:link w:val="Footer"/>
    <w:uiPriority w:val="99"/>
    <w:rsid w:val="001F4277"/>
    <w:rPr>
      <w:rFonts w:eastAsia="Times New Roman" w:cs="Times New Roman"/>
      <w:kern w:val="0"/>
      <w:szCs w:val="24"/>
      <w14:ligatures w14:val="none"/>
    </w:rPr>
  </w:style>
  <w:style w:type="paragraph" w:styleId="FootnoteText">
    <w:name w:val="footnote text"/>
    <w:basedOn w:val="Normal"/>
    <w:link w:val="FootnoteTextChar"/>
    <w:unhideWhenUsed/>
    <w:rsid w:val="001F4277"/>
    <w:rPr>
      <w:sz w:val="20"/>
      <w:szCs w:val="20"/>
    </w:rPr>
  </w:style>
  <w:style w:type="character" w:customStyle="1" w:styleId="FootnoteTextChar">
    <w:name w:val="Footnote Text Char"/>
    <w:basedOn w:val="DefaultParagraphFont"/>
    <w:link w:val="FootnoteText"/>
    <w:rsid w:val="001F4277"/>
    <w:rPr>
      <w:rFonts w:eastAsia="Times New Roman" w:cs="Times New Roman"/>
      <w:kern w:val="0"/>
      <w:sz w:val="20"/>
      <w:szCs w:val="20"/>
      <w14:ligatures w14:val="none"/>
    </w:rPr>
  </w:style>
  <w:style w:type="character" w:styleId="FootnoteReference">
    <w:name w:val="footnote reference"/>
    <w:basedOn w:val="DefaultParagraphFont"/>
    <w:uiPriority w:val="99"/>
    <w:unhideWhenUsed/>
    <w:rsid w:val="001F4277"/>
    <w:rPr>
      <w:vertAlign w:val="superscript"/>
    </w:rPr>
  </w:style>
  <w:style w:type="character" w:styleId="Hyperlink">
    <w:name w:val="Hyperlink"/>
    <w:basedOn w:val="DefaultParagraphFont"/>
    <w:uiPriority w:val="99"/>
    <w:unhideWhenUsed/>
    <w:rsid w:val="00AD1C14"/>
    <w:rPr>
      <w:color w:val="0563C1" w:themeColor="hyperlink"/>
      <w:u w:val="single"/>
    </w:rPr>
  </w:style>
  <w:style w:type="character" w:styleId="UnresolvedMention">
    <w:name w:val="Unresolved Mention"/>
    <w:basedOn w:val="DefaultParagraphFont"/>
    <w:uiPriority w:val="99"/>
    <w:semiHidden/>
    <w:unhideWhenUsed/>
    <w:rsid w:val="00AD1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federalregister.gov"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ederalregister.gov"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GovInfo.gov" TargetMode="External"/><Relationship Id="rId4" Type="http://schemas.openxmlformats.org/officeDocument/2006/relationships/footnotes" Target="footnotes.xml"/><Relationship Id="rId9" Type="http://schemas.openxmlformats.org/officeDocument/2006/relationships/hyperlink" Target="http://www.federalregister.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Nguyen, Vinh (OST)</cp:lastModifiedBy>
  <cp:revision>7</cp:revision>
  <dcterms:created xsi:type="dcterms:W3CDTF">2025-06-02T16:09:00Z</dcterms:created>
  <dcterms:modified xsi:type="dcterms:W3CDTF">2025-06-02T16:30:00Z</dcterms:modified>
</cp:coreProperties>
</file>