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8953" w14:textId="7CDD7FA8" w:rsidR="005505E6" w:rsidRPr="00205B9F" w:rsidRDefault="0046250F" w:rsidP="00721F44">
      <w:pPr>
        <w:pStyle w:val="Title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748AA" wp14:editId="1B1925CE">
            <wp:simplePos x="0" y="0"/>
            <wp:positionH relativeFrom="column">
              <wp:posOffset>-346075</wp:posOffset>
            </wp:positionH>
            <wp:positionV relativeFrom="paragraph">
              <wp:posOffset>-326499</wp:posOffset>
            </wp:positionV>
            <wp:extent cx="1165860" cy="788670"/>
            <wp:effectExtent l="0" t="0" r="0" b="0"/>
            <wp:wrapNone/>
            <wp:docPr id="6" name="Picture 6" descr="U.S. Department of Transportation Disability Resource Center Logo with white text on a medium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U.S. Department of Transportation Disability Resource Center Logo with white text on a medium blue backgroun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5E6" w:rsidRPr="00205B9F">
        <w:t>Accessible Communication</w:t>
      </w:r>
    </w:p>
    <w:p w14:paraId="38FDFC27" w14:textId="77777777" w:rsidR="0046250F" w:rsidRDefault="0046250F" w:rsidP="0046250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BF0088" w14:textId="6597D60F" w:rsidR="005505E6" w:rsidRDefault="005505E6" w:rsidP="00721F44">
      <w:pPr>
        <w:spacing w:line="360" w:lineRule="auto"/>
        <w:rPr>
          <w:rFonts w:ascii="Arial" w:hAnsi="Arial" w:cs="Arial"/>
          <w:sz w:val="24"/>
          <w:szCs w:val="24"/>
        </w:rPr>
      </w:pPr>
      <w:r w:rsidRPr="005274F6">
        <w:rPr>
          <w:rFonts w:ascii="Arial" w:hAnsi="Arial" w:cs="Arial"/>
          <w:sz w:val="24"/>
          <w:szCs w:val="24"/>
        </w:rPr>
        <w:t>This document provides guidance to help ensure that all DOT communications are</w:t>
      </w:r>
      <w:r w:rsidR="00A016B1">
        <w:rPr>
          <w:rFonts w:ascii="Arial" w:hAnsi="Arial" w:cs="Arial"/>
          <w:sz w:val="24"/>
          <w:szCs w:val="24"/>
        </w:rPr>
        <w:t xml:space="preserve"> </w:t>
      </w:r>
      <w:r w:rsidRPr="005274F6">
        <w:rPr>
          <w:rFonts w:ascii="Arial" w:hAnsi="Arial" w:cs="Arial"/>
          <w:sz w:val="24"/>
          <w:szCs w:val="24"/>
        </w:rPr>
        <w:t>accessible.</w:t>
      </w:r>
    </w:p>
    <w:p w14:paraId="338430E8" w14:textId="204EE29A" w:rsidR="005505E6" w:rsidRPr="002065DA" w:rsidRDefault="005505E6" w:rsidP="00721F44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bookmarkStart w:id="0" w:name="_Reasonable_Accommodation_Statement"/>
      <w:bookmarkStart w:id="1" w:name="_Ref141262027"/>
      <w:bookmarkEnd w:id="0"/>
      <w:r w:rsidRPr="002065DA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Reasonable Accommodation Statement</w:t>
      </w:r>
      <w:bookmarkEnd w:id="1"/>
    </w:p>
    <w:p w14:paraId="71550367" w14:textId="6E1600C2" w:rsidR="005505E6" w:rsidRPr="00B0149A" w:rsidRDefault="005505E6" w:rsidP="00721F44">
      <w:pPr>
        <w:pStyle w:val="ListParagraph"/>
        <w:numPr>
          <w:ilvl w:val="0"/>
          <w:numId w:val="9"/>
        </w:numPr>
        <w:spacing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B0149A">
        <w:rPr>
          <w:rFonts w:ascii="Arial" w:hAnsi="Arial" w:cs="Arial"/>
          <w:color w:val="000000" w:themeColor="text1"/>
          <w:sz w:val="24"/>
          <w:szCs w:val="24"/>
        </w:rPr>
        <w:t>All communications inviting people to meetings/events should have a reasonable accommodation statement to ensure that participants know how to request assistance. A suggested statement is:</w:t>
      </w:r>
    </w:p>
    <w:p w14:paraId="65707F6D" w14:textId="3A92EEC4" w:rsidR="005505E6" w:rsidRPr="005274F6" w:rsidRDefault="005505E6" w:rsidP="0046250F">
      <w:pPr>
        <w:spacing w:line="360" w:lineRule="auto"/>
        <w:ind w:left="720"/>
        <w:rPr>
          <w:rFonts w:ascii="Arial" w:eastAsia="Times New Roman" w:hAnsi="Arial" w:cs="Arial"/>
          <w:i/>
          <w:sz w:val="24"/>
          <w:szCs w:val="24"/>
        </w:rPr>
      </w:pPr>
      <w:r w:rsidRPr="005274F6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5274F6">
        <w:rPr>
          <w:rFonts w:ascii="Arial" w:eastAsia="Times New Roman" w:hAnsi="Arial" w:cs="Arial"/>
          <w:i/>
          <w:sz w:val="24"/>
          <w:szCs w:val="24"/>
        </w:rPr>
        <w:t xml:space="preserve">We are committed to providing equal access to this </w:t>
      </w:r>
      <w:r w:rsidR="00C66148">
        <w:rPr>
          <w:rFonts w:ascii="Arial" w:eastAsia="Times New Roman" w:hAnsi="Arial" w:cs="Arial"/>
          <w:i/>
          <w:sz w:val="24"/>
          <w:szCs w:val="24"/>
        </w:rPr>
        <w:t>&lt;</w:t>
      </w:r>
      <w:r w:rsidRPr="005274F6">
        <w:rPr>
          <w:rFonts w:ascii="Arial" w:eastAsia="Times New Roman" w:hAnsi="Arial" w:cs="Arial"/>
          <w:i/>
          <w:sz w:val="24"/>
          <w:szCs w:val="24"/>
        </w:rPr>
        <w:t>meeting/event</w:t>
      </w:r>
      <w:r w:rsidR="00C66148">
        <w:rPr>
          <w:rFonts w:ascii="Arial" w:eastAsia="Times New Roman" w:hAnsi="Arial" w:cs="Arial"/>
          <w:i/>
          <w:sz w:val="24"/>
          <w:szCs w:val="24"/>
        </w:rPr>
        <w:t>&gt;</w:t>
      </w:r>
      <w:r w:rsidRPr="005274F6">
        <w:rPr>
          <w:rFonts w:ascii="Arial" w:eastAsia="Times New Roman" w:hAnsi="Arial" w:cs="Arial"/>
          <w:i/>
          <w:sz w:val="24"/>
          <w:szCs w:val="24"/>
        </w:rPr>
        <w:t xml:space="preserve"> for all participants. If alternative formats or other reasonable accommodations are needed, please contact </w:t>
      </w:r>
      <w:r w:rsidR="00C66148">
        <w:rPr>
          <w:rFonts w:ascii="Arial" w:eastAsia="Times New Roman" w:hAnsi="Arial" w:cs="Arial"/>
          <w:i/>
          <w:sz w:val="24"/>
          <w:szCs w:val="24"/>
        </w:rPr>
        <w:t>&lt;</w:t>
      </w:r>
      <w:r w:rsidRPr="005274F6">
        <w:rPr>
          <w:rFonts w:ascii="Arial" w:eastAsia="Times New Roman" w:hAnsi="Arial" w:cs="Arial"/>
          <w:i/>
          <w:sz w:val="24"/>
          <w:szCs w:val="24"/>
        </w:rPr>
        <w:t>meeting/event organizer’s name</w:t>
      </w:r>
      <w:r w:rsidR="00C66148">
        <w:rPr>
          <w:rFonts w:ascii="Arial" w:eastAsia="Times New Roman" w:hAnsi="Arial" w:cs="Arial"/>
          <w:i/>
          <w:sz w:val="24"/>
          <w:szCs w:val="24"/>
        </w:rPr>
        <w:t>&gt;</w:t>
      </w:r>
      <w:r w:rsidRPr="005274F6">
        <w:rPr>
          <w:rFonts w:ascii="Arial" w:eastAsia="Times New Roman" w:hAnsi="Arial" w:cs="Arial"/>
          <w:i/>
          <w:sz w:val="24"/>
          <w:szCs w:val="24"/>
        </w:rPr>
        <w:t xml:space="preserve"> at </w:t>
      </w:r>
      <w:r w:rsidR="00C66148">
        <w:rPr>
          <w:rFonts w:ascii="Arial" w:eastAsia="Times New Roman" w:hAnsi="Arial" w:cs="Arial"/>
          <w:i/>
          <w:sz w:val="24"/>
          <w:szCs w:val="24"/>
        </w:rPr>
        <w:t>&lt;</w:t>
      </w:r>
      <w:r w:rsidRPr="005274F6">
        <w:rPr>
          <w:rFonts w:ascii="Arial" w:eastAsia="Times New Roman" w:hAnsi="Arial" w:cs="Arial"/>
          <w:i/>
          <w:sz w:val="24"/>
          <w:szCs w:val="24"/>
        </w:rPr>
        <w:t>phone number</w:t>
      </w:r>
      <w:r w:rsidR="00C66148">
        <w:rPr>
          <w:rFonts w:ascii="Arial" w:eastAsia="Times New Roman" w:hAnsi="Arial" w:cs="Arial"/>
          <w:i/>
          <w:sz w:val="24"/>
          <w:szCs w:val="24"/>
        </w:rPr>
        <w:t>&gt;</w:t>
      </w:r>
      <w:r w:rsidRPr="005274F6">
        <w:rPr>
          <w:rFonts w:ascii="Arial" w:eastAsia="Times New Roman" w:hAnsi="Arial" w:cs="Arial"/>
          <w:i/>
          <w:sz w:val="24"/>
          <w:szCs w:val="24"/>
        </w:rPr>
        <w:t xml:space="preserve"> or via email </w:t>
      </w:r>
      <w:r w:rsidR="00C66148">
        <w:rPr>
          <w:rFonts w:ascii="Arial" w:eastAsia="Times New Roman" w:hAnsi="Arial" w:cs="Arial"/>
          <w:i/>
          <w:sz w:val="24"/>
          <w:szCs w:val="24"/>
        </w:rPr>
        <w:t>&lt;</w:t>
      </w:r>
      <w:r w:rsidRPr="005274F6">
        <w:rPr>
          <w:rFonts w:ascii="Arial" w:eastAsia="Times New Roman" w:hAnsi="Arial" w:cs="Arial"/>
          <w:i/>
          <w:sz w:val="24"/>
          <w:szCs w:val="24"/>
        </w:rPr>
        <w:t>email address</w:t>
      </w:r>
      <w:r w:rsidR="00C66148">
        <w:rPr>
          <w:rFonts w:ascii="Arial" w:eastAsia="Times New Roman" w:hAnsi="Arial" w:cs="Arial"/>
          <w:i/>
          <w:sz w:val="24"/>
          <w:szCs w:val="24"/>
        </w:rPr>
        <w:t>&gt;</w:t>
      </w:r>
      <w:r w:rsidRPr="005274F6">
        <w:rPr>
          <w:rFonts w:ascii="Arial" w:eastAsia="Times New Roman" w:hAnsi="Arial" w:cs="Arial"/>
          <w:i/>
          <w:sz w:val="24"/>
          <w:szCs w:val="24"/>
        </w:rPr>
        <w:t xml:space="preserve"> by close of business </w:t>
      </w:r>
      <w:r w:rsidR="00C66148">
        <w:rPr>
          <w:rFonts w:ascii="Arial" w:eastAsia="Times New Roman" w:hAnsi="Arial" w:cs="Arial"/>
          <w:i/>
          <w:sz w:val="24"/>
          <w:szCs w:val="24"/>
        </w:rPr>
        <w:t>&lt;</w:t>
      </w:r>
      <w:r w:rsidRPr="005274F6">
        <w:rPr>
          <w:rFonts w:ascii="Arial" w:eastAsia="Times New Roman" w:hAnsi="Arial" w:cs="Arial"/>
          <w:i/>
          <w:sz w:val="24"/>
          <w:szCs w:val="24"/>
        </w:rPr>
        <w:t>deadline</w:t>
      </w:r>
      <w:r w:rsidR="00C66148">
        <w:rPr>
          <w:rFonts w:ascii="Arial" w:eastAsia="Times New Roman" w:hAnsi="Arial" w:cs="Arial"/>
          <w:i/>
          <w:sz w:val="24"/>
          <w:szCs w:val="24"/>
        </w:rPr>
        <w:t>&gt;</w:t>
      </w:r>
      <w:r w:rsidRPr="005274F6">
        <w:rPr>
          <w:rFonts w:ascii="Arial" w:eastAsia="Times New Roman" w:hAnsi="Arial" w:cs="Arial"/>
          <w:i/>
          <w:sz w:val="24"/>
          <w:szCs w:val="24"/>
        </w:rPr>
        <w:t>.”</w:t>
      </w:r>
    </w:p>
    <w:p w14:paraId="27D55FED" w14:textId="2500DE23" w:rsidR="005505E6" w:rsidRDefault="005505E6" w:rsidP="00721F44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" w:eastAsia="Times New Roman" w:hAnsi="Arial" w:cs="Arial"/>
          <w:iCs/>
          <w:sz w:val="24"/>
          <w:szCs w:val="24"/>
        </w:rPr>
      </w:pPr>
      <w:bookmarkStart w:id="2" w:name="_Hlk141187982"/>
      <w:bookmarkEnd w:id="2"/>
      <w:r w:rsidRPr="00B0149A">
        <w:rPr>
          <w:rFonts w:ascii="Arial" w:eastAsia="Times New Roman" w:hAnsi="Arial" w:cs="Arial"/>
          <w:iCs/>
          <w:sz w:val="24"/>
          <w:szCs w:val="24"/>
        </w:rPr>
        <w:t>Meeting/event organizers are encouraged to set the deadline for requesting accommodations 8-10 business days before the event so that requests for interpreting and/or captioning services can be submitted well in advance of the industry standard 5-day minimum notice.</w:t>
      </w:r>
    </w:p>
    <w:p w14:paraId="55416B21" w14:textId="621AC687" w:rsidR="005505E6" w:rsidRPr="002065DA" w:rsidRDefault="005505E6" w:rsidP="00721F44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2065DA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All Visual Communications</w:t>
      </w:r>
    </w:p>
    <w:p w14:paraId="49B7BC49" w14:textId="58529C5B" w:rsidR="005505E6" w:rsidRPr="00721F44" w:rsidRDefault="005505E6" w:rsidP="00E4179B">
      <w:pPr>
        <w:pStyle w:val="Heading2"/>
        <w:spacing w:line="36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721F44">
        <w:rPr>
          <w:rFonts w:ascii="Arial" w:hAnsi="Arial" w:cs="Arial"/>
          <w:color w:val="auto"/>
          <w:sz w:val="24"/>
          <w:szCs w:val="24"/>
          <w:u w:val="single"/>
        </w:rPr>
        <w:t>Emails, Documents &amp; Presentations</w:t>
      </w:r>
    </w:p>
    <w:p w14:paraId="28BF1A8E" w14:textId="2C7D7611" w:rsidR="005505E6" w:rsidRPr="00B131EB" w:rsidRDefault="005505E6" w:rsidP="00721F44">
      <w:pPr>
        <w:pStyle w:val="ListParagraph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131EB">
        <w:rPr>
          <w:rFonts w:ascii="Arial" w:hAnsi="Arial" w:cs="Arial"/>
          <w:iCs/>
          <w:sz w:val="24"/>
          <w:szCs w:val="24"/>
        </w:rPr>
        <w:t>Use high contrast. Avoid colorful and/or busy backgrounds and wallpaper.</w:t>
      </w:r>
    </w:p>
    <w:p w14:paraId="466A91DA" w14:textId="0B189FEB" w:rsidR="005505E6" w:rsidRPr="00B131EB" w:rsidRDefault="005505E6" w:rsidP="00721F44">
      <w:pPr>
        <w:pStyle w:val="ListParagraph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131EB">
        <w:rPr>
          <w:rFonts w:ascii="Arial" w:hAnsi="Arial" w:cs="Arial"/>
          <w:iCs/>
          <w:sz w:val="24"/>
          <w:szCs w:val="24"/>
        </w:rPr>
        <w:t xml:space="preserve">Use </w:t>
      </w:r>
      <w:r w:rsidR="0046250F">
        <w:rPr>
          <w:rFonts w:ascii="Arial" w:hAnsi="Arial" w:cs="Arial"/>
          <w:iCs/>
          <w:sz w:val="24"/>
          <w:szCs w:val="24"/>
        </w:rPr>
        <w:t xml:space="preserve">a </w:t>
      </w:r>
      <w:proofErr w:type="gramStart"/>
      <w:r w:rsidRPr="00B131EB">
        <w:rPr>
          <w:rFonts w:ascii="Arial" w:hAnsi="Arial" w:cs="Arial"/>
          <w:iCs/>
          <w:sz w:val="24"/>
          <w:szCs w:val="24"/>
        </w:rPr>
        <w:t>12-18</w:t>
      </w:r>
      <w:r w:rsidR="0046250F">
        <w:rPr>
          <w:rFonts w:ascii="Arial" w:hAnsi="Arial" w:cs="Arial"/>
          <w:iCs/>
          <w:sz w:val="24"/>
          <w:szCs w:val="24"/>
        </w:rPr>
        <w:t xml:space="preserve"> </w:t>
      </w:r>
      <w:r w:rsidRPr="00B131EB">
        <w:rPr>
          <w:rFonts w:ascii="Arial" w:hAnsi="Arial" w:cs="Arial"/>
          <w:iCs/>
          <w:sz w:val="24"/>
          <w:szCs w:val="24"/>
        </w:rPr>
        <w:t>point</w:t>
      </w:r>
      <w:proofErr w:type="gramEnd"/>
      <w:r w:rsidRPr="00B131EB">
        <w:rPr>
          <w:rFonts w:ascii="Arial" w:hAnsi="Arial" w:cs="Arial"/>
          <w:iCs/>
          <w:sz w:val="24"/>
          <w:szCs w:val="24"/>
        </w:rPr>
        <w:t>, sans serif font, such as Arial or Verdana.</w:t>
      </w:r>
    </w:p>
    <w:p w14:paraId="0AE49616" w14:textId="5D8139A8" w:rsidR="005505E6" w:rsidRPr="00B131EB" w:rsidRDefault="005505E6" w:rsidP="00721F44">
      <w:pPr>
        <w:pStyle w:val="ListParagraph"/>
        <w:numPr>
          <w:ilvl w:val="0"/>
          <w:numId w:val="10"/>
        </w:numPr>
        <w:spacing w:before="24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B131EB">
        <w:rPr>
          <w:rFonts w:ascii="Arial" w:hAnsi="Arial" w:cs="Arial"/>
          <w:iCs/>
          <w:sz w:val="24"/>
          <w:szCs w:val="24"/>
        </w:rPr>
        <w:t>Add meaningful and concise alternative (alt) text to all images and graphics</w:t>
      </w:r>
      <w:r w:rsidR="0046250F">
        <w:rPr>
          <w:rFonts w:ascii="Arial" w:hAnsi="Arial" w:cs="Arial"/>
          <w:iCs/>
          <w:sz w:val="24"/>
          <w:szCs w:val="24"/>
        </w:rPr>
        <w:t xml:space="preserve"> to </w:t>
      </w:r>
      <w:r w:rsidRPr="00B131EB">
        <w:rPr>
          <w:rFonts w:ascii="Arial" w:hAnsi="Arial" w:cs="Arial"/>
          <w:iCs/>
          <w:sz w:val="24"/>
          <w:szCs w:val="24"/>
        </w:rPr>
        <w:t>describe the</w:t>
      </w:r>
      <w:r w:rsidR="0046250F">
        <w:rPr>
          <w:rFonts w:ascii="Arial" w:hAnsi="Arial" w:cs="Arial"/>
          <w:iCs/>
          <w:sz w:val="24"/>
          <w:szCs w:val="24"/>
        </w:rPr>
        <w:t>ir</w:t>
      </w:r>
      <w:r w:rsidRPr="00B131EB">
        <w:rPr>
          <w:rFonts w:ascii="Arial" w:hAnsi="Arial" w:cs="Arial"/>
          <w:iCs/>
          <w:sz w:val="24"/>
          <w:szCs w:val="24"/>
        </w:rPr>
        <w:t xml:space="preserve"> contents.</w:t>
      </w:r>
    </w:p>
    <w:p w14:paraId="62B7BEED" w14:textId="3E2467D5" w:rsidR="00721F44" w:rsidRDefault="005505E6" w:rsidP="00721F44">
      <w:pPr>
        <w:pStyle w:val="ListParagraph"/>
        <w:spacing w:after="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CDB57C" wp14:editId="4224B328">
            <wp:simplePos x="0" y="0"/>
            <wp:positionH relativeFrom="column">
              <wp:posOffset>457200</wp:posOffset>
            </wp:positionH>
            <wp:positionV relativeFrom="paragraph">
              <wp:posOffset>62865</wp:posOffset>
            </wp:positionV>
            <wp:extent cx="1017905" cy="687070"/>
            <wp:effectExtent l="0" t="0" r="0" b="0"/>
            <wp:wrapTight wrapText="bothSides">
              <wp:wrapPolygon edited="0">
                <wp:start x="0" y="0"/>
                <wp:lineTo x="0" y="20961"/>
                <wp:lineTo x="21021" y="20961"/>
                <wp:lineTo x="210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A30FD" w14:textId="5C9F544B" w:rsidR="005505E6" w:rsidRPr="007A4F17" w:rsidRDefault="00E67627" w:rsidP="00721F44">
      <w:pPr>
        <w:pStyle w:val="ListParagraph"/>
        <w:spacing w:line="360" w:lineRule="auto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Alt Text </w:t>
      </w:r>
      <w:r w:rsidRPr="00E67627">
        <w:rPr>
          <w:rFonts w:ascii="Arial" w:hAnsi="Arial" w:cs="Arial"/>
          <w:iCs/>
          <w:sz w:val="24"/>
          <w:szCs w:val="24"/>
        </w:rPr>
        <w:t>e</w:t>
      </w:r>
      <w:r w:rsidR="005505E6" w:rsidRPr="00E67627">
        <w:rPr>
          <w:rFonts w:ascii="Arial" w:hAnsi="Arial" w:cs="Arial"/>
          <w:iCs/>
          <w:sz w:val="24"/>
          <w:szCs w:val="24"/>
        </w:rPr>
        <w:t>xample</w:t>
      </w:r>
      <w:r w:rsidRPr="00E67627">
        <w:rPr>
          <w:rFonts w:ascii="Arial" w:hAnsi="Arial" w:cs="Arial"/>
          <w:iCs/>
          <w:sz w:val="24"/>
          <w:szCs w:val="24"/>
        </w:rPr>
        <w:t>:</w:t>
      </w:r>
      <w:r w:rsidR="005505E6" w:rsidRPr="005274F6">
        <w:rPr>
          <w:rFonts w:ascii="Arial" w:hAnsi="Arial" w:cs="Arial"/>
          <w:iCs/>
          <w:sz w:val="24"/>
          <w:szCs w:val="24"/>
        </w:rPr>
        <w:t xml:space="preserve"> “</w:t>
      </w:r>
      <w:r w:rsidR="00B83672">
        <w:rPr>
          <w:rFonts w:ascii="Arial" w:hAnsi="Arial" w:cs="Arial"/>
          <w:iCs/>
          <w:sz w:val="24"/>
          <w:szCs w:val="24"/>
        </w:rPr>
        <w:t xml:space="preserve">Logo says U.S. Department of Transportation, DRC, Disability Resource Center”. </w:t>
      </w:r>
    </w:p>
    <w:p w14:paraId="61E616C0" w14:textId="7A52B6BC" w:rsidR="005505E6" w:rsidRDefault="005505E6" w:rsidP="0046250F">
      <w:pPr>
        <w:spacing w:line="36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73C9EA" wp14:editId="7DF32F74">
            <wp:extent cx="4726745" cy="1010998"/>
            <wp:effectExtent l="0" t="0" r="0" b="0"/>
            <wp:docPr id="2" name="Picture 2" descr="The five values of the U.S. DOT are Excellence (award badge icon), Trust (handshake icon), Fairness (scales of justice icon), Empathy (heart icon), and Imagination (human brain with lightbulb icon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ive values of the U.S. DOT are Excellence (award badge icon), Trust (handshake icon), Fairness (scales of justice icon), Empathy (heart icon), and Imagination (human brain with lightbulb icon)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745" cy="10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7F20E" w14:textId="3AAE5E8F" w:rsidR="00205B9F" w:rsidRPr="00A10666" w:rsidRDefault="00E67627" w:rsidP="00721F44">
      <w:pPr>
        <w:spacing w:line="360" w:lineRule="auto"/>
        <w:ind w:left="36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Alt Text example: </w:t>
      </w:r>
      <w:r w:rsidRPr="005505E6">
        <w:rPr>
          <w:rFonts w:ascii="Arial" w:hAnsi="Arial" w:cs="Arial"/>
          <w:iCs/>
          <w:sz w:val="24"/>
          <w:szCs w:val="24"/>
        </w:rPr>
        <w:t>“The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505E6">
        <w:rPr>
          <w:rFonts w:ascii="Arial" w:hAnsi="Arial" w:cs="Arial"/>
          <w:iCs/>
          <w:sz w:val="24"/>
          <w:szCs w:val="24"/>
        </w:rPr>
        <w:t>five values of the U.S. DOT are Excellence (award badge icon), Trust (handshake icon), Fairness (scales of justice icon), Empathy (heart icon), and Imagination (human brain with lightbulb icon).”</w:t>
      </w:r>
    </w:p>
    <w:p w14:paraId="5303B079" w14:textId="55036CC8" w:rsidR="005505E6" w:rsidRDefault="005505E6" w:rsidP="00721F44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Use plain language so that people have a full understanding the first time they read it. Avoid jargon and uncommon words.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2330"/>
      </w:tblGrid>
      <w:tr w:rsidR="005505E6" w:rsidRPr="005505E6" w14:paraId="670683EA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4F95E667" w14:textId="4929B19A" w:rsidR="005505E6" w:rsidRPr="005505E6" w:rsidRDefault="000A5B7C" w:rsidP="000A5B7C">
            <w:pPr>
              <w:jc w:val="center"/>
              <w:rPr>
                <w:rFonts w:ascii="Arial" w:hAnsi="Arial" w:cs="Arial"/>
                <w:b/>
                <w:bCs/>
                <w:iCs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171717" w:themeColor="background2" w:themeShade="1A"/>
                <w:sz w:val="24"/>
                <w:szCs w:val="24"/>
              </w:rPr>
              <w:t xml:space="preserve">Plain Language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iCs/>
                <w:color w:val="171717" w:themeColor="background2" w:themeShade="1A"/>
                <w:sz w:val="24"/>
                <w:szCs w:val="24"/>
              </w:rPr>
              <mc:AlternateContent>
                <mc:Choice Requires="w16se">
                  <w16se:symEx w16se:font="Segoe UI Emoji" w16se:char="1F44D"/>
                </mc:Choice>
                <mc:Fallback>
                  <w:t>👍</w:t>
                </mc:Fallback>
              </mc:AlternateConten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44B4CC18" w14:textId="4E8C1A5E" w:rsidR="005505E6" w:rsidRPr="005505E6" w:rsidRDefault="000A5B7C" w:rsidP="000A5B7C">
            <w:pPr>
              <w:jc w:val="center"/>
              <w:rPr>
                <w:rFonts w:ascii="Arial" w:hAnsi="Arial" w:cs="Arial"/>
                <w:b/>
                <w:bCs/>
                <w:iCs/>
                <w:color w:val="171717" w:themeColor="background2" w:themeShade="1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171717" w:themeColor="background2" w:themeShade="1A"/>
                <w:sz w:val="24"/>
                <w:szCs w:val="24"/>
              </w:rPr>
              <w:t xml:space="preserve">Instead of </w:t>
            </w: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iCs/>
                <w:color w:val="171717" w:themeColor="background2" w:themeShade="1A"/>
                <w:sz w:val="24"/>
                <w:szCs w:val="24"/>
              </w:rPr>
              <mc:AlternateContent>
                <mc:Choice Requires="w16se">
                  <w16se:symEx w16se:font="Segoe UI Emoji" w16se:char="1F44E"/>
                </mc:Choice>
                <mc:Fallback>
                  <w:t>👎</w:t>
                </mc:Fallback>
              </mc:AlternateContent>
            </w:r>
          </w:p>
        </w:tc>
      </w:tr>
      <w:tr w:rsidR="005505E6" w14:paraId="58363FAD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7FFFA7FB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Use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0DDC51AE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Utilize</w:t>
            </w:r>
          </w:p>
        </w:tc>
      </w:tr>
      <w:tr w:rsidR="005505E6" w14:paraId="515FDE7B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3435A3EB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Recommend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08DE4092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Advise</w:t>
            </w:r>
          </w:p>
        </w:tc>
      </w:tr>
      <w:tr w:rsidR="005505E6" w14:paraId="5A852D25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65E6EC6C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About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6708DFF8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Approximately</w:t>
            </w:r>
          </w:p>
        </w:tc>
      </w:tr>
      <w:tr w:rsidR="005505E6" w14:paraId="0535DDAF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4221CE8A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Make sure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25FD65C4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Ensure</w:t>
            </w:r>
          </w:p>
        </w:tc>
      </w:tr>
      <w:tr w:rsidR="005505E6" w14:paraId="59F4B45B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7E862F01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So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7CC62E8C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Accordingly</w:t>
            </w:r>
          </w:p>
        </w:tc>
      </w:tr>
      <w:tr w:rsidR="005505E6" w14:paraId="71DD63B9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1BB7FEDF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Take part in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7CB9757E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Participate</w:t>
            </w:r>
          </w:p>
        </w:tc>
      </w:tr>
      <w:tr w:rsidR="005505E6" w14:paraId="6025E645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5547A146" w14:textId="3249204D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Did</w:t>
            </w:r>
            <w:r w:rsidR="000A5B7C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 xml:space="preserve"> not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3802D804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Failed to</w:t>
            </w:r>
          </w:p>
        </w:tc>
      </w:tr>
      <w:tr w:rsidR="005505E6" w14:paraId="6C956E7A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28FFD696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Expect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79D7F315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Anticipate</w:t>
            </w:r>
          </w:p>
        </w:tc>
      </w:tr>
      <w:tr w:rsidR="005505E6" w14:paraId="1885F1FC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3BBC3648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Many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3E7B3AA7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Numerous</w:t>
            </w:r>
          </w:p>
        </w:tc>
      </w:tr>
      <w:tr w:rsidR="005505E6" w14:paraId="585056B8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65A117CD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Help, aid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701B09B5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Assist</w:t>
            </w:r>
          </w:p>
        </w:tc>
      </w:tr>
      <w:tr w:rsidR="005505E6" w14:paraId="0C307FC1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1D1BB553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Enough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4B07FAE2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Sufficient</w:t>
            </w:r>
          </w:p>
        </w:tc>
      </w:tr>
      <w:tr w:rsidR="005505E6" w14:paraId="3BFC99BB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3BA1C5D0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Carry out, do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482E86F7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Accomplish</w:t>
            </w:r>
          </w:p>
        </w:tc>
      </w:tr>
      <w:tr w:rsidR="005505E6" w14:paraId="1FD33BC7" w14:textId="77777777" w:rsidTr="000A5B7C">
        <w:trPr>
          <w:jc w:val="center"/>
        </w:trPr>
        <w:tc>
          <w:tcPr>
            <w:tcW w:w="2615" w:type="dxa"/>
            <w:shd w:val="clear" w:color="auto" w:fill="D9E2F3" w:themeFill="accent1" w:themeFillTint="33"/>
          </w:tcPr>
          <w:p w14:paraId="64A27944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Finish, end</w:t>
            </w:r>
          </w:p>
        </w:tc>
        <w:tc>
          <w:tcPr>
            <w:tcW w:w="2330" w:type="dxa"/>
            <w:shd w:val="clear" w:color="auto" w:fill="D9E2F3" w:themeFill="accent1" w:themeFillTint="33"/>
          </w:tcPr>
          <w:p w14:paraId="481319D8" w14:textId="77777777" w:rsidR="005505E6" w:rsidRPr="002065DA" w:rsidRDefault="005505E6" w:rsidP="000A5B7C">
            <w:pPr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</w:pPr>
            <w:r w:rsidRPr="002065DA">
              <w:rPr>
                <w:rFonts w:ascii="Arial" w:hAnsi="Arial" w:cs="Arial"/>
                <w:iCs/>
                <w:color w:val="171717" w:themeColor="background2" w:themeShade="1A"/>
                <w:sz w:val="24"/>
                <w:szCs w:val="24"/>
              </w:rPr>
              <w:t>Finalize</w:t>
            </w:r>
          </w:p>
        </w:tc>
      </w:tr>
    </w:tbl>
    <w:p w14:paraId="720F26B1" w14:textId="77777777" w:rsidR="005505E6" w:rsidRPr="00A10666" w:rsidRDefault="005505E6" w:rsidP="00721F44">
      <w:pPr>
        <w:pStyle w:val="ListParagraph"/>
        <w:numPr>
          <w:ilvl w:val="0"/>
          <w:numId w:val="12"/>
        </w:numPr>
        <w:spacing w:before="24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A10666">
        <w:rPr>
          <w:rFonts w:ascii="Arial" w:hAnsi="Arial" w:cs="Arial"/>
          <w:iCs/>
          <w:sz w:val="24"/>
          <w:szCs w:val="24"/>
        </w:rPr>
        <w:t>Make social media hashtags accessible. For multi-word hashtags, capitalize the first letter of each word #LikeThisExample.</w:t>
      </w:r>
    </w:p>
    <w:p w14:paraId="16612D4F" w14:textId="534D8FC2" w:rsidR="005505E6" w:rsidRPr="00C66148" w:rsidRDefault="005505E6" w:rsidP="00C66148">
      <w:pPr>
        <w:pStyle w:val="ListParagraph"/>
        <w:numPr>
          <w:ilvl w:val="0"/>
          <w:numId w:val="12"/>
        </w:numPr>
        <w:spacing w:before="240"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C66148">
        <w:rPr>
          <w:rFonts w:ascii="Arial" w:hAnsi="Arial" w:cs="Arial"/>
          <w:iCs/>
          <w:sz w:val="24"/>
          <w:szCs w:val="24"/>
        </w:rPr>
        <w:t xml:space="preserve">Always caption videos and make a transcript available. Add audio descriptions (i.e., voice overs) for displayed text and images that are not otherwise accessible to someone who is blind. </w:t>
      </w:r>
      <w:r w:rsidR="00C66148" w:rsidRPr="00C66148">
        <w:rPr>
          <w:rFonts w:ascii="Arial" w:hAnsi="Arial" w:cs="Arial"/>
          <w:iCs/>
          <w:sz w:val="24"/>
          <w:szCs w:val="24"/>
        </w:rPr>
        <w:t xml:space="preserve">Visit </w:t>
      </w:r>
      <w:hyperlink r:id="rId14" w:history="1">
        <w:r w:rsidR="00C66148" w:rsidRPr="00C66148">
          <w:rPr>
            <w:rStyle w:val="Hyperlink"/>
            <w:rFonts w:ascii="Arial" w:hAnsi="Arial" w:cs="Arial"/>
            <w:iCs/>
            <w:sz w:val="24"/>
            <w:szCs w:val="24"/>
          </w:rPr>
          <w:t>508 Accessible Videos – How to Make Audio Descriptions</w:t>
        </w:r>
      </w:hyperlink>
      <w:r w:rsidR="00C66148" w:rsidRPr="00C66148">
        <w:rPr>
          <w:rFonts w:ascii="Arial" w:hAnsi="Arial" w:cs="Arial"/>
          <w:iCs/>
          <w:sz w:val="24"/>
          <w:szCs w:val="24"/>
        </w:rPr>
        <w:t xml:space="preserve"> for more </w:t>
      </w:r>
      <w:r w:rsidRPr="00C66148">
        <w:rPr>
          <w:rFonts w:ascii="Arial" w:hAnsi="Arial" w:cs="Arial"/>
          <w:iCs/>
          <w:sz w:val="24"/>
          <w:szCs w:val="24"/>
        </w:rPr>
        <w:t>information and examples</w:t>
      </w:r>
      <w:r w:rsidR="00C66148">
        <w:rPr>
          <w:rFonts w:ascii="Arial" w:hAnsi="Arial" w:cs="Arial"/>
          <w:iCs/>
          <w:sz w:val="24"/>
          <w:szCs w:val="24"/>
        </w:rPr>
        <w:t>.</w:t>
      </w:r>
      <w:r w:rsidRPr="00C66148">
        <w:rPr>
          <w:rFonts w:ascii="Arial" w:hAnsi="Arial" w:cs="Arial"/>
          <w:iCs/>
          <w:sz w:val="24"/>
          <w:szCs w:val="24"/>
        </w:rPr>
        <w:t xml:space="preserve"> </w:t>
      </w:r>
    </w:p>
    <w:p w14:paraId="6DF9631B" w14:textId="68544217" w:rsidR="005505E6" w:rsidRPr="00A10666" w:rsidRDefault="005505E6" w:rsidP="00721F44">
      <w:pPr>
        <w:pStyle w:val="ListParagraph"/>
        <w:numPr>
          <w:ilvl w:val="0"/>
          <w:numId w:val="13"/>
        </w:numPr>
        <w:spacing w:before="24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A10666">
        <w:rPr>
          <w:rFonts w:ascii="Arial" w:hAnsi="Arial" w:cs="Arial"/>
          <w:iCs/>
          <w:sz w:val="24"/>
          <w:szCs w:val="24"/>
        </w:rPr>
        <w:t>For email, use Outlook’s tools for formatting (e.g., numbering, bullets) to ensure screen reading software users have access.</w:t>
      </w:r>
    </w:p>
    <w:p w14:paraId="135C00B1" w14:textId="57EB75FC" w:rsidR="005505E6" w:rsidRDefault="005505E6" w:rsidP="00721F44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A10666">
        <w:rPr>
          <w:rFonts w:ascii="Arial" w:hAnsi="Arial" w:cs="Arial"/>
          <w:iCs/>
          <w:sz w:val="24"/>
          <w:szCs w:val="24"/>
        </w:rPr>
        <w:lastRenderedPageBreak/>
        <w:t>Use descriptive text for hyperlinks instead of vague language. Example: “Prin</w:t>
      </w:r>
      <w:r w:rsidR="000A3291" w:rsidRPr="00A10666">
        <w:rPr>
          <w:rFonts w:ascii="Arial" w:hAnsi="Arial" w:cs="Arial"/>
          <w:iCs/>
          <w:sz w:val="24"/>
          <w:szCs w:val="24"/>
        </w:rPr>
        <w:t xml:space="preserve">t </w:t>
      </w:r>
      <w:r w:rsidRPr="00A10666">
        <w:rPr>
          <w:rFonts w:ascii="Arial" w:hAnsi="Arial" w:cs="Arial"/>
          <w:iCs/>
          <w:sz w:val="24"/>
          <w:szCs w:val="24"/>
        </w:rPr>
        <w:t xml:space="preserve">certificate for </w:t>
      </w:r>
      <w:r w:rsidR="00C66148">
        <w:rPr>
          <w:rFonts w:ascii="Arial" w:hAnsi="Arial" w:cs="Arial"/>
          <w:iCs/>
          <w:sz w:val="24"/>
          <w:szCs w:val="24"/>
        </w:rPr>
        <w:t>&lt;</w:t>
      </w:r>
      <w:r w:rsidRPr="00A10666">
        <w:rPr>
          <w:rFonts w:ascii="Arial" w:hAnsi="Arial" w:cs="Arial"/>
          <w:iCs/>
          <w:sz w:val="24"/>
          <w:szCs w:val="24"/>
        </w:rPr>
        <w:t>course name</w:t>
      </w:r>
      <w:r w:rsidR="00C66148">
        <w:rPr>
          <w:rFonts w:ascii="Arial" w:hAnsi="Arial" w:cs="Arial"/>
          <w:iCs/>
          <w:sz w:val="24"/>
          <w:szCs w:val="24"/>
        </w:rPr>
        <w:t>&gt;</w:t>
      </w:r>
      <w:r w:rsidRPr="00A10666">
        <w:rPr>
          <w:rFonts w:ascii="Arial" w:hAnsi="Arial" w:cs="Arial"/>
          <w:iCs/>
          <w:sz w:val="24"/>
          <w:szCs w:val="24"/>
        </w:rPr>
        <w:t>” instead of “Click here”.</w:t>
      </w:r>
    </w:p>
    <w:p w14:paraId="453285D2" w14:textId="3B241ED8" w:rsidR="00E973C9" w:rsidRPr="00CA7A4D" w:rsidRDefault="00C66148" w:rsidP="00721F44">
      <w:pPr>
        <w:pStyle w:val="ListParagraph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If a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 QR code </w:t>
      </w:r>
      <w:r>
        <w:rPr>
          <w:rFonts w:ascii="Arial" w:hAnsi="Arial" w:cs="Arial"/>
          <w:iCs/>
          <w:sz w:val="24"/>
          <w:szCs w:val="24"/>
        </w:rPr>
        <w:t xml:space="preserve">is added to a flyer or a business card as </w:t>
      </w:r>
      <w:r w:rsidR="00E973C9" w:rsidRPr="00CA7A4D">
        <w:rPr>
          <w:rFonts w:ascii="Arial" w:hAnsi="Arial" w:cs="Arial"/>
          <w:iCs/>
          <w:sz w:val="24"/>
          <w:szCs w:val="24"/>
        </w:rPr>
        <w:t>a link to more information and registration</w:t>
      </w:r>
      <w:r>
        <w:rPr>
          <w:rFonts w:ascii="Arial" w:hAnsi="Arial" w:cs="Arial"/>
          <w:iCs/>
          <w:sz w:val="24"/>
          <w:szCs w:val="24"/>
        </w:rPr>
        <w:t>, e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nsure that the </w:t>
      </w:r>
      <w:r w:rsidR="00E4179B">
        <w:rPr>
          <w:rFonts w:ascii="Arial" w:hAnsi="Arial" w:cs="Arial"/>
          <w:iCs/>
          <w:sz w:val="24"/>
          <w:szCs w:val="24"/>
        </w:rPr>
        <w:t xml:space="preserve">content </w:t>
      </w:r>
      <w:r w:rsidR="00E973C9" w:rsidRPr="00CA7A4D">
        <w:rPr>
          <w:rFonts w:ascii="Arial" w:hAnsi="Arial" w:cs="Arial"/>
          <w:iCs/>
          <w:sz w:val="24"/>
          <w:szCs w:val="24"/>
        </w:rPr>
        <w:t>is accessible.</w:t>
      </w:r>
    </w:p>
    <w:p w14:paraId="4B933FC5" w14:textId="77777777" w:rsidR="005505E6" w:rsidRPr="005505E6" w:rsidRDefault="005505E6" w:rsidP="00E4179B">
      <w:pPr>
        <w:pStyle w:val="Heading1"/>
        <w:spacing w:before="0" w:line="360" w:lineRule="auto"/>
        <w:jc w:val="center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5505E6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Written Communications</w:t>
      </w:r>
    </w:p>
    <w:p w14:paraId="6B024E9E" w14:textId="7C15E267" w:rsidR="005505E6" w:rsidRPr="00E4179B" w:rsidRDefault="005505E6" w:rsidP="00E4179B">
      <w:pPr>
        <w:pStyle w:val="Heading2"/>
        <w:spacing w:line="36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E4179B">
        <w:rPr>
          <w:rFonts w:ascii="Arial" w:hAnsi="Arial" w:cs="Arial"/>
          <w:color w:val="auto"/>
          <w:sz w:val="24"/>
          <w:szCs w:val="24"/>
          <w:u w:val="single"/>
        </w:rPr>
        <w:t xml:space="preserve">Memos, Policies, </w:t>
      </w:r>
      <w:r w:rsidR="00E4179B">
        <w:rPr>
          <w:rFonts w:ascii="Arial" w:hAnsi="Arial" w:cs="Arial"/>
          <w:color w:val="auto"/>
          <w:sz w:val="24"/>
          <w:szCs w:val="24"/>
          <w:u w:val="single"/>
        </w:rPr>
        <w:t xml:space="preserve">&amp; </w:t>
      </w:r>
      <w:r w:rsidRPr="00E4179B">
        <w:rPr>
          <w:rFonts w:ascii="Arial" w:hAnsi="Arial" w:cs="Arial"/>
          <w:color w:val="auto"/>
          <w:sz w:val="24"/>
          <w:szCs w:val="24"/>
          <w:u w:val="single"/>
        </w:rPr>
        <w:t>Other Word Documents</w:t>
      </w:r>
    </w:p>
    <w:p w14:paraId="2447D066" w14:textId="6C8AC8DF" w:rsidR="000B6BB3" w:rsidRPr="000B6BB3" w:rsidRDefault="005505E6" w:rsidP="0046250F">
      <w:pPr>
        <w:pStyle w:val="ListParagraph"/>
        <w:numPr>
          <w:ilvl w:val="0"/>
          <w:numId w:val="14"/>
        </w:numPr>
        <w:spacing w:before="240" w:line="360" w:lineRule="auto"/>
        <w:ind w:left="360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Use the “Check Accessibility” feature found under the “Review” tab in Microsoft Word.</w:t>
      </w:r>
    </w:p>
    <w:p w14:paraId="500EE4C8" w14:textId="0D226062" w:rsidR="005505E6" w:rsidRPr="005274F6" w:rsidRDefault="005505E6" w:rsidP="0046250F">
      <w:pPr>
        <w:pStyle w:val="ListParagraph"/>
        <w:numPr>
          <w:ilvl w:val="0"/>
          <w:numId w:val="14"/>
        </w:numPr>
        <w:spacing w:line="360" w:lineRule="auto"/>
        <w:ind w:left="360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Use Heading Structures, which support screen reader users with document navigation.</w:t>
      </w:r>
    </w:p>
    <w:p w14:paraId="666BB88D" w14:textId="39EB6023" w:rsidR="005505E6" w:rsidRPr="005274F6" w:rsidRDefault="005505E6" w:rsidP="0046250F">
      <w:pPr>
        <w:pStyle w:val="ListParagraph"/>
        <w:numPr>
          <w:ilvl w:val="0"/>
          <w:numId w:val="14"/>
        </w:numPr>
        <w:spacing w:line="360" w:lineRule="auto"/>
        <w:ind w:left="360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 xml:space="preserve">Create and verify PDF accessibility using </w:t>
      </w:r>
      <w:hyperlink r:id="rId15" w:history="1">
        <w:r w:rsidRPr="00656D2A">
          <w:rPr>
            <w:rStyle w:val="Hyperlink"/>
            <w:rFonts w:ascii="Arial" w:hAnsi="Arial" w:cs="Arial"/>
            <w:iCs/>
            <w:sz w:val="24"/>
            <w:szCs w:val="24"/>
          </w:rPr>
          <w:t>Adobe Acrobat Pro</w:t>
        </w:r>
      </w:hyperlink>
      <w:r w:rsidR="00656D2A">
        <w:rPr>
          <w:rFonts w:ascii="Arial" w:hAnsi="Arial" w:cs="Arial"/>
          <w:iCs/>
          <w:sz w:val="24"/>
          <w:szCs w:val="24"/>
        </w:rPr>
        <w:t>.</w:t>
      </w:r>
    </w:p>
    <w:p w14:paraId="4D93E8A4" w14:textId="312F1064" w:rsidR="005505E6" w:rsidRDefault="005505E6" w:rsidP="0046250F">
      <w:pPr>
        <w:pStyle w:val="ListParagraph"/>
        <w:numPr>
          <w:ilvl w:val="0"/>
          <w:numId w:val="14"/>
        </w:numPr>
        <w:spacing w:line="360" w:lineRule="auto"/>
        <w:ind w:left="360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Provide a document in Microsoft Word if the content is requested in a larger font.</w:t>
      </w:r>
    </w:p>
    <w:p w14:paraId="3E50B93D" w14:textId="77777777" w:rsidR="005505E6" w:rsidRPr="000A3291" w:rsidRDefault="005505E6" w:rsidP="00E4179B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0A3291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Voicemail Communications</w:t>
      </w:r>
    </w:p>
    <w:p w14:paraId="39DF34F3" w14:textId="77777777" w:rsidR="005505E6" w:rsidRPr="00AC7B20" w:rsidRDefault="005505E6" w:rsidP="00721F44">
      <w:pPr>
        <w:pStyle w:val="ListParagraph"/>
        <w:numPr>
          <w:ilvl w:val="0"/>
          <w:numId w:val="15"/>
        </w:numPr>
        <w:spacing w:after="120" w:line="360" w:lineRule="auto"/>
        <w:rPr>
          <w:rFonts w:ascii="Arial" w:hAnsi="Arial" w:cs="Arial"/>
          <w:iCs/>
          <w:sz w:val="24"/>
          <w:szCs w:val="24"/>
        </w:rPr>
      </w:pPr>
      <w:r w:rsidRPr="00AC7B20">
        <w:rPr>
          <w:rFonts w:ascii="Arial" w:hAnsi="Arial" w:cs="Arial"/>
          <w:iCs/>
          <w:sz w:val="24"/>
          <w:szCs w:val="24"/>
        </w:rPr>
        <w:t>If you attach a voicemail to an email, include a full transcript of the message.</w:t>
      </w:r>
    </w:p>
    <w:p w14:paraId="42FF154F" w14:textId="77777777" w:rsidR="005505E6" w:rsidRPr="000A3291" w:rsidRDefault="005505E6" w:rsidP="00E4179B">
      <w:pPr>
        <w:pStyle w:val="Heading1"/>
        <w:spacing w:line="360" w:lineRule="auto"/>
        <w:jc w:val="center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0A3291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Verbal Communications</w:t>
      </w:r>
    </w:p>
    <w:p w14:paraId="4EE15908" w14:textId="77777777" w:rsidR="005505E6" w:rsidRPr="005274F6" w:rsidRDefault="005505E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Speak clearly and not too fast.</w:t>
      </w:r>
    </w:p>
    <w:p w14:paraId="36215FDF" w14:textId="5A4B504D" w:rsidR="005505E6" w:rsidRPr="005274F6" w:rsidRDefault="005505E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>Each new speaker should announce themselves and describe their appearance as part of their introduction for those who cannot see. This also help</w:t>
      </w:r>
      <w:r w:rsidR="00E4179B">
        <w:rPr>
          <w:rFonts w:ascii="Arial" w:hAnsi="Arial" w:cs="Arial"/>
          <w:iCs/>
          <w:sz w:val="24"/>
          <w:szCs w:val="24"/>
        </w:rPr>
        <w:t>s</w:t>
      </w:r>
      <w:r w:rsidRPr="005274F6">
        <w:rPr>
          <w:rFonts w:ascii="Arial" w:hAnsi="Arial" w:cs="Arial"/>
          <w:iCs/>
          <w:sz w:val="24"/>
          <w:szCs w:val="24"/>
        </w:rPr>
        <w:t xml:space="preserve"> interpreters and captioners identify who is speaking.</w:t>
      </w:r>
    </w:p>
    <w:p w14:paraId="3967D14B" w14:textId="3B5B75AA" w:rsidR="005505E6" w:rsidRPr="005274F6" w:rsidRDefault="005505E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 xml:space="preserve">Give an ample amount of time for questions so that </w:t>
      </w:r>
      <w:r w:rsidR="00E4179B">
        <w:rPr>
          <w:rFonts w:ascii="Arial" w:hAnsi="Arial" w:cs="Arial"/>
          <w:iCs/>
          <w:sz w:val="24"/>
          <w:szCs w:val="24"/>
        </w:rPr>
        <w:t xml:space="preserve">everyone is able to </w:t>
      </w:r>
      <w:r w:rsidRPr="005274F6">
        <w:rPr>
          <w:rFonts w:ascii="Arial" w:hAnsi="Arial" w:cs="Arial"/>
          <w:iCs/>
          <w:sz w:val="24"/>
          <w:szCs w:val="24"/>
        </w:rPr>
        <w:t>participate</w:t>
      </w:r>
      <w:r w:rsidR="00E4179B">
        <w:rPr>
          <w:rFonts w:ascii="Arial" w:hAnsi="Arial" w:cs="Arial"/>
          <w:iCs/>
          <w:sz w:val="24"/>
          <w:szCs w:val="24"/>
        </w:rPr>
        <w:t xml:space="preserve">, including </w:t>
      </w:r>
      <w:r w:rsidR="00490906">
        <w:rPr>
          <w:rFonts w:ascii="Arial" w:hAnsi="Arial" w:cs="Arial"/>
          <w:iCs/>
          <w:sz w:val="24"/>
          <w:szCs w:val="24"/>
        </w:rPr>
        <w:t>individuals</w:t>
      </w:r>
      <w:r w:rsidR="00E4179B">
        <w:rPr>
          <w:rFonts w:ascii="Arial" w:hAnsi="Arial" w:cs="Arial"/>
          <w:iCs/>
          <w:sz w:val="24"/>
          <w:szCs w:val="24"/>
        </w:rPr>
        <w:t xml:space="preserve"> who have auditory processing delays</w:t>
      </w:r>
      <w:r w:rsidRPr="005274F6">
        <w:rPr>
          <w:rFonts w:ascii="Arial" w:hAnsi="Arial" w:cs="Arial"/>
          <w:iCs/>
          <w:sz w:val="24"/>
          <w:szCs w:val="24"/>
        </w:rPr>
        <w:t xml:space="preserve"> (i.e., </w:t>
      </w:r>
      <w:hyperlink r:id="rId16" w:anchor=":~:text=The%205%20Second%20Rule%20(as,silence%20becomes%20a%20little%20uncomfortable" w:history="1">
        <w:r w:rsidRPr="005274F6">
          <w:rPr>
            <w:rStyle w:val="Hyperlink"/>
            <w:rFonts w:ascii="Arial" w:hAnsi="Arial" w:cs="Arial"/>
            <w:iCs/>
            <w:sz w:val="24"/>
            <w:szCs w:val="24"/>
          </w:rPr>
          <w:t>the 5 second rule</w:t>
        </w:r>
      </w:hyperlink>
      <w:r w:rsidRPr="005274F6">
        <w:rPr>
          <w:rFonts w:ascii="Arial" w:hAnsi="Arial" w:cs="Arial"/>
          <w:iCs/>
          <w:sz w:val="24"/>
          <w:szCs w:val="24"/>
        </w:rPr>
        <w:t xml:space="preserve">). This also assists interpreters and captioners with </w:t>
      </w:r>
      <w:r w:rsidR="00490906">
        <w:rPr>
          <w:rFonts w:ascii="Arial" w:hAnsi="Arial" w:cs="Arial"/>
          <w:iCs/>
          <w:sz w:val="24"/>
          <w:szCs w:val="24"/>
        </w:rPr>
        <w:t xml:space="preserve">accurately </w:t>
      </w:r>
      <w:r w:rsidRPr="005274F6">
        <w:rPr>
          <w:rFonts w:ascii="Arial" w:hAnsi="Arial" w:cs="Arial"/>
          <w:iCs/>
          <w:sz w:val="24"/>
          <w:szCs w:val="24"/>
        </w:rPr>
        <w:t>relaying spoken content.</w:t>
      </w:r>
    </w:p>
    <w:p w14:paraId="5ED4F792" w14:textId="77777777" w:rsidR="005505E6" w:rsidRPr="005274F6" w:rsidRDefault="005505E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 xml:space="preserve">One person should speak at a time to avoid cross discussion and interruption. </w:t>
      </w:r>
    </w:p>
    <w:p w14:paraId="2B2A8743" w14:textId="0C287EAC" w:rsidR="005505E6" w:rsidRDefault="005505E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 w:rsidRPr="005274F6">
        <w:rPr>
          <w:rFonts w:ascii="Arial" w:hAnsi="Arial" w:cs="Arial"/>
          <w:iCs/>
          <w:sz w:val="24"/>
          <w:szCs w:val="24"/>
        </w:rPr>
        <w:t xml:space="preserve">If someone asks for clarification, </w:t>
      </w:r>
      <w:r w:rsidR="00490906">
        <w:rPr>
          <w:rFonts w:ascii="Arial" w:hAnsi="Arial" w:cs="Arial"/>
          <w:iCs/>
          <w:sz w:val="24"/>
          <w:szCs w:val="24"/>
        </w:rPr>
        <w:t xml:space="preserve">reword the statement instead of </w:t>
      </w:r>
      <w:r w:rsidRPr="005274F6">
        <w:rPr>
          <w:rFonts w:ascii="Arial" w:hAnsi="Arial" w:cs="Arial"/>
          <w:iCs/>
          <w:sz w:val="24"/>
          <w:szCs w:val="24"/>
        </w:rPr>
        <w:t>repeat</w:t>
      </w:r>
      <w:r w:rsidR="00490906">
        <w:rPr>
          <w:rFonts w:ascii="Arial" w:hAnsi="Arial" w:cs="Arial"/>
          <w:iCs/>
          <w:sz w:val="24"/>
          <w:szCs w:val="24"/>
        </w:rPr>
        <w:t>ing</w:t>
      </w:r>
      <w:r w:rsidRPr="005274F6">
        <w:rPr>
          <w:rFonts w:ascii="Arial" w:hAnsi="Arial" w:cs="Arial"/>
          <w:iCs/>
          <w:sz w:val="24"/>
          <w:szCs w:val="24"/>
        </w:rPr>
        <w:t xml:space="preserve"> yourself verbatim.</w:t>
      </w:r>
    </w:p>
    <w:p w14:paraId="1C2C8CF4" w14:textId="7C4BBB33" w:rsidR="00E973C9" w:rsidRPr="00CA7A4D" w:rsidRDefault="00C95CF6" w:rsidP="00721F44">
      <w:pPr>
        <w:pStyle w:val="ListParagraph"/>
        <w:numPr>
          <w:ilvl w:val="0"/>
          <w:numId w:val="16"/>
        </w:numPr>
        <w:spacing w:after="120" w:line="360" w:lineRule="auto"/>
        <w:contextualSpacing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nsure </w:t>
      </w:r>
      <w:r w:rsidR="00490906">
        <w:rPr>
          <w:rFonts w:ascii="Arial" w:hAnsi="Arial" w:cs="Arial"/>
          <w:iCs/>
          <w:sz w:val="24"/>
          <w:szCs w:val="24"/>
        </w:rPr>
        <w:t xml:space="preserve">everyone who speaks </w:t>
      </w:r>
      <w:r>
        <w:rPr>
          <w:rFonts w:ascii="Arial" w:hAnsi="Arial" w:cs="Arial"/>
          <w:iCs/>
          <w:sz w:val="24"/>
          <w:szCs w:val="24"/>
        </w:rPr>
        <w:t xml:space="preserve">during a meeting </w:t>
      </w:r>
      <w:r w:rsidR="00E973C9" w:rsidRPr="00CA7A4D">
        <w:rPr>
          <w:rFonts w:ascii="Arial" w:hAnsi="Arial" w:cs="Arial"/>
          <w:iCs/>
          <w:sz w:val="24"/>
          <w:szCs w:val="24"/>
        </w:rPr>
        <w:t>use</w:t>
      </w:r>
      <w:r w:rsidR="00490906">
        <w:rPr>
          <w:rFonts w:ascii="Arial" w:hAnsi="Arial" w:cs="Arial"/>
          <w:iCs/>
          <w:sz w:val="24"/>
          <w:szCs w:val="24"/>
        </w:rPr>
        <w:t>s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 a microphone. </w:t>
      </w:r>
      <w:r w:rsidR="00490906">
        <w:rPr>
          <w:rFonts w:ascii="Arial" w:hAnsi="Arial" w:cs="Arial"/>
          <w:iCs/>
          <w:sz w:val="24"/>
          <w:szCs w:val="24"/>
        </w:rPr>
        <w:t>If this is not possible, repeat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 the question</w:t>
      </w:r>
      <w:r w:rsidR="00490906">
        <w:rPr>
          <w:rFonts w:ascii="Arial" w:hAnsi="Arial" w:cs="Arial"/>
          <w:iCs/>
          <w:sz w:val="24"/>
          <w:szCs w:val="24"/>
        </w:rPr>
        <w:t>s</w:t>
      </w:r>
      <w:r w:rsidR="00E973C9" w:rsidRPr="00CA7A4D">
        <w:rPr>
          <w:rFonts w:ascii="Arial" w:hAnsi="Arial" w:cs="Arial"/>
          <w:iCs/>
          <w:sz w:val="24"/>
          <w:szCs w:val="24"/>
        </w:rPr>
        <w:t>/response</w:t>
      </w:r>
      <w:r w:rsidR="00490906">
        <w:rPr>
          <w:rFonts w:ascii="Arial" w:hAnsi="Arial" w:cs="Arial"/>
          <w:iCs/>
          <w:sz w:val="24"/>
          <w:szCs w:val="24"/>
        </w:rPr>
        <w:t>s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 into </w:t>
      </w:r>
      <w:r>
        <w:rPr>
          <w:rFonts w:ascii="Arial" w:hAnsi="Arial" w:cs="Arial"/>
          <w:iCs/>
          <w:sz w:val="24"/>
          <w:szCs w:val="24"/>
        </w:rPr>
        <w:t>a</w:t>
      </w:r>
      <w:r w:rsidR="00E973C9" w:rsidRPr="00CA7A4D">
        <w:rPr>
          <w:rFonts w:ascii="Arial" w:hAnsi="Arial" w:cs="Arial"/>
          <w:iCs/>
          <w:sz w:val="24"/>
          <w:szCs w:val="24"/>
        </w:rPr>
        <w:t xml:space="preserve"> microphone</w:t>
      </w:r>
      <w:r w:rsidR="00490906">
        <w:rPr>
          <w:rFonts w:ascii="Arial" w:hAnsi="Arial" w:cs="Arial"/>
          <w:iCs/>
          <w:sz w:val="24"/>
          <w:szCs w:val="24"/>
        </w:rPr>
        <w:t xml:space="preserve"> so that all attendees have access to the information, whether participating in-person or remotely</w:t>
      </w:r>
      <w:r w:rsidR="00E973C9" w:rsidRPr="00CA7A4D">
        <w:rPr>
          <w:rFonts w:ascii="Arial" w:hAnsi="Arial" w:cs="Arial"/>
          <w:iCs/>
          <w:sz w:val="24"/>
          <w:szCs w:val="24"/>
        </w:rPr>
        <w:t>.</w:t>
      </w:r>
    </w:p>
    <w:p w14:paraId="1993EC69" w14:textId="77777777" w:rsidR="005505E6" w:rsidRPr="000A3291" w:rsidRDefault="005505E6" w:rsidP="00BE3B58">
      <w:pPr>
        <w:pStyle w:val="Heading1"/>
        <w:spacing w:line="360" w:lineRule="auto"/>
        <w:ind w:left="720"/>
        <w:contextualSpacing/>
        <w:jc w:val="center"/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</w:pPr>
      <w:r w:rsidRPr="000A3291">
        <w:rPr>
          <w:rFonts w:ascii="Arial" w:hAnsi="Arial" w:cs="Arial"/>
          <w:b/>
          <w:bCs/>
          <w:color w:val="171717" w:themeColor="background2" w:themeShade="1A"/>
          <w:sz w:val="24"/>
          <w:szCs w:val="24"/>
        </w:rPr>
        <w:t>Accommodations</w:t>
      </w:r>
    </w:p>
    <w:p w14:paraId="0BB5000A" w14:textId="3005809C" w:rsidR="005505E6" w:rsidRDefault="005505E6" w:rsidP="0046250F">
      <w:pPr>
        <w:pStyle w:val="ListParagraph"/>
        <w:numPr>
          <w:ilvl w:val="0"/>
          <w:numId w:val="16"/>
        </w:numPr>
        <w:spacing w:after="240" w:line="360" w:lineRule="auto"/>
        <w:rPr>
          <w:rFonts w:ascii="Arial" w:hAnsi="Arial" w:cs="Arial"/>
          <w:iCs/>
          <w:sz w:val="24"/>
          <w:szCs w:val="24"/>
        </w:rPr>
      </w:pPr>
      <w:r w:rsidRPr="00AC7B20">
        <w:rPr>
          <w:rFonts w:ascii="Arial" w:hAnsi="Arial" w:cs="Arial"/>
          <w:iCs/>
          <w:sz w:val="24"/>
          <w:szCs w:val="24"/>
        </w:rPr>
        <w:t>Reasonable accommodations are adjustments to a job and/or work environment that enable a qualified person with disabilities to perform the essential functions of their job and have equal employment opportuni</w:t>
      </w:r>
      <w:r w:rsidR="000A3291" w:rsidRPr="00AC7B20">
        <w:rPr>
          <w:rFonts w:ascii="Arial" w:hAnsi="Arial" w:cs="Arial"/>
          <w:iCs/>
          <w:sz w:val="24"/>
          <w:szCs w:val="24"/>
        </w:rPr>
        <w:t>ties</w:t>
      </w:r>
      <w:r w:rsidRPr="00AC7B20">
        <w:rPr>
          <w:rFonts w:ascii="Arial" w:hAnsi="Arial" w:cs="Arial"/>
          <w:iCs/>
          <w:sz w:val="24"/>
          <w:szCs w:val="24"/>
        </w:rPr>
        <w:t xml:space="preserve">. A wide variety of accommodations exist to make a job more accessible, such as improving physical access to a workspace or meeting room, providing written communication in </w:t>
      </w:r>
      <w:r w:rsidR="001E097C">
        <w:rPr>
          <w:rFonts w:ascii="Arial" w:hAnsi="Arial" w:cs="Arial"/>
          <w:iCs/>
          <w:sz w:val="24"/>
          <w:szCs w:val="24"/>
        </w:rPr>
        <w:t xml:space="preserve">an </w:t>
      </w:r>
      <w:r w:rsidRPr="00AC7B20">
        <w:rPr>
          <w:rFonts w:ascii="Arial" w:hAnsi="Arial" w:cs="Arial"/>
          <w:iCs/>
          <w:sz w:val="24"/>
          <w:szCs w:val="24"/>
        </w:rPr>
        <w:t>alternate format, and ensuring breaks during meetings.</w:t>
      </w:r>
    </w:p>
    <w:p w14:paraId="5FAB8187" w14:textId="005991A3" w:rsidR="00E04CD0" w:rsidRPr="00AC7B20" w:rsidRDefault="00E04CD0" w:rsidP="0046250F">
      <w:pPr>
        <w:pStyle w:val="ListParagraph"/>
        <w:numPr>
          <w:ilvl w:val="1"/>
          <w:numId w:val="16"/>
        </w:numPr>
        <w:spacing w:after="120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Adding </w:t>
      </w:r>
      <w:r w:rsidR="00FA6800">
        <w:rPr>
          <w:rFonts w:ascii="Arial" w:hAnsi="Arial" w:cs="Arial"/>
          <w:iCs/>
          <w:sz w:val="24"/>
          <w:szCs w:val="24"/>
        </w:rPr>
        <w:t xml:space="preserve">a </w:t>
      </w:r>
      <w:hyperlink w:anchor="_Reasonable_Accommodation_Statement" w:history="1">
        <w:r w:rsidR="001E097C" w:rsidRPr="000D789A">
          <w:rPr>
            <w:rStyle w:val="Hyperlink"/>
            <w:rFonts w:ascii="Arial" w:hAnsi="Arial" w:cs="Arial"/>
            <w:iCs/>
            <w:sz w:val="24"/>
            <w:szCs w:val="24"/>
          </w:rPr>
          <w:t>Reasonable Accommodation Statement</w:t>
        </w:r>
      </w:hyperlink>
      <w:r w:rsidR="001E097C">
        <w:rPr>
          <w:rFonts w:ascii="Arial" w:hAnsi="Arial" w:cs="Arial"/>
          <w:iCs/>
          <w:sz w:val="24"/>
          <w:szCs w:val="24"/>
        </w:rPr>
        <w:t>, as detailed above</w:t>
      </w:r>
      <w:r w:rsidR="0093722D">
        <w:rPr>
          <w:rFonts w:ascii="Arial" w:hAnsi="Arial" w:cs="Arial"/>
          <w:iCs/>
          <w:sz w:val="24"/>
          <w:szCs w:val="24"/>
        </w:rPr>
        <w:t xml:space="preserve">, </w:t>
      </w:r>
      <w:r w:rsidR="001E097C">
        <w:rPr>
          <w:rFonts w:ascii="Arial" w:hAnsi="Arial" w:cs="Arial"/>
          <w:iCs/>
          <w:sz w:val="24"/>
          <w:szCs w:val="24"/>
        </w:rPr>
        <w:t xml:space="preserve">is key to receiving and fulfilling </w:t>
      </w:r>
      <w:r w:rsidR="00AF497C">
        <w:rPr>
          <w:rFonts w:ascii="Arial" w:hAnsi="Arial" w:cs="Arial"/>
          <w:iCs/>
          <w:sz w:val="24"/>
          <w:szCs w:val="24"/>
        </w:rPr>
        <w:t xml:space="preserve">accommodation </w:t>
      </w:r>
      <w:r w:rsidR="001E097C">
        <w:rPr>
          <w:rFonts w:ascii="Arial" w:hAnsi="Arial" w:cs="Arial"/>
          <w:iCs/>
          <w:sz w:val="24"/>
          <w:szCs w:val="24"/>
        </w:rPr>
        <w:t xml:space="preserve">requests </w:t>
      </w:r>
      <w:r w:rsidR="000D2D34">
        <w:rPr>
          <w:rFonts w:ascii="Arial" w:hAnsi="Arial" w:cs="Arial"/>
          <w:iCs/>
          <w:sz w:val="24"/>
          <w:szCs w:val="24"/>
        </w:rPr>
        <w:t xml:space="preserve">in a timely manner. </w:t>
      </w:r>
    </w:p>
    <w:p w14:paraId="39CF3FFF" w14:textId="056D034F" w:rsidR="005505E6" w:rsidRPr="00AC7B20" w:rsidRDefault="005505E6" w:rsidP="0046250F">
      <w:pPr>
        <w:pStyle w:val="ListParagraph"/>
        <w:numPr>
          <w:ilvl w:val="0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C7B20">
        <w:rPr>
          <w:rFonts w:ascii="Arial" w:hAnsi="Arial" w:cs="Arial"/>
          <w:iCs/>
          <w:sz w:val="24"/>
          <w:szCs w:val="24"/>
        </w:rPr>
        <w:t>DOT employees and applicants who require sign language interpret</w:t>
      </w:r>
      <w:r w:rsidR="00C95CF6">
        <w:rPr>
          <w:rFonts w:ascii="Arial" w:hAnsi="Arial" w:cs="Arial"/>
          <w:iCs/>
          <w:sz w:val="24"/>
          <w:szCs w:val="24"/>
        </w:rPr>
        <w:t>ing</w:t>
      </w:r>
      <w:r w:rsidRPr="00AC7B20">
        <w:rPr>
          <w:rFonts w:ascii="Arial" w:hAnsi="Arial" w:cs="Arial"/>
          <w:iCs/>
          <w:sz w:val="24"/>
          <w:szCs w:val="24"/>
        </w:rPr>
        <w:t xml:space="preserve"> and/or captioning for internal events should provide advance notice to the event organizer, who is responsible for requesting services through the Disability Resource Center. Event organizers making interpreting </w:t>
      </w:r>
      <w:r w:rsidR="00B83672">
        <w:rPr>
          <w:rFonts w:ascii="Arial" w:hAnsi="Arial" w:cs="Arial"/>
          <w:iCs/>
          <w:sz w:val="24"/>
          <w:szCs w:val="24"/>
        </w:rPr>
        <w:t>and or captioning requests</w:t>
      </w:r>
      <w:r w:rsidRPr="00AC7B20">
        <w:rPr>
          <w:rFonts w:ascii="Arial" w:hAnsi="Arial" w:cs="Arial"/>
          <w:iCs/>
          <w:sz w:val="24"/>
          <w:szCs w:val="24"/>
        </w:rPr>
        <w:t xml:space="preserve"> on behalf of identified consumers should complete a</w:t>
      </w:r>
      <w:r w:rsidR="00B83672" w:rsidRPr="00B83672">
        <w:rPr>
          <w:rFonts w:ascii="Arial" w:hAnsi="Arial" w:cs="Arial"/>
          <w:iCs/>
          <w:sz w:val="24"/>
          <w:szCs w:val="24"/>
        </w:rPr>
        <w:t xml:space="preserve"> </w:t>
      </w:r>
      <w:hyperlink r:id="rId17" w:history="1">
        <w:r w:rsidR="00B83672" w:rsidRPr="00B83672">
          <w:rPr>
            <w:rStyle w:val="Hyperlink"/>
            <w:rFonts w:ascii="Arial" w:hAnsi="Arial" w:cs="Arial"/>
            <w:iCs/>
            <w:sz w:val="24"/>
            <w:szCs w:val="24"/>
          </w:rPr>
          <w:t>Request for Sign Language Interpreting and Captioning Services form</w:t>
        </w:r>
      </w:hyperlink>
      <w:r w:rsidRPr="00AC7B20">
        <w:rPr>
          <w:rFonts w:ascii="Arial" w:hAnsi="Arial" w:cs="Arial"/>
          <w:sz w:val="24"/>
          <w:szCs w:val="24"/>
        </w:rPr>
        <w:t xml:space="preserve">. In cases where an event organizer has not been identified, DOT employees who </w:t>
      </w:r>
      <w:r w:rsidR="002A13F0">
        <w:rPr>
          <w:rFonts w:ascii="Arial" w:hAnsi="Arial" w:cs="Arial"/>
          <w:sz w:val="24"/>
          <w:szCs w:val="24"/>
        </w:rPr>
        <w:t>need</w:t>
      </w:r>
      <w:r w:rsidRPr="00AC7B20">
        <w:rPr>
          <w:rFonts w:ascii="Arial" w:hAnsi="Arial" w:cs="Arial"/>
          <w:sz w:val="24"/>
          <w:szCs w:val="24"/>
        </w:rPr>
        <w:t xml:space="preserve"> services are encouraged to submit a completed request form directly to the applicable DRC mailbox. </w:t>
      </w:r>
    </w:p>
    <w:p w14:paraId="5ED6F499" w14:textId="77777777" w:rsidR="005505E6" w:rsidRPr="00AC7B20" w:rsidRDefault="005505E6" w:rsidP="0046250F">
      <w:pPr>
        <w:pStyle w:val="ListParagraph"/>
        <w:numPr>
          <w:ilvl w:val="0"/>
          <w:numId w:val="16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C7B20">
        <w:rPr>
          <w:rFonts w:ascii="Arial" w:hAnsi="Arial" w:cs="Arial"/>
          <w:sz w:val="24"/>
          <w:szCs w:val="24"/>
        </w:rPr>
        <w:t xml:space="preserve">For external events and trainings, employees needing services should notify the event organizer or training provider directly. </w:t>
      </w:r>
    </w:p>
    <w:p w14:paraId="79DD029D" w14:textId="5ABBBC9C" w:rsidR="003A6A6B" w:rsidRDefault="005505E6" w:rsidP="0046250F">
      <w:pPr>
        <w:pStyle w:val="ListParagraph"/>
        <w:numPr>
          <w:ilvl w:val="0"/>
          <w:numId w:val="16"/>
        </w:numPr>
        <w:spacing w:after="120" w:line="360" w:lineRule="auto"/>
      </w:pPr>
      <w:r w:rsidRPr="00BE3B58">
        <w:rPr>
          <w:rFonts w:ascii="Arial" w:hAnsi="Arial" w:cs="Arial"/>
          <w:sz w:val="24"/>
          <w:szCs w:val="24"/>
        </w:rPr>
        <w:t xml:space="preserve">For DOT-sponsored public meetings and external events, it is the responsibility of the organizing program office to provide interpreting and/or captioning services through a vendor listed on the </w:t>
      </w:r>
      <w:hyperlink r:id="rId18" w:history="1">
        <w:r w:rsidRPr="00BE3B58">
          <w:rPr>
            <w:rStyle w:val="Hyperlink"/>
            <w:rFonts w:ascii="Arial" w:hAnsi="Arial" w:cs="Arial"/>
            <w:sz w:val="24"/>
            <w:szCs w:val="24"/>
          </w:rPr>
          <w:t>GSA Schedule</w:t>
        </w:r>
      </w:hyperlink>
      <w:r w:rsidRPr="00BE3B58">
        <w:rPr>
          <w:rFonts w:ascii="Arial" w:hAnsi="Arial" w:cs="Arial"/>
          <w:sz w:val="24"/>
          <w:szCs w:val="24"/>
        </w:rPr>
        <w:t xml:space="preserve">. </w:t>
      </w:r>
    </w:p>
    <w:sectPr w:rsidR="003A6A6B" w:rsidSect="0046250F"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A59A" w14:textId="77777777" w:rsidR="0046250F" w:rsidRDefault="0046250F" w:rsidP="0046250F">
      <w:pPr>
        <w:spacing w:after="0" w:line="240" w:lineRule="auto"/>
      </w:pPr>
      <w:r>
        <w:separator/>
      </w:r>
    </w:p>
  </w:endnote>
  <w:endnote w:type="continuationSeparator" w:id="0">
    <w:p w14:paraId="4F903D07" w14:textId="77777777" w:rsidR="0046250F" w:rsidRDefault="0046250F" w:rsidP="0046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43B9" w14:textId="77777777" w:rsidR="0046250F" w:rsidRDefault="0046250F" w:rsidP="0046250F">
      <w:pPr>
        <w:spacing w:after="0" w:line="240" w:lineRule="auto"/>
      </w:pPr>
      <w:r>
        <w:separator/>
      </w:r>
    </w:p>
  </w:footnote>
  <w:footnote w:type="continuationSeparator" w:id="0">
    <w:p w14:paraId="35B35999" w14:textId="77777777" w:rsidR="0046250F" w:rsidRDefault="0046250F" w:rsidP="0046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7B14" w14:textId="77777777" w:rsidR="0046250F" w:rsidRDefault="004625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C5B"/>
    <w:multiLevelType w:val="hybridMultilevel"/>
    <w:tmpl w:val="C7AE1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405"/>
    <w:multiLevelType w:val="hybridMultilevel"/>
    <w:tmpl w:val="E15650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C1EB1"/>
    <w:multiLevelType w:val="hybridMultilevel"/>
    <w:tmpl w:val="270E88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3CE0"/>
    <w:multiLevelType w:val="hybridMultilevel"/>
    <w:tmpl w:val="5180FFA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A1451"/>
    <w:multiLevelType w:val="hybridMultilevel"/>
    <w:tmpl w:val="484292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2347D"/>
    <w:multiLevelType w:val="hybridMultilevel"/>
    <w:tmpl w:val="C9D69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18E6"/>
    <w:multiLevelType w:val="hybridMultilevel"/>
    <w:tmpl w:val="8B70B8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95E3C"/>
    <w:multiLevelType w:val="hybridMultilevel"/>
    <w:tmpl w:val="C6F4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23525"/>
    <w:multiLevelType w:val="hybridMultilevel"/>
    <w:tmpl w:val="191C878C"/>
    <w:lvl w:ilvl="0" w:tplc="6F7A02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1717" w:themeColor="background2" w:themeShade="1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323E2"/>
    <w:multiLevelType w:val="hybridMultilevel"/>
    <w:tmpl w:val="96AA8E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F7903"/>
    <w:multiLevelType w:val="hybridMultilevel"/>
    <w:tmpl w:val="4F68B9E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377868"/>
    <w:multiLevelType w:val="hybridMultilevel"/>
    <w:tmpl w:val="FFDEA1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943608"/>
    <w:multiLevelType w:val="hybridMultilevel"/>
    <w:tmpl w:val="AFEA31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8F2E49"/>
    <w:multiLevelType w:val="hybridMultilevel"/>
    <w:tmpl w:val="C0E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C0387"/>
    <w:multiLevelType w:val="hybridMultilevel"/>
    <w:tmpl w:val="FC8AC5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2063"/>
    <w:multiLevelType w:val="hybridMultilevel"/>
    <w:tmpl w:val="54B4E9D8"/>
    <w:lvl w:ilvl="0" w:tplc="04090009">
      <w:start w:val="1"/>
      <w:numFmt w:val="bullet"/>
      <w:lvlText w:val=""/>
      <w:lvlJc w:val="left"/>
      <w:pPr>
        <w:ind w:left="-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num w:numId="1" w16cid:durableId="1547990653">
    <w:abstractNumId w:val="13"/>
  </w:num>
  <w:num w:numId="2" w16cid:durableId="1676765394">
    <w:abstractNumId w:val="0"/>
  </w:num>
  <w:num w:numId="3" w16cid:durableId="473177608">
    <w:abstractNumId w:val="7"/>
  </w:num>
  <w:num w:numId="4" w16cid:durableId="1220215161">
    <w:abstractNumId w:val="8"/>
  </w:num>
  <w:num w:numId="5" w16cid:durableId="210583993">
    <w:abstractNumId w:val="2"/>
  </w:num>
  <w:num w:numId="6" w16cid:durableId="1404064637">
    <w:abstractNumId w:val="5"/>
  </w:num>
  <w:num w:numId="7" w16cid:durableId="895119239">
    <w:abstractNumId w:val="9"/>
  </w:num>
  <w:num w:numId="8" w16cid:durableId="1758211481">
    <w:abstractNumId w:val="14"/>
  </w:num>
  <w:num w:numId="9" w16cid:durableId="1459490544">
    <w:abstractNumId w:val="6"/>
  </w:num>
  <w:num w:numId="10" w16cid:durableId="1111321524">
    <w:abstractNumId w:val="3"/>
  </w:num>
  <w:num w:numId="11" w16cid:durableId="668748294">
    <w:abstractNumId w:val="1"/>
  </w:num>
  <w:num w:numId="12" w16cid:durableId="252473914">
    <w:abstractNumId w:val="12"/>
  </w:num>
  <w:num w:numId="13" w16cid:durableId="329603850">
    <w:abstractNumId w:val="10"/>
  </w:num>
  <w:num w:numId="14" w16cid:durableId="1529760742">
    <w:abstractNumId w:val="15"/>
  </w:num>
  <w:num w:numId="15" w16cid:durableId="962811818">
    <w:abstractNumId w:val="11"/>
  </w:num>
  <w:num w:numId="16" w16cid:durableId="530415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E6"/>
    <w:rsid w:val="00042210"/>
    <w:rsid w:val="00074E23"/>
    <w:rsid w:val="000A3291"/>
    <w:rsid w:val="000A5B7C"/>
    <w:rsid w:val="000B6BB3"/>
    <w:rsid w:val="000D2D34"/>
    <w:rsid w:val="000D789A"/>
    <w:rsid w:val="00156A31"/>
    <w:rsid w:val="001E097C"/>
    <w:rsid w:val="00205B9F"/>
    <w:rsid w:val="002A13F0"/>
    <w:rsid w:val="002A48BD"/>
    <w:rsid w:val="003A6A6B"/>
    <w:rsid w:val="0046250F"/>
    <w:rsid w:val="00490906"/>
    <w:rsid w:val="005505E6"/>
    <w:rsid w:val="005F7DEB"/>
    <w:rsid w:val="00631A2E"/>
    <w:rsid w:val="00656D2A"/>
    <w:rsid w:val="00687904"/>
    <w:rsid w:val="006A0BA8"/>
    <w:rsid w:val="00721F44"/>
    <w:rsid w:val="00724A49"/>
    <w:rsid w:val="007F294F"/>
    <w:rsid w:val="008A684D"/>
    <w:rsid w:val="009255C6"/>
    <w:rsid w:val="0093722D"/>
    <w:rsid w:val="00A016B1"/>
    <w:rsid w:val="00A10666"/>
    <w:rsid w:val="00AC7B20"/>
    <w:rsid w:val="00AF497C"/>
    <w:rsid w:val="00B0149A"/>
    <w:rsid w:val="00B131EB"/>
    <w:rsid w:val="00B83672"/>
    <w:rsid w:val="00BE3B58"/>
    <w:rsid w:val="00BF3907"/>
    <w:rsid w:val="00C66148"/>
    <w:rsid w:val="00C95CF6"/>
    <w:rsid w:val="00CA7A4D"/>
    <w:rsid w:val="00E04CD0"/>
    <w:rsid w:val="00E4179B"/>
    <w:rsid w:val="00E67627"/>
    <w:rsid w:val="00E973C9"/>
    <w:rsid w:val="00EC7621"/>
    <w:rsid w:val="00FA0AAF"/>
    <w:rsid w:val="00FA6800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2C157E"/>
  <w15:chartTrackingRefBased/>
  <w15:docId w15:val="{1ED67125-BB66-4A1F-AF23-E2EE7EC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5E6"/>
  </w:style>
  <w:style w:type="paragraph" w:styleId="Heading1">
    <w:name w:val="heading 1"/>
    <w:basedOn w:val="Normal"/>
    <w:next w:val="Normal"/>
    <w:link w:val="Heading1Char"/>
    <w:uiPriority w:val="9"/>
    <w:qFormat/>
    <w:rsid w:val="0055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05E6"/>
    <w:pPr>
      <w:ind w:left="720"/>
      <w:contextualSpacing/>
    </w:pPr>
  </w:style>
  <w:style w:type="character" w:styleId="Hyperlink">
    <w:name w:val="Hyperlink"/>
    <w:rsid w:val="005505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5E6"/>
    <w:rPr>
      <w:sz w:val="20"/>
      <w:szCs w:val="20"/>
    </w:rPr>
  </w:style>
  <w:style w:type="table" w:styleId="TableGrid">
    <w:name w:val="Table Grid"/>
    <w:basedOn w:val="TableNormal"/>
    <w:uiPriority w:val="39"/>
    <w:rsid w:val="0055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5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29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5B9F"/>
    <w:pPr>
      <w:spacing w:line="480" w:lineRule="auto"/>
      <w:jc w:val="center"/>
    </w:pPr>
    <w:rPr>
      <w:rFonts w:ascii="Arial" w:hAnsi="Arial" w:cs="Arial"/>
      <w:b/>
      <w:bCs/>
      <w:color w:val="0D0D0D" w:themeColor="text1" w:themeTint="F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5B9F"/>
    <w:rPr>
      <w:rFonts w:ascii="Arial" w:hAnsi="Arial" w:cs="Arial"/>
      <w:b/>
      <w:bCs/>
      <w:color w:val="0D0D0D" w:themeColor="text1" w:themeTint="F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1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661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0F"/>
  </w:style>
  <w:style w:type="paragraph" w:styleId="Footer">
    <w:name w:val="footer"/>
    <w:basedOn w:val="Normal"/>
    <w:link w:val="FooterChar"/>
    <w:uiPriority w:val="99"/>
    <w:unhideWhenUsed/>
    <w:rsid w:val="00462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gsaadvantage.gov/advantage/ws/main/start_page?store=ADVANTAG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transportation.gov/sites/dot.gov/files/2024-04/Interpreting-captioning-request-form-4-2-2024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ucidmeetings.com/glossary/5-second-rul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helpx.adobe.com/acrobat/using/create-verify-pdf-accessibility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gov/2014/06/30/508-accessible-videos-how-to-make-audio-descrip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36a9c2-af52-4efd-96cb-b3bf3fa84e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14EE5599C1548ABDE44F220F3A061" ma:contentTypeVersion="12" ma:contentTypeDescription="Create a new document." ma:contentTypeScope="" ma:versionID="609869b261e7989c0c321adf55b12ca2">
  <xsd:schema xmlns:xsd="http://www.w3.org/2001/XMLSchema" xmlns:xs="http://www.w3.org/2001/XMLSchema" xmlns:p="http://schemas.microsoft.com/office/2006/metadata/properties" xmlns:ns3="4f648c74-f4ae-45fc-b5fc-51878f79848f" xmlns:ns4="7936a9c2-af52-4efd-96cb-b3bf3fa84ef5" targetNamespace="http://schemas.microsoft.com/office/2006/metadata/properties" ma:root="true" ma:fieldsID="ca744fdae57ac3113491e77b1004f5fd" ns3:_="" ns4:_="">
    <xsd:import namespace="4f648c74-f4ae-45fc-b5fc-51878f79848f"/>
    <xsd:import namespace="7936a9c2-af52-4efd-96cb-b3bf3fa84e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8c74-f4ae-45fc-b5fc-51878f798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a9c2-af52-4efd-96cb-b3bf3fa84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C8570-B8E6-463D-B552-519E68A8D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3045E-9105-4FE4-BF25-F3D99275451E}">
  <ds:schemaRefs>
    <ds:schemaRef ds:uri="http://purl.org/dc/elements/1.1/"/>
    <ds:schemaRef ds:uri="http://schemas.microsoft.com/office/2006/metadata/properties"/>
    <ds:schemaRef ds:uri="7936a9c2-af52-4efd-96cb-b3bf3fa84ef5"/>
    <ds:schemaRef ds:uri="http://purl.org/dc/terms/"/>
    <ds:schemaRef ds:uri="4f648c74-f4ae-45fc-b5fc-51878f798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15CADF-5B19-44C8-9A85-6AC726258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5931D-38F9-49F4-806C-E37DE319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48c74-f4ae-45fc-b5fc-51878f79848f"/>
    <ds:schemaRef ds:uri="7936a9c2-af52-4efd-96cb-b3bf3fa84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Gallup, Bailey CTR (OST)</dc:creator>
  <cp:keywords/>
  <dc:description/>
  <cp:lastModifiedBy>Wolhandler, Julia (OST)</cp:lastModifiedBy>
  <cp:revision>3</cp:revision>
  <dcterms:created xsi:type="dcterms:W3CDTF">2025-02-07T17:01:00Z</dcterms:created>
  <dcterms:modified xsi:type="dcterms:W3CDTF">2025-02-07T20:45:00Z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0x0101007E814EE5599C1548ABDE44F220F3A061</vt:lpwstr>
  </property>
</Properties>
</file>