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A376" w14:textId="53E10053" w:rsidR="007873E8" w:rsidRDefault="001842BA" w:rsidP="008857D2">
      <w:pPr>
        <w:spacing w:after="0"/>
      </w:pPr>
      <w:r>
        <w:t xml:space="preserve">Please note that use of this budget template for FY2023 Thriving </w:t>
      </w:r>
      <w:r w:rsidR="0020249A">
        <w:t>Communities</w:t>
      </w:r>
      <w:r>
        <w:t xml:space="preserve"> Program applications is encouraged but not required. The template is intended to </w:t>
      </w:r>
      <w:r w:rsidR="0020249A">
        <w:t>demonstrate the minimum information that applicants are expected to include in their budget proposals</w:t>
      </w:r>
      <w:r w:rsidR="000B04CF">
        <w:t xml:space="preserve">. Applicants may use other formats and are encouraged to provide detailed tables and narratives to describe their budget proposals. </w:t>
      </w:r>
    </w:p>
    <w:tbl>
      <w:tblPr>
        <w:tblStyle w:val="TableGrid"/>
        <w:tblpPr w:leftFromText="180" w:rightFromText="180" w:vertAnchor="text" w:horzAnchor="margin" w:tblpY="511"/>
        <w:tblW w:w="14470" w:type="dxa"/>
        <w:tblLayout w:type="fixed"/>
        <w:tblLook w:val="04A0" w:firstRow="1" w:lastRow="0" w:firstColumn="1" w:lastColumn="0" w:noHBand="0" w:noVBand="1"/>
      </w:tblPr>
      <w:tblGrid>
        <w:gridCol w:w="3775"/>
        <w:gridCol w:w="2010"/>
        <w:gridCol w:w="4342"/>
        <w:gridCol w:w="4343"/>
      </w:tblGrid>
      <w:tr w:rsidR="00110DCC" w14:paraId="0B73B8F2" w14:textId="1BD5190B" w:rsidTr="00AC138B">
        <w:trPr>
          <w:trHeight w:val="1070"/>
        </w:trPr>
        <w:tc>
          <w:tcPr>
            <w:tcW w:w="3775" w:type="dxa"/>
          </w:tcPr>
          <w:p w14:paraId="00FD8F3E" w14:textId="684995A6" w:rsidR="00110DCC" w:rsidRDefault="00110DCC" w:rsidP="00C27B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Thriving Communities NOFO Applicant</w:t>
            </w:r>
          </w:p>
        </w:tc>
        <w:tc>
          <w:tcPr>
            <w:tcW w:w="2010" w:type="dxa"/>
          </w:tcPr>
          <w:p w14:paraId="1A6CEADC" w14:textId="5443060E" w:rsidR="00110DCC" w:rsidRPr="00346F31" w:rsidRDefault="00D23DF3" w:rsidP="00C2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</w:t>
            </w:r>
            <w:r w:rsidR="00110DCC" w:rsidRPr="00346F31">
              <w:rPr>
                <w:b/>
                <w:bCs/>
                <w:sz w:val="24"/>
                <w:szCs w:val="24"/>
              </w:rPr>
              <w:t>Amount</w:t>
            </w:r>
            <w:r>
              <w:rPr>
                <w:b/>
                <w:bCs/>
                <w:sz w:val="24"/>
                <w:szCs w:val="24"/>
              </w:rPr>
              <w:t xml:space="preserve"> Requested ($)</w:t>
            </w:r>
          </w:p>
        </w:tc>
        <w:tc>
          <w:tcPr>
            <w:tcW w:w="4342" w:type="dxa"/>
          </w:tcPr>
          <w:p w14:paraId="46452923" w14:textId="450DFBFA" w:rsidR="006C2A58" w:rsidRDefault="00965018" w:rsidP="00C27B1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Portion </w:t>
            </w:r>
            <w:r w:rsidR="00110DCC" w:rsidRPr="00C27B10">
              <w:rPr>
                <w:b/>
                <w:bCs/>
                <w:sz w:val="24"/>
                <w:szCs w:val="24"/>
              </w:rPr>
              <w:t>Targeted Support</w:t>
            </w:r>
            <w:r>
              <w:rPr>
                <w:b/>
                <w:bCs/>
                <w:sz w:val="24"/>
                <w:szCs w:val="24"/>
              </w:rPr>
              <w:t xml:space="preserve"> ($)</w:t>
            </w:r>
          </w:p>
          <w:p w14:paraId="7FBCE656" w14:textId="01D67F88" w:rsidR="00110DCC" w:rsidRPr="008857D2" w:rsidRDefault="00110DCC" w:rsidP="00C27B10">
            <w:pPr>
              <w:jc w:val="center"/>
            </w:pPr>
            <w:r w:rsidRPr="008857D2">
              <w:rPr>
                <w:sz w:val="18"/>
                <w:szCs w:val="18"/>
              </w:rPr>
              <w:t xml:space="preserve"> (</w:t>
            </w:r>
            <w:r w:rsidR="00962BFF">
              <w:rPr>
                <w:sz w:val="18"/>
                <w:szCs w:val="18"/>
              </w:rPr>
              <w:t>includes activities</w:t>
            </w:r>
            <w:r w:rsidRPr="008857D2">
              <w:rPr>
                <w:sz w:val="18"/>
                <w:szCs w:val="18"/>
              </w:rPr>
              <w:t xml:space="preserve"> directly benefiting </w:t>
            </w:r>
            <w:r w:rsidR="000C7708" w:rsidRPr="008857D2">
              <w:rPr>
                <w:sz w:val="18"/>
                <w:szCs w:val="18"/>
              </w:rPr>
              <w:t>individual communities</w:t>
            </w:r>
            <w:r w:rsidRPr="008857D2">
              <w:rPr>
                <w:sz w:val="18"/>
                <w:szCs w:val="18"/>
              </w:rPr>
              <w:t>)</w:t>
            </w:r>
            <w:r w:rsidR="00F02A64" w:rsidRPr="008857D2">
              <w:rPr>
                <w:sz w:val="18"/>
                <w:szCs w:val="18"/>
              </w:rPr>
              <w:t xml:space="preserve"> (</w:t>
            </w:r>
            <w:r w:rsidR="00F02A64" w:rsidRPr="00962BFF">
              <w:rPr>
                <w:b/>
                <w:bCs/>
                <w:sz w:val="18"/>
                <w:szCs w:val="18"/>
              </w:rPr>
              <w:t>excludes</w:t>
            </w:r>
            <w:r w:rsidR="00F02A64" w:rsidRPr="008857D2">
              <w:rPr>
                <w:sz w:val="18"/>
                <w:szCs w:val="18"/>
              </w:rPr>
              <w:t xml:space="preserve"> activities that support the overall Community of Practice and </w:t>
            </w:r>
            <w:r w:rsidR="00962BFF" w:rsidRPr="008857D2">
              <w:rPr>
                <w:sz w:val="18"/>
                <w:szCs w:val="18"/>
              </w:rPr>
              <w:t xml:space="preserve">program administration and grant management </w:t>
            </w:r>
            <w:r w:rsidR="00962BFF" w:rsidRPr="00962BFF">
              <w:rPr>
                <w:sz w:val="18"/>
                <w:szCs w:val="18"/>
              </w:rPr>
              <w:t>activities</w:t>
            </w:r>
            <w:r w:rsidR="00962BFF" w:rsidRPr="008857D2">
              <w:rPr>
                <w:sz w:val="18"/>
                <w:szCs w:val="18"/>
              </w:rPr>
              <w:t>)</w:t>
            </w:r>
          </w:p>
        </w:tc>
        <w:tc>
          <w:tcPr>
            <w:tcW w:w="4343" w:type="dxa"/>
          </w:tcPr>
          <w:p w14:paraId="6DA3CB54" w14:textId="44888534" w:rsidR="008857D2" w:rsidRDefault="00965018" w:rsidP="00C27B1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 xml:space="preserve">Portion </w:t>
            </w:r>
            <w:r w:rsidR="001628BA">
              <w:rPr>
                <w:b/>
                <w:bCs/>
                <w:sz w:val="24"/>
                <w:szCs w:val="24"/>
              </w:rPr>
              <w:t>Program Administration and Grant Management</w:t>
            </w:r>
            <w:r>
              <w:rPr>
                <w:b/>
                <w:bCs/>
                <w:sz w:val="24"/>
                <w:szCs w:val="24"/>
              </w:rPr>
              <w:t xml:space="preserve"> ($)</w:t>
            </w:r>
            <w:r w:rsidR="006D15FD">
              <w:rPr>
                <w:sz w:val="18"/>
                <w:szCs w:val="18"/>
              </w:rPr>
              <w:t xml:space="preserve"> </w:t>
            </w:r>
          </w:p>
          <w:p w14:paraId="0CDD7C2A" w14:textId="5678A6CC" w:rsidR="00110DCC" w:rsidRPr="00C27B10" w:rsidRDefault="00B531DC" w:rsidP="00C27B10">
            <w:pPr>
              <w:jc w:val="center"/>
              <w:rPr>
                <w:b/>
                <w:bCs/>
              </w:rPr>
            </w:pPr>
            <w:r w:rsidRPr="008857D2">
              <w:rPr>
                <w:sz w:val="18"/>
                <w:szCs w:val="18"/>
              </w:rPr>
              <w:t>(e.g., workplan development, invoicing, team meetings, evaluation report)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51FAD" w14:paraId="4855C1FF" w14:textId="19E67CFE" w:rsidTr="00AC138B">
        <w:trPr>
          <w:trHeight w:val="333"/>
        </w:trPr>
        <w:tc>
          <w:tcPr>
            <w:tcW w:w="3775" w:type="dxa"/>
            <w:shd w:val="clear" w:color="auto" w:fill="B4C6E7" w:themeFill="accent1" w:themeFillTint="66"/>
          </w:tcPr>
          <w:p w14:paraId="718AC1E6" w14:textId="126B9B52" w:rsidR="00110DCC" w:rsidRPr="00183695" w:rsidRDefault="00110DCC" w:rsidP="00183695">
            <w:pPr>
              <w:rPr>
                <w:b/>
                <w:sz w:val="20"/>
                <w:szCs w:val="20"/>
                <w:highlight w:val="yellow"/>
              </w:rPr>
            </w:pPr>
            <w:r w:rsidRPr="00183695">
              <w:rPr>
                <w:b/>
                <w:bCs/>
              </w:rPr>
              <w:t>Personnel</w:t>
            </w:r>
            <w:r>
              <w:rPr>
                <w:b/>
                <w:bCs/>
              </w:rPr>
              <w:t xml:space="preserve"> (</w:t>
            </w:r>
            <w:r w:rsidR="006D15FD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ecipient </w:t>
            </w:r>
            <w:r w:rsidR="003B3BC0">
              <w:rPr>
                <w:b/>
                <w:bCs/>
              </w:rPr>
              <w:t>s</w:t>
            </w:r>
            <w:r>
              <w:rPr>
                <w:b/>
                <w:bCs/>
              </w:rPr>
              <w:t>taff)</w:t>
            </w:r>
            <w:r w:rsidR="7EED3DD4" w:rsidRPr="59B8B9E0">
              <w:rPr>
                <w:b/>
                <w:bCs/>
              </w:rPr>
              <w:t xml:space="preserve"> </w:t>
            </w:r>
            <w:r w:rsidR="7EED3DD4" w:rsidRPr="2017EF00">
              <w:rPr>
                <w:b/>
                <w:bCs/>
              </w:rPr>
              <w:t xml:space="preserve">Use an asterisk </w:t>
            </w:r>
            <w:r w:rsidR="7EED3DD4" w:rsidRPr="52395C41">
              <w:rPr>
                <w:b/>
                <w:bCs/>
              </w:rPr>
              <w:t xml:space="preserve">(*) to </w:t>
            </w:r>
            <w:r w:rsidR="7EED3DD4" w:rsidRPr="6679B4D0">
              <w:rPr>
                <w:b/>
                <w:bCs/>
              </w:rPr>
              <w:t xml:space="preserve">identify </w:t>
            </w:r>
            <w:r w:rsidR="7EED3DD4" w:rsidRPr="7BF984DC">
              <w:rPr>
                <w:b/>
                <w:bCs/>
              </w:rPr>
              <w:t xml:space="preserve">any </w:t>
            </w:r>
            <w:r w:rsidR="7EED3DD4" w:rsidRPr="55325F08">
              <w:rPr>
                <w:b/>
                <w:bCs/>
              </w:rPr>
              <w:t>full</w:t>
            </w:r>
            <w:r w:rsidR="7EED3DD4" w:rsidRPr="2017EF00">
              <w:rPr>
                <w:b/>
                <w:bCs/>
                <w:sz w:val="20"/>
                <w:szCs w:val="20"/>
              </w:rPr>
              <w:t>-time</w:t>
            </w:r>
            <w:r w:rsidR="7EED3DD4" w:rsidRPr="55325F08">
              <w:rPr>
                <w:b/>
                <w:bCs/>
                <w:sz w:val="20"/>
                <w:szCs w:val="20"/>
              </w:rPr>
              <w:t xml:space="preserve"> staff.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733D9847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4DB2C3DF" w14:textId="263CD9CE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5E112092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0DD42125" w14:textId="58FF5B66" w:rsidTr="00AC138B">
        <w:trPr>
          <w:trHeight w:val="333"/>
        </w:trPr>
        <w:tc>
          <w:tcPr>
            <w:tcW w:w="3775" w:type="dxa"/>
          </w:tcPr>
          <w:p w14:paraId="1D002CCE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2AC39428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20949D29" w14:textId="4C464635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05DF2FC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2B08B073" w14:textId="0C5DE2E7" w:rsidTr="00AC138B">
        <w:trPr>
          <w:trHeight w:val="315"/>
        </w:trPr>
        <w:tc>
          <w:tcPr>
            <w:tcW w:w="3775" w:type="dxa"/>
          </w:tcPr>
          <w:p w14:paraId="1E083421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3BC4857E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AD66A1A" w14:textId="05450EC9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EB1482E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6D04F6DA" w14:textId="5595251B" w:rsidTr="00AC138B">
        <w:trPr>
          <w:trHeight w:val="333"/>
        </w:trPr>
        <w:tc>
          <w:tcPr>
            <w:tcW w:w="3775" w:type="dxa"/>
          </w:tcPr>
          <w:p w14:paraId="0765E45A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6AF6097D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006DADBD" w14:textId="6417D0F0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AAECECE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673533BC" w14:textId="1893E364" w:rsidTr="00AC138B">
        <w:trPr>
          <w:trHeight w:val="315"/>
        </w:trPr>
        <w:tc>
          <w:tcPr>
            <w:tcW w:w="3775" w:type="dxa"/>
          </w:tcPr>
          <w:p w14:paraId="727EF8C3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0C1A3C84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B2DD756" w14:textId="1945565C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58AAFB25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6C2A58" w14:paraId="21987C92" w14:textId="18B11736" w:rsidTr="00AC138B">
        <w:trPr>
          <w:trHeight w:val="315"/>
        </w:trPr>
        <w:tc>
          <w:tcPr>
            <w:tcW w:w="3775" w:type="dxa"/>
          </w:tcPr>
          <w:p w14:paraId="21C4AF4F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11861E01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E453B00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40F567B6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110DCC" w14:paraId="4E94F312" w14:textId="229D7C2F" w:rsidTr="00AC138B">
        <w:trPr>
          <w:trHeight w:val="315"/>
        </w:trPr>
        <w:tc>
          <w:tcPr>
            <w:tcW w:w="3775" w:type="dxa"/>
          </w:tcPr>
          <w:p w14:paraId="7F0E9407" w14:textId="2365CCBB" w:rsidR="00110DCC" w:rsidRDefault="00110DCC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Subtotal</w:t>
            </w:r>
          </w:p>
        </w:tc>
        <w:tc>
          <w:tcPr>
            <w:tcW w:w="2010" w:type="dxa"/>
          </w:tcPr>
          <w:p w14:paraId="6D51BD7C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704E7C1" w14:textId="1649EE08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723BB6F2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551FAD" w14:paraId="2F19BF70" w14:textId="624C33FC" w:rsidTr="00AC138B">
        <w:trPr>
          <w:trHeight w:val="333"/>
        </w:trPr>
        <w:tc>
          <w:tcPr>
            <w:tcW w:w="3775" w:type="dxa"/>
            <w:shd w:val="clear" w:color="auto" w:fill="B4C6E7" w:themeFill="accent1" w:themeFillTint="66"/>
          </w:tcPr>
          <w:p w14:paraId="1E4E5CB6" w14:textId="4532655E" w:rsidR="00110DCC" w:rsidRPr="00183695" w:rsidRDefault="00110DCC" w:rsidP="00183695">
            <w:pPr>
              <w:rPr>
                <w:b/>
                <w:bCs/>
              </w:rPr>
            </w:pPr>
            <w:r w:rsidRPr="00183695">
              <w:rPr>
                <w:b/>
                <w:bCs/>
              </w:rPr>
              <w:t>Fringe Benefits</w:t>
            </w:r>
            <w:r>
              <w:rPr>
                <w:b/>
                <w:bCs/>
              </w:rPr>
              <w:t xml:space="preserve"> (only for </w:t>
            </w:r>
            <w:r w:rsidR="006D15FD">
              <w:rPr>
                <w:b/>
                <w:bCs/>
              </w:rPr>
              <w:t>R</w:t>
            </w:r>
            <w:r>
              <w:rPr>
                <w:b/>
                <w:bCs/>
              </w:rPr>
              <w:t>ecipient staff)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3F47703C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2A5B45B2" w14:textId="2534E70A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0A8D745E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11D34BB3" w14:textId="255E4271" w:rsidTr="00AC138B">
        <w:trPr>
          <w:trHeight w:val="333"/>
        </w:trPr>
        <w:tc>
          <w:tcPr>
            <w:tcW w:w="3775" w:type="dxa"/>
          </w:tcPr>
          <w:p w14:paraId="09D20A07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59D755F4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43C09B67" w14:textId="2C50F235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4F169D0D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2277D2B3" w14:textId="17F97B04" w:rsidTr="00AC138B">
        <w:trPr>
          <w:trHeight w:val="315"/>
        </w:trPr>
        <w:tc>
          <w:tcPr>
            <w:tcW w:w="3775" w:type="dxa"/>
          </w:tcPr>
          <w:p w14:paraId="720BD1DD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4A7F0232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383A7073" w14:textId="217A081A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4F8ADCA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6C2A58" w14:paraId="4D6F38E4" w14:textId="2E22CFF3" w:rsidTr="00AC138B">
        <w:trPr>
          <w:trHeight w:val="315"/>
        </w:trPr>
        <w:tc>
          <w:tcPr>
            <w:tcW w:w="3775" w:type="dxa"/>
          </w:tcPr>
          <w:p w14:paraId="728AA77A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4C47F578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B40501D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4D4E3C61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6C2A58" w14:paraId="72F1356E" w14:textId="0A3EF8B3" w:rsidTr="00AC138B">
        <w:trPr>
          <w:trHeight w:val="315"/>
        </w:trPr>
        <w:tc>
          <w:tcPr>
            <w:tcW w:w="3775" w:type="dxa"/>
          </w:tcPr>
          <w:p w14:paraId="3EE672FF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29D67741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44D8FF5D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53C97743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8857D2" w14:paraId="5E4895A6" w14:textId="77777777" w:rsidTr="00AC138B">
        <w:trPr>
          <w:trHeight w:val="315"/>
        </w:trPr>
        <w:tc>
          <w:tcPr>
            <w:tcW w:w="3775" w:type="dxa"/>
          </w:tcPr>
          <w:p w14:paraId="3BE4DD79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561139B5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DDFAAEB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8ACF53A" w14:textId="77777777" w:rsidR="008857D2" w:rsidRDefault="008857D2" w:rsidP="00183695">
            <w:pPr>
              <w:rPr>
                <w:b/>
                <w:bCs/>
              </w:rPr>
            </w:pPr>
          </w:p>
        </w:tc>
      </w:tr>
      <w:tr w:rsidR="00110DCC" w14:paraId="39BFF36C" w14:textId="1D969754" w:rsidTr="00AC138B">
        <w:trPr>
          <w:trHeight w:val="380"/>
        </w:trPr>
        <w:tc>
          <w:tcPr>
            <w:tcW w:w="3775" w:type="dxa"/>
          </w:tcPr>
          <w:p w14:paraId="27DF941E" w14:textId="3D651093" w:rsidR="00110DCC" w:rsidRDefault="00110DCC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Subtotal</w:t>
            </w:r>
          </w:p>
        </w:tc>
        <w:tc>
          <w:tcPr>
            <w:tcW w:w="2010" w:type="dxa"/>
          </w:tcPr>
          <w:p w14:paraId="47421A0A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3810C235" w14:textId="444DF80E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75F72BFD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551FAD" w14:paraId="39E7CAEE" w14:textId="18EB3A89" w:rsidTr="00AC138B">
        <w:trPr>
          <w:trHeight w:val="333"/>
        </w:trPr>
        <w:tc>
          <w:tcPr>
            <w:tcW w:w="3775" w:type="dxa"/>
            <w:shd w:val="clear" w:color="auto" w:fill="B4C6E7" w:themeFill="accent1" w:themeFillTint="66"/>
          </w:tcPr>
          <w:p w14:paraId="300B7933" w14:textId="5D927E00" w:rsidR="00110DCC" w:rsidRPr="00183695" w:rsidRDefault="00110DCC" w:rsidP="00183695">
            <w:pPr>
              <w:rPr>
                <w:b/>
                <w:bCs/>
              </w:rPr>
            </w:pPr>
            <w:r w:rsidRPr="00183695">
              <w:rPr>
                <w:b/>
                <w:bCs/>
              </w:rPr>
              <w:t>Contractual</w:t>
            </w:r>
            <w:r>
              <w:rPr>
                <w:b/>
                <w:bCs/>
              </w:rPr>
              <w:t>/Subgrantees (to include partner companies &amp; hourly rates separately)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433565A8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25C4D5B0" w14:textId="60EB36FE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0B46977C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7165D52A" w14:textId="09EBFFA4" w:rsidTr="00AC138B">
        <w:trPr>
          <w:trHeight w:val="333"/>
        </w:trPr>
        <w:tc>
          <w:tcPr>
            <w:tcW w:w="3775" w:type="dxa"/>
          </w:tcPr>
          <w:p w14:paraId="0C60F092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7DF9B7EC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94BCF08" w14:textId="16D17B73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6C524FED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26256654" w14:textId="149BD496" w:rsidTr="00AC138B">
        <w:trPr>
          <w:trHeight w:val="315"/>
        </w:trPr>
        <w:tc>
          <w:tcPr>
            <w:tcW w:w="3775" w:type="dxa"/>
          </w:tcPr>
          <w:p w14:paraId="6AAFA7E3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6FC8A493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AF78177" w14:textId="3E31AFDB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42EA3BF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322315AC" w14:textId="345B59F1" w:rsidTr="00AC138B">
        <w:trPr>
          <w:trHeight w:val="333"/>
        </w:trPr>
        <w:tc>
          <w:tcPr>
            <w:tcW w:w="3775" w:type="dxa"/>
          </w:tcPr>
          <w:p w14:paraId="03D37212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61CBCFF0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0236A1F" w14:textId="53484363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9AB1B7A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4F7C3B62" w14:textId="0EE864E9" w:rsidTr="00AC138B">
        <w:trPr>
          <w:trHeight w:val="315"/>
        </w:trPr>
        <w:tc>
          <w:tcPr>
            <w:tcW w:w="3775" w:type="dxa"/>
          </w:tcPr>
          <w:p w14:paraId="07034260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23161D04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DDBBD0F" w14:textId="49202D40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21F0CFA1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6C2A58" w14:paraId="1687D5C6" w14:textId="44452161" w:rsidTr="00AC138B">
        <w:trPr>
          <w:trHeight w:val="315"/>
        </w:trPr>
        <w:tc>
          <w:tcPr>
            <w:tcW w:w="3775" w:type="dxa"/>
          </w:tcPr>
          <w:p w14:paraId="208847AF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2732D187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16C04AE9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6A0680CB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110DCC" w14:paraId="5329E3F7" w14:textId="044428D0" w:rsidTr="00AC138B">
        <w:trPr>
          <w:trHeight w:val="315"/>
        </w:trPr>
        <w:tc>
          <w:tcPr>
            <w:tcW w:w="3775" w:type="dxa"/>
          </w:tcPr>
          <w:p w14:paraId="6BFF0507" w14:textId="1483A7BC" w:rsidR="00110DCC" w:rsidRDefault="00110DCC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Subtotal</w:t>
            </w:r>
          </w:p>
        </w:tc>
        <w:tc>
          <w:tcPr>
            <w:tcW w:w="2010" w:type="dxa"/>
          </w:tcPr>
          <w:p w14:paraId="3170C2FF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F7DBF9D" w14:textId="06D29683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762CC3B9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551FAD" w14:paraId="21F9FE0E" w14:textId="767CE173" w:rsidTr="00AC138B">
        <w:trPr>
          <w:trHeight w:val="333"/>
        </w:trPr>
        <w:tc>
          <w:tcPr>
            <w:tcW w:w="3775" w:type="dxa"/>
            <w:shd w:val="clear" w:color="auto" w:fill="B4C6E7" w:themeFill="accent1" w:themeFillTint="66"/>
          </w:tcPr>
          <w:p w14:paraId="0BA1FD02" w14:textId="558133A3" w:rsidR="00110DCC" w:rsidRPr="00183695" w:rsidRDefault="00110DCC" w:rsidP="00183695">
            <w:pPr>
              <w:rPr>
                <w:b/>
                <w:bCs/>
              </w:rPr>
            </w:pPr>
            <w:bookmarkStart w:id="0" w:name="_Hlk137462274"/>
            <w:r w:rsidRPr="00183695">
              <w:rPr>
                <w:b/>
                <w:bCs/>
              </w:rPr>
              <w:t xml:space="preserve">Subgrants to </w:t>
            </w:r>
            <w:r w:rsidR="00E42F78">
              <w:rPr>
                <w:b/>
                <w:bCs/>
              </w:rPr>
              <w:t xml:space="preserve">individual </w:t>
            </w:r>
            <w:r w:rsidR="00AB0B01">
              <w:rPr>
                <w:b/>
                <w:bCs/>
              </w:rPr>
              <w:t>communit</w:t>
            </w:r>
            <w:r w:rsidR="00773C59">
              <w:rPr>
                <w:b/>
                <w:bCs/>
              </w:rPr>
              <w:t>ies</w:t>
            </w:r>
            <w:r>
              <w:rPr>
                <w:b/>
                <w:bCs/>
              </w:rPr>
              <w:t xml:space="preserve"> </w:t>
            </w:r>
            <w:r w:rsidR="00E42F78">
              <w:rPr>
                <w:b/>
                <w:bCs/>
              </w:rPr>
              <w:t xml:space="preserve">within Community of Practice </w:t>
            </w:r>
            <w:r>
              <w:rPr>
                <w:b/>
                <w:bCs/>
              </w:rPr>
              <w:t xml:space="preserve">(Minimum 20% of total </w:t>
            </w:r>
            <w:r w:rsidR="00C1516F">
              <w:rPr>
                <w:b/>
                <w:bCs/>
              </w:rPr>
              <w:t>budget</w:t>
            </w:r>
            <w:r>
              <w:rPr>
                <w:b/>
                <w:bCs/>
              </w:rPr>
              <w:t>) projected amount set aside for allocation, based upon future assessment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6073F617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3D1D2FE6" w14:textId="01177E20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23C34C7E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12558657" w14:textId="2076F9EA" w:rsidTr="00AC138B">
        <w:trPr>
          <w:trHeight w:val="333"/>
        </w:trPr>
        <w:tc>
          <w:tcPr>
            <w:tcW w:w="3775" w:type="dxa"/>
          </w:tcPr>
          <w:p w14:paraId="0E9428E5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64F18971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311774D7" w14:textId="410DED7A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6BEA1A38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4B5E8B2D" w14:textId="74B751CE" w:rsidTr="00AC138B">
        <w:trPr>
          <w:trHeight w:val="315"/>
        </w:trPr>
        <w:tc>
          <w:tcPr>
            <w:tcW w:w="3775" w:type="dxa"/>
          </w:tcPr>
          <w:p w14:paraId="760F6E4D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490770BD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C461399" w14:textId="44421AF6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276AC49A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6C2A58" w14:paraId="316CC480" w14:textId="36E3AD8F" w:rsidTr="00AC138B">
        <w:trPr>
          <w:trHeight w:val="315"/>
        </w:trPr>
        <w:tc>
          <w:tcPr>
            <w:tcW w:w="3775" w:type="dxa"/>
          </w:tcPr>
          <w:p w14:paraId="05D835E4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52980CA5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1D16B858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BAAC5A3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8857D2" w14:paraId="1CB95922" w14:textId="77777777" w:rsidTr="00AC138B">
        <w:trPr>
          <w:trHeight w:val="315"/>
        </w:trPr>
        <w:tc>
          <w:tcPr>
            <w:tcW w:w="3775" w:type="dxa"/>
          </w:tcPr>
          <w:p w14:paraId="5D10287C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4FEDF217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66D3C69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57B3831A" w14:textId="77777777" w:rsidR="008857D2" w:rsidRDefault="008857D2" w:rsidP="00183695">
            <w:pPr>
              <w:rPr>
                <w:b/>
                <w:bCs/>
              </w:rPr>
            </w:pPr>
          </w:p>
        </w:tc>
      </w:tr>
      <w:tr w:rsidR="006C2A58" w14:paraId="5A1D994C" w14:textId="70814A37" w:rsidTr="00AC138B">
        <w:trPr>
          <w:trHeight w:val="315"/>
        </w:trPr>
        <w:tc>
          <w:tcPr>
            <w:tcW w:w="3775" w:type="dxa"/>
          </w:tcPr>
          <w:p w14:paraId="34BB2483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0A749068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BE2C0D1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250C0B63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110DCC" w14:paraId="1D7CE3CE" w14:textId="0DF48D34" w:rsidTr="00AC138B">
        <w:trPr>
          <w:trHeight w:val="315"/>
        </w:trPr>
        <w:tc>
          <w:tcPr>
            <w:tcW w:w="3775" w:type="dxa"/>
          </w:tcPr>
          <w:p w14:paraId="6F78CAEE" w14:textId="36844362" w:rsidR="00110DCC" w:rsidRDefault="00110DCC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Subtotal</w:t>
            </w:r>
          </w:p>
        </w:tc>
        <w:tc>
          <w:tcPr>
            <w:tcW w:w="2010" w:type="dxa"/>
          </w:tcPr>
          <w:p w14:paraId="080E0639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41674DA0" w14:textId="296F1C08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319C360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4E2AAD" w14:paraId="36C45F70" w14:textId="191683FA" w:rsidTr="00AC138B">
        <w:trPr>
          <w:trHeight w:val="315"/>
        </w:trPr>
        <w:tc>
          <w:tcPr>
            <w:tcW w:w="3775" w:type="dxa"/>
            <w:shd w:val="clear" w:color="auto" w:fill="B4C6E7" w:themeFill="accent1" w:themeFillTint="66"/>
          </w:tcPr>
          <w:p w14:paraId="219A7986" w14:textId="574D95CC" w:rsidR="004E2AAD" w:rsidRDefault="003C47BC" w:rsidP="008857D2">
            <w:pPr>
              <w:rPr>
                <w:b/>
                <w:bCs/>
              </w:rPr>
            </w:pPr>
            <w:r>
              <w:rPr>
                <w:b/>
                <w:bCs/>
              </w:rPr>
              <w:t>Other targeted support activities or costs (e.g., staffing or fellows embedded in recipient communities, software, modeling, GIS</w:t>
            </w:r>
            <w:r w:rsidR="008857D2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or other data tools for recipient communities, etc.)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3E34CED7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2EA5377A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134E1D3D" w14:textId="77777777" w:rsidR="004E2AAD" w:rsidRDefault="004E2AAD" w:rsidP="00183695">
            <w:pPr>
              <w:rPr>
                <w:b/>
                <w:bCs/>
              </w:rPr>
            </w:pPr>
          </w:p>
        </w:tc>
      </w:tr>
      <w:tr w:rsidR="004E2AAD" w14:paraId="28997252" w14:textId="7EB90290" w:rsidTr="00AC138B">
        <w:trPr>
          <w:trHeight w:val="315"/>
        </w:trPr>
        <w:tc>
          <w:tcPr>
            <w:tcW w:w="3775" w:type="dxa"/>
          </w:tcPr>
          <w:p w14:paraId="18FAD202" w14:textId="77777777" w:rsidR="004E2AAD" w:rsidRDefault="004E2AAD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69575357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B80AA5C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4214875A" w14:textId="77777777" w:rsidR="004E2AAD" w:rsidRDefault="004E2AAD" w:rsidP="00183695">
            <w:pPr>
              <w:rPr>
                <w:b/>
                <w:bCs/>
              </w:rPr>
            </w:pPr>
          </w:p>
        </w:tc>
      </w:tr>
      <w:tr w:rsidR="004E2AAD" w14:paraId="7715FA8E" w14:textId="456D0CFE" w:rsidTr="00AC138B">
        <w:trPr>
          <w:trHeight w:val="315"/>
        </w:trPr>
        <w:tc>
          <w:tcPr>
            <w:tcW w:w="3775" w:type="dxa"/>
          </w:tcPr>
          <w:p w14:paraId="21BBA707" w14:textId="77777777" w:rsidR="004E2AAD" w:rsidRDefault="004E2AAD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37037728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47D04716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C43FB8C" w14:textId="77777777" w:rsidR="004E2AAD" w:rsidRDefault="004E2AAD" w:rsidP="00183695">
            <w:pPr>
              <w:rPr>
                <w:b/>
                <w:bCs/>
              </w:rPr>
            </w:pPr>
          </w:p>
        </w:tc>
      </w:tr>
      <w:tr w:rsidR="004E2AAD" w14:paraId="7452AA95" w14:textId="1DF653FA" w:rsidTr="00AC138B">
        <w:trPr>
          <w:trHeight w:val="315"/>
        </w:trPr>
        <w:tc>
          <w:tcPr>
            <w:tcW w:w="3775" w:type="dxa"/>
          </w:tcPr>
          <w:p w14:paraId="267194A0" w14:textId="77777777" w:rsidR="004E2AAD" w:rsidRDefault="004E2AAD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6E5F7319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709B6C0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2AB4C768" w14:textId="77777777" w:rsidR="004E2AAD" w:rsidRDefault="004E2AAD" w:rsidP="00183695">
            <w:pPr>
              <w:rPr>
                <w:b/>
                <w:bCs/>
              </w:rPr>
            </w:pPr>
          </w:p>
        </w:tc>
      </w:tr>
      <w:tr w:rsidR="008857D2" w14:paraId="2DA29247" w14:textId="77777777" w:rsidTr="00AC138B">
        <w:trPr>
          <w:trHeight w:val="315"/>
        </w:trPr>
        <w:tc>
          <w:tcPr>
            <w:tcW w:w="3775" w:type="dxa"/>
          </w:tcPr>
          <w:p w14:paraId="7E1A6107" w14:textId="77777777" w:rsidR="008857D2" w:rsidRDefault="008857D2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55094B3E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098738C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53959C86" w14:textId="77777777" w:rsidR="008857D2" w:rsidRDefault="008857D2" w:rsidP="00183695">
            <w:pPr>
              <w:rPr>
                <w:b/>
                <w:bCs/>
              </w:rPr>
            </w:pPr>
          </w:p>
        </w:tc>
      </w:tr>
      <w:tr w:rsidR="004E2AAD" w14:paraId="56FFD916" w14:textId="44CBC66B" w:rsidTr="00AC138B">
        <w:trPr>
          <w:trHeight w:val="315"/>
        </w:trPr>
        <w:tc>
          <w:tcPr>
            <w:tcW w:w="3775" w:type="dxa"/>
          </w:tcPr>
          <w:p w14:paraId="741AB735" w14:textId="77777777" w:rsidR="004E2AAD" w:rsidRDefault="004E2AAD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3FF3748C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D09A1CC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759101D2" w14:textId="77777777" w:rsidR="004E2AAD" w:rsidRDefault="004E2AAD" w:rsidP="00183695">
            <w:pPr>
              <w:rPr>
                <w:b/>
                <w:bCs/>
              </w:rPr>
            </w:pPr>
          </w:p>
        </w:tc>
      </w:tr>
      <w:tr w:rsidR="004E2AAD" w14:paraId="44293068" w14:textId="3AAFEFE0" w:rsidTr="00AC138B">
        <w:trPr>
          <w:trHeight w:val="315"/>
        </w:trPr>
        <w:tc>
          <w:tcPr>
            <w:tcW w:w="3775" w:type="dxa"/>
          </w:tcPr>
          <w:p w14:paraId="38687BCC" w14:textId="2BDF2F07" w:rsidR="004E2AAD" w:rsidRDefault="003C47BC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2010" w:type="dxa"/>
          </w:tcPr>
          <w:p w14:paraId="1B6215B5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6CD2851" w14:textId="77777777" w:rsidR="004E2AAD" w:rsidRDefault="004E2AAD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790AC27" w14:textId="77777777" w:rsidR="004E2AAD" w:rsidRDefault="004E2AAD" w:rsidP="00183695">
            <w:pPr>
              <w:rPr>
                <w:b/>
                <w:bCs/>
              </w:rPr>
            </w:pPr>
          </w:p>
        </w:tc>
      </w:tr>
      <w:bookmarkEnd w:id="0"/>
      <w:tr w:rsidR="00551FAD" w14:paraId="02AB44DD" w14:textId="224071FF" w:rsidTr="00AC138B">
        <w:trPr>
          <w:trHeight w:val="333"/>
        </w:trPr>
        <w:tc>
          <w:tcPr>
            <w:tcW w:w="3775" w:type="dxa"/>
            <w:shd w:val="clear" w:color="auto" w:fill="B4C6E7" w:themeFill="accent1" w:themeFillTint="66"/>
          </w:tcPr>
          <w:p w14:paraId="619DD500" w14:textId="4C1CB439" w:rsidR="00110DCC" w:rsidRPr="00183695" w:rsidRDefault="00110DCC" w:rsidP="00183695">
            <w:pPr>
              <w:rPr>
                <w:b/>
                <w:bCs/>
              </w:rPr>
            </w:pPr>
            <w:r>
              <w:rPr>
                <w:b/>
                <w:bCs/>
              </w:rPr>
              <w:t>Travel</w:t>
            </w:r>
            <w:r w:rsidR="00C27B10">
              <w:rPr>
                <w:b/>
                <w:bCs/>
              </w:rPr>
              <w:t xml:space="preserve"> </w:t>
            </w:r>
            <w:r w:rsidR="00130906">
              <w:rPr>
                <w:b/>
                <w:bCs/>
              </w:rPr>
              <w:t>for Capacity Building Team Members (annual convenings, site visits, other travel as needed to perform scope of work)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7F0140D4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05A69217" w14:textId="73D04449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623F29D6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110DCC" w14:paraId="447887EE" w14:textId="7BACEF12" w:rsidTr="00AC138B">
        <w:trPr>
          <w:trHeight w:val="333"/>
        </w:trPr>
        <w:tc>
          <w:tcPr>
            <w:tcW w:w="3775" w:type="dxa"/>
          </w:tcPr>
          <w:p w14:paraId="7F7D8289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0D05C114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3D7B2FFD" w14:textId="6E481289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9ECC777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8857D2" w14:paraId="79B825B3" w14:textId="77777777" w:rsidTr="00AC138B">
        <w:trPr>
          <w:trHeight w:val="333"/>
        </w:trPr>
        <w:tc>
          <w:tcPr>
            <w:tcW w:w="3775" w:type="dxa"/>
          </w:tcPr>
          <w:p w14:paraId="35D3EE80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1E717E1E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0300100E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474A3AE" w14:textId="77777777" w:rsidR="008857D2" w:rsidRDefault="008857D2" w:rsidP="00183695">
            <w:pPr>
              <w:rPr>
                <w:b/>
                <w:bCs/>
              </w:rPr>
            </w:pPr>
          </w:p>
        </w:tc>
      </w:tr>
      <w:tr w:rsidR="008857D2" w14:paraId="1C86D786" w14:textId="77777777" w:rsidTr="00AC138B">
        <w:trPr>
          <w:trHeight w:val="333"/>
        </w:trPr>
        <w:tc>
          <w:tcPr>
            <w:tcW w:w="3775" w:type="dxa"/>
          </w:tcPr>
          <w:p w14:paraId="4422F748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0C756837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0F2BBE68" w14:textId="77777777" w:rsidR="008857D2" w:rsidRDefault="008857D2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C3446A5" w14:textId="77777777" w:rsidR="008857D2" w:rsidRDefault="008857D2" w:rsidP="00183695">
            <w:pPr>
              <w:rPr>
                <w:b/>
                <w:bCs/>
              </w:rPr>
            </w:pPr>
          </w:p>
        </w:tc>
      </w:tr>
      <w:tr w:rsidR="00110DCC" w14:paraId="7BA4A955" w14:textId="12B177E2" w:rsidTr="00AC138B">
        <w:trPr>
          <w:trHeight w:val="315"/>
        </w:trPr>
        <w:tc>
          <w:tcPr>
            <w:tcW w:w="3775" w:type="dxa"/>
          </w:tcPr>
          <w:p w14:paraId="5F0383FC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24EB422D" w14:textId="77777777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3FA6E17D" w14:textId="297878B9" w:rsidR="00110DCC" w:rsidRDefault="00110DCC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0253EEC" w14:textId="77777777" w:rsidR="00110DCC" w:rsidRDefault="00110DCC" w:rsidP="00183695">
            <w:pPr>
              <w:rPr>
                <w:b/>
                <w:bCs/>
              </w:rPr>
            </w:pPr>
          </w:p>
        </w:tc>
      </w:tr>
      <w:tr w:rsidR="006C2A58" w14:paraId="5CA25B68" w14:textId="309871FF" w:rsidTr="00AC138B">
        <w:trPr>
          <w:trHeight w:val="315"/>
        </w:trPr>
        <w:tc>
          <w:tcPr>
            <w:tcW w:w="3775" w:type="dxa"/>
          </w:tcPr>
          <w:p w14:paraId="7B4E38FA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02ECCF40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4ED8400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6EDD21C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6C2A58" w14:paraId="4EF7C99B" w14:textId="27F69FB4" w:rsidTr="00AC138B">
        <w:trPr>
          <w:trHeight w:val="315"/>
        </w:trPr>
        <w:tc>
          <w:tcPr>
            <w:tcW w:w="3775" w:type="dxa"/>
          </w:tcPr>
          <w:p w14:paraId="5B997973" w14:textId="3069956C" w:rsidR="006C2A58" w:rsidRDefault="00C772F9" w:rsidP="008857D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2010" w:type="dxa"/>
          </w:tcPr>
          <w:p w14:paraId="29D5145C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8944EB6" w14:textId="77777777" w:rsidR="006C2A58" w:rsidRDefault="006C2A58" w:rsidP="00183695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6C9C9B1E" w14:textId="77777777" w:rsidR="006C2A58" w:rsidRDefault="006C2A58" w:rsidP="00183695">
            <w:pPr>
              <w:rPr>
                <w:b/>
                <w:bCs/>
              </w:rPr>
            </w:pPr>
          </w:p>
        </w:tc>
      </w:tr>
      <w:tr w:rsidR="00551FAD" w14:paraId="28B33650" w14:textId="717C21A1" w:rsidTr="00AC138B">
        <w:trPr>
          <w:trHeight w:val="333"/>
        </w:trPr>
        <w:tc>
          <w:tcPr>
            <w:tcW w:w="3775" w:type="dxa"/>
            <w:shd w:val="clear" w:color="auto" w:fill="B4C6E7" w:themeFill="accent1" w:themeFillTint="66"/>
          </w:tcPr>
          <w:p w14:paraId="770110EB" w14:textId="5F828524" w:rsidR="00C27B10" w:rsidRDefault="0010370C" w:rsidP="00C27B10">
            <w:pPr>
              <w:rPr>
                <w:b/>
                <w:bCs/>
              </w:rPr>
            </w:pPr>
            <w:bookmarkStart w:id="1" w:name="_Hlk137462323"/>
            <w:r>
              <w:rPr>
                <w:b/>
                <w:bCs/>
              </w:rPr>
              <w:t>Travel for Individual Communities within assigned Community of Practice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7EF30F10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086E434F" w14:textId="02291272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0918D783" w14:textId="77777777" w:rsidR="00C27B10" w:rsidRDefault="00C27B10" w:rsidP="00C27B10">
            <w:pPr>
              <w:rPr>
                <w:b/>
                <w:bCs/>
              </w:rPr>
            </w:pPr>
          </w:p>
        </w:tc>
      </w:tr>
      <w:tr w:rsidR="00C27B10" w14:paraId="7425A50E" w14:textId="18131374" w:rsidTr="00AC138B">
        <w:trPr>
          <w:trHeight w:val="315"/>
        </w:trPr>
        <w:tc>
          <w:tcPr>
            <w:tcW w:w="3775" w:type="dxa"/>
          </w:tcPr>
          <w:p w14:paraId="7E375F52" w14:textId="55B2AB22" w:rsidR="00C27B10" w:rsidRDefault="00C27B10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</w:t>
            </w:r>
          </w:p>
        </w:tc>
        <w:tc>
          <w:tcPr>
            <w:tcW w:w="2010" w:type="dxa"/>
          </w:tcPr>
          <w:p w14:paraId="2D50B8D6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19278176" w14:textId="55420F18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B9E39CD" w14:textId="77777777" w:rsidR="00C27B10" w:rsidRDefault="00C27B10" w:rsidP="00C27B10">
            <w:pPr>
              <w:rPr>
                <w:b/>
                <w:bCs/>
              </w:rPr>
            </w:pPr>
          </w:p>
        </w:tc>
      </w:tr>
      <w:tr w:rsidR="006C2A58" w14:paraId="50F17B5C" w14:textId="17C896B0" w:rsidTr="00AC138B">
        <w:trPr>
          <w:trHeight w:val="315"/>
        </w:trPr>
        <w:tc>
          <w:tcPr>
            <w:tcW w:w="3775" w:type="dxa"/>
          </w:tcPr>
          <w:p w14:paraId="7486826C" w14:textId="77777777" w:rsidR="006C2A58" w:rsidRDefault="006C2A58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67466B4F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07655D15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56B09FDB" w14:textId="77777777" w:rsidR="006C2A58" w:rsidRDefault="006C2A58" w:rsidP="00C27B10">
            <w:pPr>
              <w:rPr>
                <w:b/>
                <w:bCs/>
              </w:rPr>
            </w:pPr>
          </w:p>
        </w:tc>
      </w:tr>
      <w:tr w:rsidR="006C2A58" w14:paraId="6682C358" w14:textId="70643CD4" w:rsidTr="00AC138B">
        <w:trPr>
          <w:trHeight w:val="315"/>
        </w:trPr>
        <w:tc>
          <w:tcPr>
            <w:tcW w:w="3775" w:type="dxa"/>
          </w:tcPr>
          <w:p w14:paraId="1F5F29A3" w14:textId="77777777" w:rsidR="006C2A58" w:rsidRDefault="006C2A58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20CD1F51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A222873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B76C57B" w14:textId="77777777" w:rsidR="006C2A58" w:rsidRDefault="006C2A58" w:rsidP="00C27B10">
            <w:pPr>
              <w:rPr>
                <w:b/>
                <w:bCs/>
              </w:rPr>
            </w:pPr>
          </w:p>
        </w:tc>
      </w:tr>
      <w:tr w:rsidR="006C2A58" w14:paraId="79F6F89C" w14:textId="1B00E08E" w:rsidTr="00AC138B">
        <w:trPr>
          <w:trHeight w:val="315"/>
        </w:trPr>
        <w:tc>
          <w:tcPr>
            <w:tcW w:w="3775" w:type="dxa"/>
          </w:tcPr>
          <w:p w14:paraId="418CE1A2" w14:textId="77777777" w:rsidR="006C2A58" w:rsidRDefault="006C2A58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54B8D573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5073C9DF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51461C2" w14:textId="77777777" w:rsidR="006C2A58" w:rsidRDefault="006C2A58" w:rsidP="00C27B10">
            <w:pPr>
              <w:rPr>
                <w:b/>
                <w:bCs/>
              </w:rPr>
            </w:pPr>
          </w:p>
        </w:tc>
      </w:tr>
      <w:tr w:rsidR="008857D2" w14:paraId="34D387A2" w14:textId="77777777" w:rsidTr="00AC138B">
        <w:trPr>
          <w:trHeight w:val="315"/>
        </w:trPr>
        <w:tc>
          <w:tcPr>
            <w:tcW w:w="3775" w:type="dxa"/>
          </w:tcPr>
          <w:p w14:paraId="56927DD1" w14:textId="77777777" w:rsidR="008857D2" w:rsidRDefault="008857D2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</w:tcPr>
          <w:p w14:paraId="4CF1ADF1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EAAC96B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28FE0A07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6C2A58" w14:paraId="3C93DCB8" w14:textId="099CE2A9" w:rsidTr="00AC138B">
        <w:trPr>
          <w:trHeight w:val="315"/>
        </w:trPr>
        <w:tc>
          <w:tcPr>
            <w:tcW w:w="3775" w:type="dxa"/>
          </w:tcPr>
          <w:p w14:paraId="0D1D8AEE" w14:textId="5B1217EA" w:rsidR="006C2A58" w:rsidRDefault="006C2A58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Subtotal</w:t>
            </w:r>
          </w:p>
        </w:tc>
        <w:tc>
          <w:tcPr>
            <w:tcW w:w="2010" w:type="dxa"/>
          </w:tcPr>
          <w:p w14:paraId="4167919F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685CE81" w14:textId="77777777" w:rsidR="006C2A58" w:rsidRDefault="006C2A58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6502B24" w14:textId="77777777" w:rsidR="006C2A58" w:rsidRDefault="006C2A58" w:rsidP="00C27B10">
            <w:pPr>
              <w:rPr>
                <w:b/>
                <w:bCs/>
              </w:rPr>
            </w:pPr>
          </w:p>
        </w:tc>
      </w:tr>
      <w:bookmarkEnd w:id="1"/>
      <w:tr w:rsidR="00551FAD" w14:paraId="260AED47" w14:textId="5BE7D725" w:rsidTr="00AC138B">
        <w:trPr>
          <w:trHeight w:val="315"/>
        </w:trPr>
        <w:tc>
          <w:tcPr>
            <w:tcW w:w="3775" w:type="dxa"/>
            <w:shd w:val="clear" w:color="auto" w:fill="B4C6E7" w:themeFill="accent1" w:themeFillTint="66"/>
          </w:tcPr>
          <w:p w14:paraId="633A0950" w14:textId="75BF887A" w:rsidR="00C27B10" w:rsidRDefault="00C27B10" w:rsidP="00C27B10">
            <w:pPr>
              <w:rPr>
                <w:b/>
                <w:bCs/>
              </w:rPr>
            </w:pPr>
            <w:r>
              <w:rPr>
                <w:b/>
                <w:bCs/>
              </w:rPr>
              <w:t>Materials</w:t>
            </w:r>
            <w:r w:rsidR="00DD3825">
              <w:rPr>
                <w:b/>
                <w:bCs/>
              </w:rPr>
              <w:t xml:space="preserve"> and</w:t>
            </w:r>
            <w:r>
              <w:rPr>
                <w:b/>
                <w:bCs/>
              </w:rPr>
              <w:t xml:space="preserve"> Supplies 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44842C63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43040031" w14:textId="48CD270D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0B882BB9" w14:textId="77777777" w:rsidR="00C27B10" w:rsidRDefault="00C27B10" w:rsidP="00C27B10">
            <w:pPr>
              <w:rPr>
                <w:b/>
                <w:bCs/>
              </w:rPr>
            </w:pPr>
          </w:p>
        </w:tc>
      </w:tr>
      <w:tr w:rsidR="00C27B10" w14:paraId="5051E745" w14:textId="0539F972" w:rsidTr="00AC138B">
        <w:trPr>
          <w:trHeight w:val="333"/>
        </w:trPr>
        <w:tc>
          <w:tcPr>
            <w:tcW w:w="3775" w:type="dxa"/>
          </w:tcPr>
          <w:p w14:paraId="09A8FC56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32E53467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1E90458B" w14:textId="59E29E66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FC8990D" w14:textId="77777777" w:rsidR="00C27B10" w:rsidRDefault="00C27B10" w:rsidP="00C27B10">
            <w:pPr>
              <w:rPr>
                <w:b/>
                <w:bCs/>
              </w:rPr>
            </w:pPr>
          </w:p>
        </w:tc>
      </w:tr>
      <w:tr w:rsidR="00C27B10" w14:paraId="102BADB7" w14:textId="2ECC5ABB" w:rsidTr="00AC138B">
        <w:trPr>
          <w:trHeight w:val="315"/>
        </w:trPr>
        <w:tc>
          <w:tcPr>
            <w:tcW w:w="3775" w:type="dxa"/>
          </w:tcPr>
          <w:p w14:paraId="712210D0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42EBF818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29C468DD" w14:textId="641BE0EE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6EF7C06C" w14:textId="77777777" w:rsidR="00C27B10" w:rsidRDefault="00C27B10" w:rsidP="00C27B10">
            <w:pPr>
              <w:rPr>
                <w:b/>
                <w:bCs/>
              </w:rPr>
            </w:pPr>
          </w:p>
        </w:tc>
      </w:tr>
      <w:tr w:rsidR="008857D2" w14:paraId="14E76BEC" w14:textId="77777777" w:rsidTr="00AC138B">
        <w:trPr>
          <w:trHeight w:val="315"/>
        </w:trPr>
        <w:tc>
          <w:tcPr>
            <w:tcW w:w="3775" w:type="dxa"/>
          </w:tcPr>
          <w:p w14:paraId="5DF692AB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576583C6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6C7D1666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5D12E3C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8857D2" w14:paraId="309EB3A3" w14:textId="77777777" w:rsidTr="00AC138B">
        <w:trPr>
          <w:trHeight w:val="315"/>
        </w:trPr>
        <w:tc>
          <w:tcPr>
            <w:tcW w:w="3775" w:type="dxa"/>
          </w:tcPr>
          <w:p w14:paraId="27C62D03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78B987A8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00963863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1DFDE74A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8857D2" w14:paraId="18A99BF1" w14:textId="77777777" w:rsidTr="00AC138B">
        <w:trPr>
          <w:trHeight w:val="315"/>
        </w:trPr>
        <w:tc>
          <w:tcPr>
            <w:tcW w:w="3775" w:type="dxa"/>
          </w:tcPr>
          <w:p w14:paraId="4F1F5686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004730B8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4624B4BF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0936DC2F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551FAD" w14:paraId="63904722" w14:textId="145DD284" w:rsidTr="00AC138B">
        <w:trPr>
          <w:trHeight w:val="315"/>
        </w:trPr>
        <w:tc>
          <w:tcPr>
            <w:tcW w:w="3775" w:type="dxa"/>
            <w:shd w:val="clear" w:color="auto" w:fill="B4C6E7" w:themeFill="accent1" w:themeFillTint="66"/>
          </w:tcPr>
          <w:p w14:paraId="4DFC393A" w14:textId="702D3D98" w:rsidR="00B1766C" w:rsidRDefault="00B1766C" w:rsidP="00C27B10">
            <w:pPr>
              <w:rPr>
                <w:b/>
                <w:bCs/>
              </w:rPr>
            </w:pPr>
            <w:r>
              <w:rPr>
                <w:b/>
                <w:bCs/>
              </w:rPr>
              <w:t>Indirect Costs</w:t>
            </w:r>
          </w:p>
        </w:tc>
        <w:tc>
          <w:tcPr>
            <w:tcW w:w="2010" w:type="dxa"/>
            <w:shd w:val="clear" w:color="auto" w:fill="B4C6E7" w:themeFill="accent1" w:themeFillTint="66"/>
          </w:tcPr>
          <w:p w14:paraId="602C405B" w14:textId="77777777" w:rsidR="00B1766C" w:rsidRDefault="00B1766C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B4C6E7" w:themeFill="accent1" w:themeFillTint="66"/>
          </w:tcPr>
          <w:p w14:paraId="553F3B29" w14:textId="77777777" w:rsidR="00B1766C" w:rsidRDefault="00B1766C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B4C6E7" w:themeFill="accent1" w:themeFillTint="66"/>
          </w:tcPr>
          <w:p w14:paraId="75CD645D" w14:textId="77777777" w:rsidR="00B1766C" w:rsidRDefault="00B1766C" w:rsidP="00C27B10">
            <w:pPr>
              <w:rPr>
                <w:b/>
                <w:bCs/>
              </w:rPr>
            </w:pPr>
          </w:p>
        </w:tc>
      </w:tr>
      <w:tr w:rsidR="00D3408D" w14:paraId="66341E94" w14:textId="77777777" w:rsidTr="00AC138B">
        <w:trPr>
          <w:trHeight w:val="355"/>
        </w:trPr>
        <w:tc>
          <w:tcPr>
            <w:tcW w:w="3775" w:type="dxa"/>
            <w:shd w:val="clear" w:color="auto" w:fill="auto"/>
          </w:tcPr>
          <w:p w14:paraId="05B29587" w14:textId="77777777" w:rsidR="00D3408D" w:rsidRDefault="00D3408D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</w:tcPr>
          <w:p w14:paraId="2F1F1477" w14:textId="77777777" w:rsidR="00D3408D" w:rsidRDefault="00D3408D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auto"/>
          </w:tcPr>
          <w:p w14:paraId="5660EA74" w14:textId="77777777" w:rsidR="00D3408D" w:rsidRDefault="00D3408D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</w:tcPr>
          <w:p w14:paraId="5F0F3A15" w14:textId="77777777" w:rsidR="00D3408D" w:rsidRDefault="00D3408D" w:rsidP="00C27B10">
            <w:pPr>
              <w:rPr>
                <w:b/>
                <w:bCs/>
              </w:rPr>
            </w:pPr>
          </w:p>
        </w:tc>
      </w:tr>
      <w:tr w:rsidR="00D3408D" w14:paraId="7F0395A3" w14:textId="77777777" w:rsidTr="00AC138B">
        <w:trPr>
          <w:trHeight w:val="355"/>
        </w:trPr>
        <w:tc>
          <w:tcPr>
            <w:tcW w:w="3775" w:type="dxa"/>
            <w:shd w:val="clear" w:color="auto" w:fill="auto"/>
          </w:tcPr>
          <w:p w14:paraId="2E9227C5" w14:textId="77777777" w:rsidR="00D3408D" w:rsidRDefault="00D3408D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</w:tcPr>
          <w:p w14:paraId="380C74FA" w14:textId="77777777" w:rsidR="00D3408D" w:rsidRDefault="00D3408D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auto"/>
          </w:tcPr>
          <w:p w14:paraId="50F06E71" w14:textId="77777777" w:rsidR="00D3408D" w:rsidRDefault="00D3408D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</w:tcPr>
          <w:p w14:paraId="32C9B3CD" w14:textId="77777777" w:rsidR="00D3408D" w:rsidRDefault="00D3408D" w:rsidP="00C27B10">
            <w:pPr>
              <w:rPr>
                <w:b/>
                <w:bCs/>
              </w:rPr>
            </w:pPr>
          </w:p>
        </w:tc>
      </w:tr>
      <w:tr w:rsidR="008857D2" w14:paraId="1102D5CE" w14:textId="77777777" w:rsidTr="00AC138B">
        <w:trPr>
          <w:trHeight w:val="355"/>
        </w:trPr>
        <w:tc>
          <w:tcPr>
            <w:tcW w:w="3775" w:type="dxa"/>
            <w:shd w:val="clear" w:color="auto" w:fill="auto"/>
          </w:tcPr>
          <w:p w14:paraId="5EA24EA7" w14:textId="77777777" w:rsidR="008857D2" w:rsidRDefault="008857D2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</w:tcPr>
          <w:p w14:paraId="13B04BCA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auto"/>
          </w:tcPr>
          <w:p w14:paraId="6D58462B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</w:tcPr>
          <w:p w14:paraId="6E88CBE4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8857D2" w14:paraId="5A629805" w14:textId="77777777" w:rsidTr="00AC138B">
        <w:trPr>
          <w:trHeight w:val="355"/>
        </w:trPr>
        <w:tc>
          <w:tcPr>
            <w:tcW w:w="3775" w:type="dxa"/>
            <w:shd w:val="clear" w:color="auto" w:fill="auto"/>
          </w:tcPr>
          <w:p w14:paraId="0522C50B" w14:textId="77777777" w:rsidR="008857D2" w:rsidRDefault="008857D2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</w:tcPr>
          <w:p w14:paraId="21EDFC3B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auto"/>
          </w:tcPr>
          <w:p w14:paraId="41F236FB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</w:tcPr>
          <w:p w14:paraId="043402F8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8857D2" w14:paraId="6ACEA92F" w14:textId="77777777" w:rsidTr="00AC138B">
        <w:trPr>
          <w:trHeight w:val="355"/>
        </w:trPr>
        <w:tc>
          <w:tcPr>
            <w:tcW w:w="3775" w:type="dxa"/>
            <w:shd w:val="clear" w:color="auto" w:fill="auto"/>
          </w:tcPr>
          <w:p w14:paraId="3B9310AF" w14:textId="77777777" w:rsidR="008857D2" w:rsidRDefault="008857D2" w:rsidP="00C27B10">
            <w:pPr>
              <w:jc w:val="right"/>
              <w:rPr>
                <w:b/>
                <w:bCs/>
              </w:rPr>
            </w:pPr>
          </w:p>
        </w:tc>
        <w:tc>
          <w:tcPr>
            <w:tcW w:w="2010" w:type="dxa"/>
            <w:shd w:val="clear" w:color="auto" w:fill="auto"/>
          </w:tcPr>
          <w:p w14:paraId="13F3D64E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auto"/>
          </w:tcPr>
          <w:p w14:paraId="0C7121D1" w14:textId="77777777" w:rsidR="008857D2" w:rsidRDefault="008857D2" w:rsidP="00C27B10">
            <w:pPr>
              <w:rPr>
                <w:b/>
                <w:bCs/>
              </w:rPr>
            </w:pPr>
          </w:p>
        </w:tc>
        <w:tc>
          <w:tcPr>
            <w:tcW w:w="4343" w:type="dxa"/>
            <w:shd w:val="clear" w:color="auto" w:fill="auto"/>
          </w:tcPr>
          <w:p w14:paraId="6B2AFA3B" w14:textId="77777777" w:rsidR="008857D2" w:rsidRDefault="008857D2" w:rsidP="00C27B10">
            <w:pPr>
              <w:rPr>
                <w:b/>
                <w:bCs/>
              </w:rPr>
            </w:pPr>
          </w:p>
        </w:tc>
      </w:tr>
      <w:tr w:rsidR="00C27B10" w14:paraId="30FF3162" w14:textId="13AC2AFE" w:rsidTr="00AC138B">
        <w:trPr>
          <w:trHeight w:val="355"/>
        </w:trPr>
        <w:tc>
          <w:tcPr>
            <w:tcW w:w="3775" w:type="dxa"/>
          </w:tcPr>
          <w:p w14:paraId="1B2DC1DC" w14:textId="1461C22D" w:rsidR="00C27B10" w:rsidRDefault="00C27B10" w:rsidP="00C27B1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Subtotal</w:t>
            </w:r>
          </w:p>
        </w:tc>
        <w:tc>
          <w:tcPr>
            <w:tcW w:w="2010" w:type="dxa"/>
          </w:tcPr>
          <w:p w14:paraId="4572D942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08E4445D" w14:textId="00F468B9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3" w:type="dxa"/>
          </w:tcPr>
          <w:p w14:paraId="381F5337" w14:textId="77777777" w:rsidR="00C27B10" w:rsidRDefault="00C27B10" w:rsidP="00C27B10">
            <w:pPr>
              <w:rPr>
                <w:b/>
                <w:bCs/>
              </w:rPr>
            </w:pPr>
          </w:p>
        </w:tc>
      </w:tr>
      <w:tr w:rsidR="00551FAD" w14:paraId="41E191E7" w14:textId="40B46D67" w:rsidTr="00AC138B">
        <w:trPr>
          <w:trHeight w:val="333"/>
        </w:trPr>
        <w:tc>
          <w:tcPr>
            <w:tcW w:w="3775" w:type="dxa"/>
            <w:shd w:val="clear" w:color="auto" w:fill="2F5496" w:themeFill="accent1" w:themeFillShade="BF"/>
          </w:tcPr>
          <w:p w14:paraId="636CD515" w14:textId="4FE3B04C" w:rsidR="00C27B10" w:rsidRDefault="00C27B10" w:rsidP="00C27B10">
            <w:pPr>
              <w:rPr>
                <w:b/>
                <w:bCs/>
              </w:rPr>
            </w:pPr>
            <w:r w:rsidRPr="00183695">
              <w:rPr>
                <w:b/>
                <w:bCs/>
                <w:color w:val="FFFFFF" w:themeColor="background1"/>
              </w:rPr>
              <w:t xml:space="preserve">TOTAL </w:t>
            </w:r>
            <w:r w:rsidR="001965CE">
              <w:rPr>
                <w:b/>
                <w:bCs/>
                <w:color w:val="FFFFFF" w:themeColor="background1"/>
              </w:rPr>
              <w:t>BUDGET</w:t>
            </w:r>
            <w:r w:rsidR="00CF5EE3">
              <w:rPr>
                <w:b/>
                <w:bCs/>
                <w:color w:val="FFFFFF" w:themeColor="background1"/>
              </w:rPr>
              <w:t xml:space="preserve"> ($)</w:t>
            </w:r>
          </w:p>
        </w:tc>
        <w:tc>
          <w:tcPr>
            <w:tcW w:w="2010" w:type="dxa"/>
            <w:shd w:val="clear" w:color="auto" w:fill="2F5496" w:themeFill="accent1" w:themeFillShade="BF"/>
          </w:tcPr>
          <w:p w14:paraId="61377572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  <w:shd w:val="clear" w:color="auto" w:fill="2F5496" w:themeFill="accent1" w:themeFillShade="BF"/>
          </w:tcPr>
          <w:p w14:paraId="7B13B47A" w14:textId="6CEF36BD" w:rsidR="00C27B10" w:rsidRPr="00357FEE" w:rsidRDefault="00C27B10" w:rsidP="00C27B10">
            <w:pPr>
              <w:rPr>
                <w:b/>
                <w:bCs/>
                <w:color w:val="FFFFFF" w:themeColor="background1"/>
              </w:rPr>
            </w:pPr>
            <w:r w:rsidRPr="00357FEE">
              <w:rPr>
                <w:b/>
                <w:bCs/>
                <w:color w:val="FFFFFF" w:themeColor="background1"/>
              </w:rPr>
              <w:t xml:space="preserve">Total </w:t>
            </w:r>
            <w:r w:rsidR="007F1805">
              <w:rPr>
                <w:b/>
                <w:bCs/>
                <w:color w:val="FFFFFF" w:themeColor="background1"/>
              </w:rPr>
              <w:t>(</w:t>
            </w:r>
            <w:r w:rsidR="001965CE">
              <w:rPr>
                <w:b/>
                <w:bCs/>
                <w:color w:val="FFFFFF" w:themeColor="background1"/>
              </w:rPr>
              <w:t>$</w:t>
            </w:r>
            <w:r w:rsidR="007F1805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4343" w:type="dxa"/>
            <w:shd w:val="clear" w:color="auto" w:fill="2F5496" w:themeFill="accent1" w:themeFillShade="BF"/>
          </w:tcPr>
          <w:p w14:paraId="3DFF96B8" w14:textId="3013D66A" w:rsidR="00C27B10" w:rsidRPr="00357FEE" w:rsidRDefault="00C27B10" w:rsidP="00C27B10">
            <w:pPr>
              <w:rPr>
                <w:b/>
                <w:bCs/>
                <w:color w:val="FFFFFF" w:themeColor="background1"/>
              </w:rPr>
            </w:pPr>
            <w:r w:rsidRPr="00357FEE">
              <w:rPr>
                <w:b/>
                <w:bCs/>
                <w:color w:val="FFFFFF" w:themeColor="background1"/>
              </w:rPr>
              <w:t xml:space="preserve">Total </w:t>
            </w:r>
            <w:r w:rsidR="007F1805">
              <w:rPr>
                <w:b/>
                <w:bCs/>
                <w:color w:val="FFFFFF" w:themeColor="background1"/>
              </w:rPr>
              <w:t>(</w:t>
            </w:r>
            <w:r w:rsidR="001965CE">
              <w:rPr>
                <w:b/>
                <w:bCs/>
                <w:color w:val="FFFFFF" w:themeColor="background1"/>
              </w:rPr>
              <w:t>$</w:t>
            </w:r>
            <w:r w:rsidR="007F1805">
              <w:rPr>
                <w:b/>
                <w:bCs/>
                <w:color w:val="FFFFFF" w:themeColor="background1"/>
              </w:rPr>
              <w:t>)</w:t>
            </w:r>
          </w:p>
        </w:tc>
      </w:tr>
      <w:tr w:rsidR="00C27B10" w14:paraId="2A8F5C22" w14:textId="46EA6C62" w:rsidTr="00AC138B">
        <w:trPr>
          <w:trHeight w:val="315"/>
        </w:trPr>
        <w:tc>
          <w:tcPr>
            <w:tcW w:w="3775" w:type="dxa"/>
          </w:tcPr>
          <w:p w14:paraId="05A71F37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2010" w:type="dxa"/>
          </w:tcPr>
          <w:p w14:paraId="776541B7" w14:textId="77777777" w:rsidR="00C27B10" w:rsidRDefault="00C27B10" w:rsidP="00C27B10">
            <w:pPr>
              <w:rPr>
                <w:b/>
                <w:bCs/>
              </w:rPr>
            </w:pPr>
          </w:p>
        </w:tc>
        <w:tc>
          <w:tcPr>
            <w:tcW w:w="4342" w:type="dxa"/>
          </w:tcPr>
          <w:p w14:paraId="76FF5475" w14:textId="4DA8E5AD" w:rsidR="00C27B10" w:rsidRDefault="00FD70C2" w:rsidP="00C27B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7F1805">
              <w:rPr>
                <w:b/>
                <w:bCs/>
              </w:rPr>
              <w:t>(</w:t>
            </w:r>
            <w:r w:rsidR="00AE6E0F">
              <w:rPr>
                <w:b/>
                <w:bCs/>
              </w:rPr>
              <w:t>%)</w:t>
            </w:r>
          </w:p>
        </w:tc>
        <w:tc>
          <w:tcPr>
            <w:tcW w:w="4343" w:type="dxa"/>
          </w:tcPr>
          <w:p w14:paraId="3C57FDA6" w14:textId="1A090A9D" w:rsidR="00C27B10" w:rsidRDefault="00FD70C2" w:rsidP="00C27B1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Total </w:t>
            </w:r>
            <w:r w:rsidR="00487F08">
              <w:rPr>
                <w:b/>
                <w:bCs/>
              </w:rPr>
              <w:t>(</w:t>
            </w:r>
            <w:r>
              <w:rPr>
                <w:b/>
                <w:bCs/>
              </w:rPr>
              <w:t>%</w:t>
            </w:r>
            <w:r w:rsidR="00487F08">
              <w:rPr>
                <w:b/>
                <w:bCs/>
              </w:rPr>
              <w:t>)</w:t>
            </w:r>
          </w:p>
        </w:tc>
      </w:tr>
    </w:tbl>
    <w:p w14:paraId="15A5984D" w14:textId="30964C54" w:rsidR="008857D2" w:rsidRDefault="008857D2">
      <w:pPr>
        <w:rPr>
          <w:b/>
          <w:bCs/>
        </w:rPr>
      </w:pPr>
    </w:p>
    <w:p w14:paraId="10FB0FA8" w14:textId="77777777" w:rsidR="008857D2" w:rsidRDefault="008857D2">
      <w:pPr>
        <w:rPr>
          <w:b/>
          <w:bCs/>
        </w:rPr>
      </w:pPr>
      <w:r>
        <w:rPr>
          <w:b/>
          <w:bCs/>
        </w:rPr>
        <w:br w:type="page"/>
      </w:r>
    </w:p>
    <w:p w14:paraId="6F4E7974" w14:textId="77777777" w:rsidR="00357FEE" w:rsidRDefault="00357FEE">
      <w:pPr>
        <w:rPr>
          <w:b/>
          <w:bCs/>
        </w:rPr>
      </w:pPr>
    </w:p>
    <w:p w14:paraId="299C8499" w14:textId="1012BAFF" w:rsidR="00093108" w:rsidRPr="00346F31" w:rsidRDefault="00093108">
      <w:pPr>
        <w:rPr>
          <w:b/>
          <w:bCs/>
          <w:sz w:val="24"/>
          <w:szCs w:val="24"/>
        </w:rPr>
      </w:pPr>
      <w:r w:rsidRPr="00346F31">
        <w:rPr>
          <w:b/>
          <w:bCs/>
          <w:sz w:val="24"/>
          <w:szCs w:val="24"/>
        </w:rPr>
        <w:t xml:space="preserve">NARRATIVE TEMPLATE: </w:t>
      </w:r>
      <w:r w:rsidR="007023F2">
        <w:rPr>
          <w:b/>
          <w:bCs/>
          <w:sz w:val="24"/>
          <w:szCs w:val="24"/>
        </w:rPr>
        <w:t>Provide a narrative for each budget category below</w:t>
      </w:r>
      <w:r w:rsidR="00B90AC5">
        <w:rPr>
          <w:b/>
          <w:bCs/>
          <w:sz w:val="24"/>
          <w:szCs w:val="24"/>
        </w:rPr>
        <w:t xml:space="preserve">. Where possible, delineate between activities that will occur during the first two years of </w:t>
      </w:r>
      <w:r w:rsidR="00B738A4">
        <w:rPr>
          <w:b/>
          <w:bCs/>
          <w:sz w:val="24"/>
          <w:szCs w:val="24"/>
        </w:rPr>
        <w:t xml:space="preserve">individualized community support and the third year of transition, reporting, and evaluation </w:t>
      </w:r>
      <w:r w:rsidR="000B5466">
        <w:rPr>
          <w:b/>
          <w:bCs/>
          <w:sz w:val="24"/>
          <w:szCs w:val="24"/>
        </w:rPr>
        <w:t>activities</w:t>
      </w:r>
      <w:proofErr w:type="gramStart"/>
      <w:r w:rsidR="000B5466">
        <w:rPr>
          <w:b/>
          <w:bCs/>
          <w:sz w:val="24"/>
          <w:szCs w:val="24"/>
        </w:rPr>
        <w:t>.</w:t>
      </w:r>
      <w:r w:rsidR="007023F2">
        <w:rPr>
          <w:b/>
          <w:bCs/>
          <w:sz w:val="24"/>
          <w:szCs w:val="24"/>
        </w:rPr>
        <w:t xml:space="preserve"> </w:t>
      </w:r>
      <w:r w:rsidR="00183695" w:rsidRPr="00346F31">
        <w:rPr>
          <w:b/>
          <w:bCs/>
          <w:sz w:val="24"/>
          <w:szCs w:val="24"/>
        </w:rPr>
        <w:t>.</w:t>
      </w:r>
      <w:proofErr w:type="gramEnd"/>
      <w:r w:rsidR="00183695" w:rsidRPr="00346F31">
        <w:rPr>
          <w:b/>
          <w:bCs/>
          <w:sz w:val="24"/>
          <w:szCs w:val="24"/>
        </w:rPr>
        <w:t xml:space="preserve">  </w:t>
      </w:r>
    </w:p>
    <w:p w14:paraId="5C6B3F8B" w14:textId="77777777" w:rsidR="00425610" w:rsidRDefault="00425610"/>
    <w:p w14:paraId="154FE958" w14:textId="399C785E" w:rsidR="00093108" w:rsidRDefault="00093108">
      <w:r w:rsidRPr="00093108">
        <w:rPr>
          <w:b/>
          <w:bCs/>
        </w:rPr>
        <w:t>PERSONNEL:</w:t>
      </w:r>
      <w:r>
        <w:t xml:space="preserve"> </w:t>
      </w:r>
    </w:p>
    <w:p w14:paraId="59B0DA4B" w14:textId="77777777" w:rsidR="00815A69" w:rsidRDefault="00815A69"/>
    <w:p w14:paraId="14EDD02B" w14:textId="0A95D4CF" w:rsidR="00815A69" w:rsidRDefault="00815A69">
      <w:r w:rsidRPr="008857D2">
        <w:rPr>
          <w:b/>
          <w:bCs/>
        </w:rPr>
        <w:t>FRINGE</w:t>
      </w:r>
      <w:r>
        <w:t>:</w:t>
      </w:r>
    </w:p>
    <w:p w14:paraId="257B091A" w14:textId="77777777" w:rsidR="001B2FEE" w:rsidRDefault="001B2FEE"/>
    <w:p w14:paraId="5CF1AF79" w14:textId="3A31A607" w:rsidR="00093108" w:rsidRDefault="00815A69" w:rsidP="00093108">
      <w:pPr>
        <w:rPr>
          <w:b/>
          <w:bCs/>
        </w:rPr>
      </w:pPr>
      <w:r>
        <w:rPr>
          <w:b/>
          <w:bCs/>
        </w:rPr>
        <w:t>SUB</w:t>
      </w:r>
      <w:r w:rsidR="00093108" w:rsidRPr="00093108">
        <w:rPr>
          <w:b/>
          <w:bCs/>
        </w:rPr>
        <w:t>CONTRACT</w:t>
      </w:r>
      <w:r>
        <w:rPr>
          <w:b/>
          <w:bCs/>
        </w:rPr>
        <w:t>S</w:t>
      </w:r>
      <w:r w:rsidR="00526691">
        <w:rPr>
          <w:b/>
          <w:bCs/>
        </w:rPr>
        <w:t>/</w:t>
      </w:r>
      <w:r>
        <w:rPr>
          <w:b/>
          <w:bCs/>
        </w:rPr>
        <w:t>SUBGRANTS</w:t>
      </w:r>
      <w:r w:rsidR="00FB0453">
        <w:rPr>
          <w:b/>
          <w:bCs/>
        </w:rPr>
        <w:t xml:space="preserve"> (TO PARTNERS/OTHERS)</w:t>
      </w:r>
      <w:r w:rsidR="00093108" w:rsidRPr="00093108">
        <w:rPr>
          <w:b/>
          <w:bCs/>
        </w:rPr>
        <w:t>:</w:t>
      </w:r>
    </w:p>
    <w:p w14:paraId="40C631E0" w14:textId="77777777" w:rsidR="00815A69" w:rsidRDefault="00815A69" w:rsidP="00093108">
      <w:pPr>
        <w:rPr>
          <w:b/>
          <w:bCs/>
        </w:rPr>
      </w:pPr>
    </w:p>
    <w:p w14:paraId="312F03CF" w14:textId="6FC2CBAE" w:rsidR="00815A69" w:rsidRDefault="00815A69" w:rsidP="00093108">
      <w:pPr>
        <w:rPr>
          <w:b/>
          <w:bCs/>
        </w:rPr>
      </w:pPr>
      <w:r>
        <w:rPr>
          <w:b/>
          <w:bCs/>
        </w:rPr>
        <w:t>SUBGRANTS (TO COMMUNITIES):</w:t>
      </w:r>
    </w:p>
    <w:p w14:paraId="7EDA87EA" w14:textId="77777777" w:rsidR="00EA276A" w:rsidRDefault="00EA276A" w:rsidP="00093108">
      <w:pPr>
        <w:rPr>
          <w:b/>
          <w:bCs/>
        </w:rPr>
      </w:pPr>
    </w:p>
    <w:p w14:paraId="28AB84A1" w14:textId="7D2E813C" w:rsidR="00EA276A" w:rsidRDefault="00EA276A" w:rsidP="00093108">
      <w:pPr>
        <w:rPr>
          <w:b/>
          <w:bCs/>
        </w:rPr>
      </w:pPr>
      <w:r>
        <w:rPr>
          <w:b/>
          <w:bCs/>
        </w:rPr>
        <w:t xml:space="preserve">TARGETED SUPPORT ACTIVITIES: </w:t>
      </w:r>
    </w:p>
    <w:p w14:paraId="659B43A4" w14:textId="77777777" w:rsidR="001B2FEE" w:rsidRPr="00093108" w:rsidRDefault="001B2FEE" w:rsidP="00093108">
      <w:pPr>
        <w:rPr>
          <w:b/>
          <w:bCs/>
        </w:rPr>
      </w:pPr>
    </w:p>
    <w:p w14:paraId="096D0539" w14:textId="53B86F06" w:rsidR="00093108" w:rsidRDefault="00093108">
      <w:pPr>
        <w:rPr>
          <w:b/>
          <w:bCs/>
        </w:rPr>
      </w:pPr>
      <w:r w:rsidRPr="00093108">
        <w:rPr>
          <w:b/>
          <w:bCs/>
        </w:rPr>
        <w:t>TRAVEL</w:t>
      </w:r>
      <w:r w:rsidR="00DF5E7D">
        <w:rPr>
          <w:b/>
          <w:bCs/>
        </w:rPr>
        <w:t xml:space="preserve"> (</w:t>
      </w:r>
      <w:r w:rsidR="00EA276A">
        <w:rPr>
          <w:b/>
          <w:bCs/>
        </w:rPr>
        <w:t>CAPACITY BUILDERS</w:t>
      </w:r>
      <w:r w:rsidR="00DF5E7D">
        <w:rPr>
          <w:b/>
          <w:bCs/>
        </w:rPr>
        <w:t>)</w:t>
      </w:r>
      <w:r w:rsidRPr="00093108">
        <w:rPr>
          <w:b/>
          <w:bCs/>
        </w:rPr>
        <w:t>:</w:t>
      </w:r>
    </w:p>
    <w:p w14:paraId="7A1441A8" w14:textId="7627C6EF" w:rsidR="006C2A58" w:rsidRDefault="006C2A58">
      <w:pPr>
        <w:rPr>
          <w:b/>
          <w:bCs/>
        </w:rPr>
      </w:pPr>
    </w:p>
    <w:p w14:paraId="61DB7989" w14:textId="627589B1" w:rsidR="00DF5E7D" w:rsidRDefault="00DF5E7D">
      <w:pPr>
        <w:rPr>
          <w:b/>
          <w:bCs/>
        </w:rPr>
      </w:pPr>
      <w:r>
        <w:rPr>
          <w:b/>
          <w:bCs/>
        </w:rPr>
        <w:t>TRAVEL (COMMUNITIES)</w:t>
      </w:r>
    </w:p>
    <w:p w14:paraId="2F55FACC" w14:textId="77777777" w:rsidR="001B2FEE" w:rsidRPr="00093108" w:rsidRDefault="001B2FEE">
      <w:pPr>
        <w:rPr>
          <w:b/>
          <w:bCs/>
        </w:rPr>
      </w:pPr>
    </w:p>
    <w:p w14:paraId="7EEA85FC" w14:textId="529E663A" w:rsidR="00093108" w:rsidRDefault="00EF46B2">
      <w:pPr>
        <w:rPr>
          <w:b/>
          <w:bCs/>
        </w:rPr>
      </w:pPr>
      <w:r>
        <w:rPr>
          <w:b/>
          <w:bCs/>
        </w:rPr>
        <w:t xml:space="preserve">MATERIALS AND </w:t>
      </w:r>
      <w:r w:rsidR="00093108" w:rsidRPr="00093108">
        <w:rPr>
          <w:b/>
          <w:bCs/>
        </w:rPr>
        <w:t>SUPPLIES:</w:t>
      </w:r>
    </w:p>
    <w:p w14:paraId="1684BE19" w14:textId="77777777" w:rsidR="001B2FEE" w:rsidRPr="00093108" w:rsidRDefault="001B2FEE">
      <w:pPr>
        <w:rPr>
          <w:b/>
          <w:bCs/>
        </w:rPr>
      </w:pPr>
    </w:p>
    <w:p w14:paraId="0A923EEB" w14:textId="3724DA7E" w:rsidR="00093108" w:rsidRDefault="00093108">
      <w:pPr>
        <w:rPr>
          <w:b/>
          <w:bCs/>
        </w:rPr>
      </w:pPr>
      <w:r w:rsidRPr="00093108">
        <w:rPr>
          <w:b/>
          <w:bCs/>
        </w:rPr>
        <w:t>INDIRECT C</w:t>
      </w:r>
      <w:r w:rsidR="001B2FEE">
        <w:rPr>
          <w:b/>
          <w:bCs/>
        </w:rPr>
        <w:t>OST</w:t>
      </w:r>
      <w:r w:rsidRPr="00093108">
        <w:rPr>
          <w:b/>
          <w:bCs/>
        </w:rPr>
        <w:t>S:</w:t>
      </w:r>
    </w:p>
    <w:p w14:paraId="5338E418" w14:textId="77777777" w:rsidR="001B2FEE" w:rsidRPr="00093108" w:rsidRDefault="001B2FEE">
      <w:pPr>
        <w:rPr>
          <w:b/>
          <w:bCs/>
        </w:rPr>
      </w:pPr>
    </w:p>
    <w:p w14:paraId="5122416C" w14:textId="545BF00A" w:rsidR="00093108" w:rsidRPr="00093108" w:rsidRDefault="00093108">
      <w:pPr>
        <w:rPr>
          <w:b/>
          <w:bCs/>
        </w:rPr>
      </w:pPr>
      <w:r w:rsidRPr="00093108">
        <w:rPr>
          <w:b/>
          <w:bCs/>
        </w:rPr>
        <w:t>LEVERAG</w:t>
      </w:r>
      <w:r w:rsidR="00C1516F">
        <w:rPr>
          <w:b/>
          <w:bCs/>
        </w:rPr>
        <w:t>ING OF</w:t>
      </w:r>
      <w:r w:rsidRPr="00093108">
        <w:rPr>
          <w:b/>
          <w:bCs/>
        </w:rPr>
        <w:t xml:space="preserve"> OTHER RESOURCES:</w:t>
      </w:r>
      <w:r>
        <w:rPr>
          <w:b/>
          <w:bCs/>
        </w:rPr>
        <w:t xml:space="preserve"> </w:t>
      </w:r>
    </w:p>
    <w:sectPr w:rsidR="00093108" w:rsidRPr="00093108" w:rsidSect="00110DCC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1BF2B" w14:textId="77777777" w:rsidR="00FF72C5" w:rsidRDefault="00FF72C5" w:rsidP="006C2A58">
      <w:pPr>
        <w:spacing w:after="0" w:line="240" w:lineRule="auto"/>
      </w:pPr>
      <w:r>
        <w:separator/>
      </w:r>
    </w:p>
  </w:endnote>
  <w:endnote w:type="continuationSeparator" w:id="0">
    <w:p w14:paraId="65F1392E" w14:textId="77777777" w:rsidR="00FF72C5" w:rsidRDefault="00FF72C5" w:rsidP="006C2A58">
      <w:pPr>
        <w:spacing w:after="0" w:line="240" w:lineRule="auto"/>
      </w:pPr>
      <w:r>
        <w:continuationSeparator/>
      </w:r>
    </w:p>
  </w:endnote>
  <w:endnote w:type="continuationNotice" w:id="1">
    <w:p w14:paraId="0B74F1F0" w14:textId="77777777" w:rsidR="00636C1E" w:rsidRDefault="00636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C296A" w14:textId="77777777" w:rsidR="00FF72C5" w:rsidRDefault="00FF72C5" w:rsidP="006C2A58">
      <w:pPr>
        <w:spacing w:after="0" w:line="240" w:lineRule="auto"/>
      </w:pPr>
      <w:r>
        <w:separator/>
      </w:r>
    </w:p>
  </w:footnote>
  <w:footnote w:type="continuationSeparator" w:id="0">
    <w:p w14:paraId="41D3096B" w14:textId="77777777" w:rsidR="00FF72C5" w:rsidRDefault="00FF72C5" w:rsidP="006C2A58">
      <w:pPr>
        <w:spacing w:after="0" w:line="240" w:lineRule="auto"/>
      </w:pPr>
      <w:r>
        <w:continuationSeparator/>
      </w:r>
    </w:p>
  </w:footnote>
  <w:footnote w:type="continuationNotice" w:id="1">
    <w:p w14:paraId="707B0EF1" w14:textId="77777777" w:rsidR="00636C1E" w:rsidRDefault="00636C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9E9E3" w14:textId="4CB36703" w:rsidR="006C2A58" w:rsidRDefault="006C2A5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1983CA4A" wp14:editId="6FF437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1888674A" w14:textId="64038187" w:rsidR="006C2A58" w:rsidRDefault="00D374C4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FY 2023 </w:t>
                              </w:r>
                              <w:r w:rsidRPr="006C2A5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hriving Communities Program</w:t>
                              </w:r>
                              <w:r w:rsidRPr="006C2A58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Budget TEMPLATE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83CA4A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1888674A" w14:textId="64038187" w:rsidR="006C2A58" w:rsidRDefault="00D374C4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FY 2023 </w:t>
                        </w:r>
                        <w:r w:rsidRPr="006C2A58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hriving Communities Program</w:t>
                        </w:r>
                        <w:r w:rsidRPr="006C2A58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Budget TEMPLATE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108"/>
    <w:rsid w:val="00010874"/>
    <w:rsid w:val="00020D3F"/>
    <w:rsid w:val="000306CB"/>
    <w:rsid w:val="0004616A"/>
    <w:rsid w:val="00081E68"/>
    <w:rsid w:val="0008390C"/>
    <w:rsid w:val="00085557"/>
    <w:rsid w:val="00093108"/>
    <w:rsid w:val="000B04CF"/>
    <w:rsid w:val="000B5466"/>
    <w:rsid w:val="000C7708"/>
    <w:rsid w:val="000D57AE"/>
    <w:rsid w:val="000E5F76"/>
    <w:rsid w:val="000F13E6"/>
    <w:rsid w:val="0010370C"/>
    <w:rsid w:val="00110DCC"/>
    <w:rsid w:val="00130906"/>
    <w:rsid w:val="00143018"/>
    <w:rsid w:val="001628BA"/>
    <w:rsid w:val="0016515B"/>
    <w:rsid w:val="00165665"/>
    <w:rsid w:val="00166B2F"/>
    <w:rsid w:val="00176F2E"/>
    <w:rsid w:val="00183695"/>
    <w:rsid w:val="001842BA"/>
    <w:rsid w:val="001965CE"/>
    <w:rsid w:val="001A2271"/>
    <w:rsid w:val="001B2FEE"/>
    <w:rsid w:val="001B4916"/>
    <w:rsid w:val="001C3174"/>
    <w:rsid w:val="001E1311"/>
    <w:rsid w:val="001F45A0"/>
    <w:rsid w:val="0020249A"/>
    <w:rsid w:val="00203EAE"/>
    <w:rsid w:val="0022285B"/>
    <w:rsid w:val="00231707"/>
    <w:rsid w:val="00246CD1"/>
    <w:rsid w:val="00247A89"/>
    <w:rsid w:val="0026045C"/>
    <w:rsid w:val="0029643C"/>
    <w:rsid w:val="002A10CD"/>
    <w:rsid w:val="002A39C1"/>
    <w:rsid w:val="002C6803"/>
    <w:rsid w:val="002F68BE"/>
    <w:rsid w:val="0031440E"/>
    <w:rsid w:val="0033166B"/>
    <w:rsid w:val="00337608"/>
    <w:rsid w:val="00346F31"/>
    <w:rsid w:val="00357FEE"/>
    <w:rsid w:val="00375F4A"/>
    <w:rsid w:val="003B3BC0"/>
    <w:rsid w:val="003B4AFE"/>
    <w:rsid w:val="003C47BC"/>
    <w:rsid w:val="003D126C"/>
    <w:rsid w:val="003E0862"/>
    <w:rsid w:val="00425610"/>
    <w:rsid w:val="004676BA"/>
    <w:rsid w:val="00484D0F"/>
    <w:rsid w:val="00486B92"/>
    <w:rsid w:val="00487F08"/>
    <w:rsid w:val="004B1C5F"/>
    <w:rsid w:val="004E2AAD"/>
    <w:rsid w:val="004F0A11"/>
    <w:rsid w:val="00526691"/>
    <w:rsid w:val="0054217A"/>
    <w:rsid w:val="0054223B"/>
    <w:rsid w:val="00551FAD"/>
    <w:rsid w:val="005D4938"/>
    <w:rsid w:val="005E64C2"/>
    <w:rsid w:val="00636C1E"/>
    <w:rsid w:val="00672992"/>
    <w:rsid w:val="006A063B"/>
    <w:rsid w:val="006A78E3"/>
    <w:rsid w:val="006B075C"/>
    <w:rsid w:val="006C2A58"/>
    <w:rsid w:val="006D15FD"/>
    <w:rsid w:val="007001B8"/>
    <w:rsid w:val="007023F2"/>
    <w:rsid w:val="00732EBC"/>
    <w:rsid w:val="00737A32"/>
    <w:rsid w:val="007623E1"/>
    <w:rsid w:val="00773C59"/>
    <w:rsid w:val="007873E8"/>
    <w:rsid w:val="007D5B96"/>
    <w:rsid w:val="007E6F14"/>
    <w:rsid w:val="007F1805"/>
    <w:rsid w:val="00815A69"/>
    <w:rsid w:val="00827B5E"/>
    <w:rsid w:val="00862F5D"/>
    <w:rsid w:val="008857D2"/>
    <w:rsid w:val="00897EEB"/>
    <w:rsid w:val="008D7730"/>
    <w:rsid w:val="008F36D1"/>
    <w:rsid w:val="008F4ACD"/>
    <w:rsid w:val="008F7F89"/>
    <w:rsid w:val="00910DAD"/>
    <w:rsid w:val="00917E1D"/>
    <w:rsid w:val="00931711"/>
    <w:rsid w:val="00962BFF"/>
    <w:rsid w:val="00965018"/>
    <w:rsid w:val="009A670E"/>
    <w:rsid w:val="009C64E7"/>
    <w:rsid w:val="009D562F"/>
    <w:rsid w:val="009E7CF3"/>
    <w:rsid w:val="009F7943"/>
    <w:rsid w:val="00A353E2"/>
    <w:rsid w:val="00A44D54"/>
    <w:rsid w:val="00A67BA4"/>
    <w:rsid w:val="00AA5E50"/>
    <w:rsid w:val="00AB0B01"/>
    <w:rsid w:val="00AB42EC"/>
    <w:rsid w:val="00AC138B"/>
    <w:rsid w:val="00AE6E0F"/>
    <w:rsid w:val="00AF4D11"/>
    <w:rsid w:val="00B127A2"/>
    <w:rsid w:val="00B1766C"/>
    <w:rsid w:val="00B24B5A"/>
    <w:rsid w:val="00B35CF7"/>
    <w:rsid w:val="00B40A3F"/>
    <w:rsid w:val="00B527B2"/>
    <w:rsid w:val="00B531DC"/>
    <w:rsid w:val="00B61976"/>
    <w:rsid w:val="00B738A4"/>
    <w:rsid w:val="00B85530"/>
    <w:rsid w:val="00B90AC5"/>
    <w:rsid w:val="00B94F39"/>
    <w:rsid w:val="00BA0216"/>
    <w:rsid w:val="00BB1B3D"/>
    <w:rsid w:val="00C1516F"/>
    <w:rsid w:val="00C15AE0"/>
    <w:rsid w:val="00C27B10"/>
    <w:rsid w:val="00C35549"/>
    <w:rsid w:val="00C56404"/>
    <w:rsid w:val="00C66116"/>
    <w:rsid w:val="00C7630D"/>
    <w:rsid w:val="00C772F9"/>
    <w:rsid w:val="00CB7A75"/>
    <w:rsid w:val="00CD7494"/>
    <w:rsid w:val="00CD7BD9"/>
    <w:rsid w:val="00CF5EE3"/>
    <w:rsid w:val="00D1742E"/>
    <w:rsid w:val="00D23DF3"/>
    <w:rsid w:val="00D3408D"/>
    <w:rsid w:val="00D374C4"/>
    <w:rsid w:val="00D56645"/>
    <w:rsid w:val="00DC1D9E"/>
    <w:rsid w:val="00DD3825"/>
    <w:rsid w:val="00DF5E7D"/>
    <w:rsid w:val="00E42F78"/>
    <w:rsid w:val="00E4644D"/>
    <w:rsid w:val="00E95D11"/>
    <w:rsid w:val="00E97AC7"/>
    <w:rsid w:val="00EA2432"/>
    <w:rsid w:val="00EA276A"/>
    <w:rsid w:val="00EA67FE"/>
    <w:rsid w:val="00EB2310"/>
    <w:rsid w:val="00EC45C0"/>
    <w:rsid w:val="00ED26B5"/>
    <w:rsid w:val="00EE4727"/>
    <w:rsid w:val="00EF46B2"/>
    <w:rsid w:val="00F02A64"/>
    <w:rsid w:val="00F1010A"/>
    <w:rsid w:val="00F17506"/>
    <w:rsid w:val="00FB0453"/>
    <w:rsid w:val="00FD224C"/>
    <w:rsid w:val="00FD70C2"/>
    <w:rsid w:val="00FF72C5"/>
    <w:rsid w:val="0830F696"/>
    <w:rsid w:val="0A2C8377"/>
    <w:rsid w:val="1B5682FD"/>
    <w:rsid w:val="2017EF00"/>
    <w:rsid w:val="2D7E997E"/>
    <w:rsid w:val="359AE735"/>
    <w:rsid w:val="38030BB2"/>
    <w:rsid w:val="43015EE2"/>
    <w:rsid w:val="4CF3F6AD"/>
    <w:rsid w:val="52395C41"/>
    <w:rsid w:val="55325F08"/>
    <w:rsid w:val="59B8B9E0"/>
    <w:rsid w:val="65D9F894"/>
    <w:rsid w:val="6679B4D0"/>
    <w:rsid w:val="683A952D"/>
    <w:rsid w:val="6B7139D0"/>
    <w:rsid w:val="7147E255"/>
    <w:rsid w:val="76A4A9DE"/>
    <w:rsid w:val="7BF984DC"/>
    <w:rsid w:val="7C4E54EC"/>
    <w:rsid w:val="7EED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8C7F5"/>
  <w15:chartTrackingRefBased/>
  <w15:docId w15:val="{E8C7837B-73B3-44DC-BAE0-8ABFC877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A58"/>
  </w:style>
  <w:style w:type="paragraph" w:styleId="Footer">
    <w:name w:val="footer"/>
    <w:basedOn w:val="Normal"/>
    <w:link w:val="FooterChar"/>
    <w:uiPriority w:val="99"/>
    <w:unhideWhenUsed/>
    <w:rsid w:val="006C2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A58"/>
  </w:style>
  <w:style w:type="paragraph" w:styleId="Revision">
    <w:name w:val="Revision"/>
    <w:hidden/>
    <w:uiPriority w:val="99"/>
    <w:semiHidden/>
    <w:rsid w:val="00AB0B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10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0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0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A3C429B34C34C91A4175AA9139A92" ma:contentTypeVersion="11" ma:contentTypeDescription="Create a new document." ma:contentTypeScope="" ma:versionID="b5d5523cf85322ccdbe8298698947dd1">
  <xsd:schema xmlns:xsd="http://www.w3.org/2001/XMLSchema" xmlns:xs="http://www.w3.org/2001/XMLSchema" xmlns:p="http://schemas.microsoft.com/office/2006/metadata/properties" xmlns:ns2="829dc7f3-8e1c-4cb9-b89a-0806ffbac4d5" xmlns:ns3="633de177-4120-4f78-b1e1-a647964a70b3" targetNamespace="http://schemas.microsoft.com/office/2006/metadata/properties" ma:root="true" ma:fieldsID="cfca0f3d5b07d7e27219b4d434f150f6" ns2:_="" ns3:_="">
    <xsd:import namespace="829dc7f3-8e1c-4cb9-b89a-0806ffbac4d5"/>
    <xsd:import namespace="633de177-4120-4f78-b1e1-a647964a7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c7f3-8e1c-4cb9-b89a-0806ffbac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e177-4120-4f78-b1e1-a647964a7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d9707d-bab0-45a7-bafc-1d7d0fc559b6}" ma:internalName="TaxCatchAll" ma:showField="CatchAllData" ma:web="633de177-4120-4f78-b1e1-a647964a7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9dc7f3-8e1c-4cb9-b89a-0806ffbac4d5">
      <Terms xmlns="http://schemas.microsoft.com/office/infopath/2007/PartnerControls"/>
    </lcf76f155ced4ddcb4097134ff3c332f>
    <TaxCatchAll xmlns="633de177-4120-4f78-b1e1-a647964a70b3" xsi:nil="true"/>
    <SharedWithUsers xmlns="633de177-4120-4f78-b1e1-a647964a70b3">
      <UserInfo>
        <DisplayName>Frederick, Tevin (OST)</DisplayName>
        <AccountId>51</AccountId>
        <AccountType/>
      </UserInfo>
      <UserInfo>
        <DisplayName>Zimmerman, Mariia (OST)</DisplayName>
        <AccountId>19</AccountId>
        <AccountType/>
      </UserInfo>
      <UserInfo>
        <DisplayName>Guerra, Monica (OST)</DisplayName>
        <AccountId>65</AccountId>
        <AccountType/>
      </UserInfo>
      <UserInfo>
        <DisplayName>Wandrei, Kevin (Volpe)</DisplayName>
        <AccountId>13</AccountId>
        <AccountType/>
      </UserInfo>
      <UserInfo>
        <DisplayName>Higgins, Kimberly (Volpe)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4CBBA18-9257-4529-B1CA-4FB82BA6B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dc7f3-8e1c-4cb9-b89a-0806ffbac4d5"/>
    <ds:schemaRef ds:uri="633de177-4120-4f78-b1e1-a647964a7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6BC218-4432-4B83-A034-D1B885F60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8FE12F-6955-4F4B-91A0-9EA2BECBBED0}">
  <ds:schemaRefs>
    <ds:schemaRef ds:uri="http://purl.org/dc/elements/1.1/"/>
    <ds:schemaRef ds:uri="http://schemas.microsoft.com/office/2006/metadata/properties"/>
    <ds:schemaRef ds:uri="829dc7f3-8e1c-4cb9-b89a-0806ffbac4d5"/>
    <ds:schemaRef ds:uri="http://purl.org/dc/terms/"/>
    <ds:schemaRef ds:uri="http://schemas.openxmlformats.org/package/2006/metadata/core-properties"/>
    <ds:schemaRef ds:uri="633de177-4120-4f78-b1e1-a647964a70b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425</Words>
  <Characters>2424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2023 Thriving Communities Program Budget TEMPLATE</dc:title>
  <dc:subject/>
  <dc:creator>Leone, Lisa (OST)</dc:creator>
  <cp:keywords/>
  <dc:description/>
  <cp:lastModifiedBy>Higgins, Kimberly (Volpe)</cp:lastModifiedBy>
  <cp:revision>106</cp:revision>
  <dcterms:created xsi:type="dcterms:W3CDTF">2023-08-14T19:21:00Z</dcterms:created>
  <dcterms:modified xsi:type="dcterms:W3CDTF">2023-08-15T20:49:00Z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0x010100309A3C429B34C34C91A4175AA9139A92</vt:lpwstr>
  </property>
  <property fmtid="{D5CDD505-2E9C-101B-9397-08002B2CF9AE}" pid="3" name="MediaServiceImageTags">
    <vt:lpwstr/>
  </property>
</Properties>
</file>