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35209E5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14D">
        <w:t>3</w:t>
      </w:r>
      <w:r w:rsidR="003A5FD4">
        <w:t xml:space="preserve"> </w:t>
      </w:r>
      <w:r w:rsidR="00AF5CC9">
        <w:t xml:space="preserve">RAISE </w:t>
      </w:r>
      <w:r w:rsidR="00757A29" w:rsidRPr="00FB50C3">
        <w:t>PROGRAM</w:t>
      </w:r>
    </w:p>
    <w:p w14:paraId="33B58327" w14:textId="0429C3B0"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A57167">
        <w:rPr>
          <w:color w:val="FF0000"/>
        </w:rPr>
        <w:t>recipient</w:t>
      </w:r>
      <w:r w:rsidR="005F69A5" w:rsidRPr="00FB50C3">
        <w:rPr>
          <w:color w:val="FF0000"/>
        </w:rPr>
        <w:t>]</w:t>
      </w:r>
      <w:r w:rsidRPr="00FB50C3">
        <w:t xml:space="preserve"> (the “</w:t>
      </w:r>
      <w:r w:rsidR="004C15DE">
        <w:rPr>
          <w:b/>
        </w:rPr>
        <w:t>Recipient</w:t>
      </w:r>
      <w:r w:rsidRPr="00FB50C3">
        <w:t>”).</w:t>
      </w:r>
    </w:p>
    <w:p w14:paraId="55753D3E" w14:textId="6BD5286E"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A57167">
        <w:rPr>
          <w:color w:val="FF0000"/>
        </w:rPr>
        <w:t xml:space="preserve"> from USDOT award letter</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793E4EDB"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F514D">
        <w:t xml:space="preserve">3 </w:t>
      </w:r>
      <w:r w:rsidR="00AF5CC9">
        <w:t>RAISE Program:</w:t>
      </w:r>
      <w:r w:rsidR="0068001C">
        <w:t xml:space="preserve"> </w:t>
      </w:r>
      <w:r w:rsidR="00B534B5">
        <w:t>FTA</w:t>
      </w:r>
      <w:r w:rsidR="00AF5CC9">
        <w:t xml:space="preserve"> Projects</w:t>
      </w:r>
      <w:r w:rsidR="00B92A91">
        <w:t xml:space="preserve">,” dated </w:t>
      </w:r>
      <w:r w:rsidR="00AF514D">
        <w:t>June</w:t>
      </w:r>
      <w:r w:rsidR="000A3928">
        <w:t xml:space="preserve"> </w:t>
      </w:r>
      <w:r w:rsidR="00A57167">
        <w:t>23</w:t>
      </w:r>
      <w:r w:rsidR="00B92A91">
        <w:t>, 20</w:t>
      </w:r>
      <w:r w:rsidR="000F0481">
        <w:t>2</w:t>
      </w:r>
      <w:r w:rsidR="00AF514D">
        <w:t>3</w:t>
      </w:r>
      <w:r w:rsidR="00B92A91">
        <w:t>, which is available at</w:t>
      </w:r>
      <w:r w:rsidR="0068001C">
        <w:t xml:space="preserve"> </w:t>
      </w:r>
      <w:hyperlink r:id="rId11" w:history="1">
        <w:r w:rsidR="008A5417" w:rsidRPr="008A541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4716AF1B" w14:textId="25412DDE" w:rsidR="009A33B1" w:rsidRDefault="009A33B1" w:rsidP="00201232">
      <w:pPr>
        <w:pStyle w:val="ScheduleSectionText"/>
      </w:pPr>
      <w:r>
        <w:t>Application Title:</w:t>
      </w:r>
      <w:r>
        <w:tab/>
      </w:r>
      <w:r w:rsidRPr="00201232">
        <w:rPr>
          <w:color w:val="FF0000"/>
        </w:rPr>
        <w:t xml:space="preserve">[insert </w:t>
      </w:r>
      <w:r w:rsidR="00A57167">
        <w:rPr>
          <w:color w:val="FF0000"/>
        </w:rPr>
        <w:t xml:space="preserve">the </w:t>
      </w:r>
      <w:r w:rsidRPr="00201232">
        <w:rPr>
          <w:color w:val="FF0000"/>
        </w:rPr>
        <w:t xml:space="preserve">full </w:t>
      </w:r>
      <w:r w:rsidR="00A57167">
        <w:rPr>
          <w:color w:val="FF0000"/>
        </w:rPr>
        <w:t xml:space="preserve">descriptive </w:t>
      </w:r>
      <w:r w:rsidRPr="00201232">
        <w:rPr>
          <w:color w:val="FF0000"/>
        </w:rPr>
        <w:t xml:space="preserve">title </w:t>
      </w:r>
      <w:r w:rsidR="00A57167">
        <w:rPr>
          <w:color w:val="FF0000"/>
        </w:rPr>
        <w:t>from box 15 of the SF-424</w:t>
      </w:r>
      <w:r w:rsidRPr="00201232">
        <w:rPr>
          <w:color w:val="FF0000"/>
        </w:rPr>
        <w:t>]</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4C7B0DCC"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A57167">
        <w:rPr>
          <w:color w:val="FF0000"/>
        </w:rPr>
        <w:t>the USDOT award letter</w:t>
      </w:r>
      <w:r>
        <w:rPr>
          <w:color w:val="FF0000"/>
        </w:rPr>
        <w:t>.</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77777777"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r w:rsidR="00B534B5" w14:paraId="350F9910" w14:textId="77777777" w:rsidTr="005070AB">
        <w:trPr>
          <w:cantSplit/>
          <w:jc w:val="center"/>
        </w:trPr>
        <w:tc>
          <w:tcPr>
            <w:tcW w:w="5760" w:type="dxa"/>
          </w:tcPr>
          <w:p w14:paraId="22B00409" w14:textId="1064070A" w:rsidR="00B534B5" w:rsidRDefault="00B534B5" w:rsidP="005070AB">
            <w:pPr>
              <w:pStyle w:val="MilestoneTableEntry"/>
            </w:pPr>
            <w:r>
              <w:t>Planned Revenue Service Date</w:t>
            </w:r>
            <w:r w:rsidR="00C865AD">
              <w:t>:</w:t>
            </w:r>
          </w:p>
        </w:tc>
        <w:tc>
          <w:tcPr>
            <w:tcW w:w="2160" w:type="dxa"/>
          </w:tcPr>
          <w:p w14:paraId="5597A130" w14:textId="1AFAD949" w:rsidR="00B534B5" w:rsidRPr="00C62B19" w:rsidRDefault="00B534B5"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6" w:name="_Hlk116828837"/>
      <w:r w:rsidRPr="002B552E">
        <w:t xml:space="preserve">Cost Classification </w:t>
      </w:r>
      <w:r w:rsidR="00745922">
        <w:t>Table</w:t>
      </w:r>
      <w:commentRangeStart w:id="17"/>
      <w:r w:rsidR="00745922" w:rsidRPr="00B272AC">
        <w:t>.</w:t>
      </w:r>
      <w:commentRangeEnd w:id="17"/>
      <w:r w:rsidR="00745922">
        <w:rPr>
          <w:rStyle w:val="CommentReference"/>
          <w:b w:val="0"/>
        </w:rPr>
        <w:commentReference w:id="17"/>
      </w:r>
    </w:p>
    <w:p w14:paraId="175AD35A" w14:textId="61D235DE" w:rsidR="00745922" w:rsidRDefault="00745922" w:rsidP="00745922">
      <w:pPr>
        <w:pStyle w:val="ScheduleSectionText"/>
      </w:pPr>
      <w:r>
        <w:t>Reserved.</w:t>
      </w:r>
    </w:p>
    <w:bookmarkEnd w:id="16"/>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3853804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8"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8"/>
      <w:r w:rsidR="00CE3B85">
        <w:t>.</w:t>
      </w:r>
    </w:p>
    <w:p w14:paraId="210D4A76" w14:textId="77777777" w:rsidR="00EC5943" w:rsidRPr="00223C96" w:rsidRDefault="00A8038B" w:rsidP="00A8038B">
      <w:pPr>
        <w:pStyle w:val="ScheduleSectionOptionInstructions"/>
      </w:pPr>
      <w:r>
        <w:t>[To the extent possible, this attachment 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61A09FB0" w:rsidR="000A2E94" w:rsidRDefault="000A2E94" w:rsidP="000A2E94">
      <w:r w:rsidRPr="0088165B">
        <w:rPr>
          <w:color w:val="FF0000"/>
        </w:rPr>
        <w:t>[</w:t>
      </w:r>
      <w:r>
        <w:rPr>
          <w:color w:val="FF0000"/>
        </w:rPr>
        <w:t xml:space="preserve"> If the activities described in schedule B </w:t>
      </w:r>
      <w:r w:rsidR="001C3D76">
        <w:rPr>
          <w:color w:val="FF0000"/>
        </w:rPr>
        <w:t xml:space="preserve">materially </w:t>
      </w:r>
      <w:r>
        <w:rPr>
          <w:color w:val="FF0000"/>
        </w:rPr>
        <w:t>differ from the scope presented in the application, describe the changes here and explain the need for those changes. If there are no changes, state that there are no changes</w:t>
      </w:r>
      <w:proofErr w:type="gramStart"/>
      <w:r>
        <w:rPr>
          <w:color w:val="FF0000"/>
        </w:rPr>
        <w:t xml:space="preserve">. </w:t>
      </w:r>
      <w:r w:rsidRPr="0088165B">
        <w:rPr>
          <w:color w:val="FF0000"/>
        </w:rPr>
        <w:t>]</w:t>
      </w:r>
      <w:proofErr w:type="gramEnd"/>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5ED47067" w:rsidR="000A2E94" w:rsidRDefault="000A2E94" w:rsidP="000A2E94">
      <w:r w:rsidRPr="0088165B">
        <w:rPr>
          <w:color w:val="FF0000"/>
        </w:rPr>
        <w:t>[</w:t>
      </w:r>
      <w:r>
        <w:rPr>
          <w:color w:val="FF0000"/>
        </w:rPr>
        <w:t xml:space="preserve"> If any dates listed in sections 2–3 of schedule C differ from the estimated schedule presented in the application</w:t>
      </w:r>
      <w:r w:rsidR="001C3D76">
        <w:rPr>
          <w:color w:val="FF0000"/>
        </w:rPr>
        <w:t xml:space="preserve"> by more than six months</w:t>
      </w:r>
      <w:r>
        <w:rPr>
          <w:color w:val="FF0000"/>
        </w:rPr>
        <w:t>, describe the changes here and provide an explanation of the cause of those changes. If there are no changes, state that there are no changes and remove the milestone table below</w:t>
      </w:r>
      <w:proofErr w:type="gramStart"/>
      <w:r>
        <w:rPr>
          <w:color w:val="FF0000"/>
        </w:rPr>
        <w:t xml:space="preserve">. </w:t>
      </w:r>
      <w:r w:rsidRPr="0088165B">
        <w:rPr>
          <w:color w:val="FF0000"/>
        </w:rPr>
        <w:t>]</w:t>
      </w:r>
      <w:proofErr w:type="gramEnd"/>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9"/>
            <w:commentRangeEnd w:id="19"/>
            <w:r>
              <w:rPr>
                <w:rStyle w:val="CommentReference"/>
              </w:rPr>
              <w:commentReference w:id="19"/>
            </w:r>
          </w:p>
        </w:tc>
        <w:tc>
          <w:tcPr>
            <w:tcW w:w="2158" w:type="dxa"/>
          </w:tcPr>
          <w:p w14:paraId="2925B1B7" w14:textId="77777777" w:rsidR="000A2E94" w:rsidRDefault="000A2E94" w:rsidP="00232647">
            <w:r>
              <w:t>Application</w:t>
            </w:r>
          </w:p>
        </w:tc>
        <w:tc>
          <w:tcPr>
            <w:tcW w:w="2158" w:type="dxa"/>
          </w:tcPr>
          <w:p w14:paraId="261F8562" w14:textId="77777777" w:rsidR="000A2E94" w:rsidRDefault="000A2E94" w:rsidP="00232647">
            <w:r>
              <w:t>Agreement</w:t>
            </w:r>
          </w:p>
        </w:tc>
      </w:tr>
      <w:tr w:rsidR="000A2E94" w14:paraId="323CB310" w14:textId="77777777" w:rsidTr="00232647">
        <w:tc>
          <w:tcPr>
            <w:tcW w:w="5034" w:type="dxa"/>
          </w:tcPr>
          <w:p w14:paraId="7967D297" w14:textId="77777777" w:rsidR="000A2E94" w:rsidRDefault="000A2E94" w:rsidP="00232647">
            <w:pPr>
              <w:pStyle w:val="MilestoneTableEntry"/>
            </w:pPr>
            <w:r>
              <w:t>P</w:t>
            </w:r>
            <w:r w:rsidRPr="00957022">
              <w:t xml:space="preserve">lanned Construction Substantial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r w:rsidR="000A2E94" w14:paraId="133D5730" w14:textId="77777777" w:rsidTr="008E193C">
        <w:tc>
          <w:tcPr>
            <w:tcW w:w="5034" w:type="dxa"/>
            <w:vAlign w:val="top"/>
          </w:tcPr>
          <w:p w14:paraId="3A1DCAF3" w14:textId="3F9BE53F" w:rsidR="000A2E94" w:rsidRDefault="000A2E94" w:rsidP="000A2E94">
            <w:pPr>
              <w:pStyle w:val="MilestoneTableEntry"/>
            </w:pPr>
            <w:r>
              <w:t>Planned Revenue Service Date:</w:t>
            </w:r>
          </w:p>
        </w:tc>
        <w:tc>
          <w:tcPr>
            <w:tcW w:w="2158" w:type="dxa"/>
            <w:vAlign w:val="top"/>
          </w:tcPr>
          <w:p w14:paraId="23FF926A" w14:textId="5AB6714F" w:rsidR="000A2E94" w:rsidRPr="000925BD" w:rsidRDefault="000A2E94" w:rsidP="000A2E94">
            <w:pPr>
              <w:pStyle w:val="MilestoneTableEntry"/>
              <w:rPr>
                <w:color w:val="FF0000"/>
              </w:rPr>
            </w:pPr>
            <w:r w:rsidRPr="00C62B19">
              <w:rPr>
                <w:color w:val="FF0000"/>
              </w:rPr>
              <w:t>[insert date]</w:t>
            </w:r>
          </w:p>
        </w:tc>
        <w:tc>
          <w:tcPr>
            <w:tcW w:w="2158" w:type="dxa"/>
            <w:vAlign w:val="top"/>
          </w:tcPr>
          <w:p w14:paraId="1EA0A096" w14:textId="46023742" w:rsidR="000A2E94" w:rsidRPr="000925BD" w:rsidRDefault="000A2E94" w:rsidP="000A2E94">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proofErr w:type="gramStart"/>
      <w:r>
        <w:rPr>
          <w:color w:val="FF0000"/>
        </w:rPr>
        <w:t xml:space="preserve">. </w:t>
      </w:r>
      <w:r w:rsidRPr="0088165B">
        <w:rPr>
          <w:color w:val="FF0000"/>
        </w:rPr>
        <w:t>]</w:t>
      </w:r>
      <w:proofErr w:type="gramEnd"/>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w:t>
      </w:r>
      <w:proofErr w:type="gramStart"/>
      <w:r w:rsidRPr="009335CA">
        <w:rPr>
          <w:color w:val="FF0000"/>
        </w:rPr>
        <w:t>. ]</w:t>
      </w:r>
      <w:proofErr w:type="gramEnd"/>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77777777" w:rsidR="0068001C" w:rsidRDefault="000D332C" w:rsidP="0068001C">
      <w:pPr>
        <w:pStyle w:val="ScheduleSectionHeading"/>
      </w:pPr>
      <w:commentRangeStart w:id="22"/>
      <w:commentRangeEnd w:id="22"/>
      <w:r>
        <w:rPr>
          <w:rStyle w:val="CommentReference"/>
          <w:b w:val="0"/>
        </w:rPr>
        <w:commentReference w:id="22"/>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r>
        <w:t>HDC or APP Designation:</w:t>
      </w:r>
      <w:r>
        <w:tab/>
      </w:r>
      <w:r w:rsidRPr="00511396">
        <w:rPr>
          <w:color w:val="FF0000"/>
        </w:rPr>
        <w:t>[Yes] [No]</w:t>
      </w:r>
    </w:p>
    <w:p w14:paraId="50D2F849" w14:textId="77777777" w:rsidR="00643AFB" w:rsidRDefault="000D332C" w:rsidP="00643AFB">
      <w:pPr>
        <w:pStyle w:val="ScheduleSectionHeading"/>
      </w:pPr>
      <w:commentRangeStart w:id="23"/>
      <w:commentRangeEnd w:id="23"/>
      <w:r>
        <w:rPr>
          <w:rStyle w:val="CommentReference"/>
          <w:b w:val="0"/>
        </w:rPr>
        <w:commentReference w:id="23"/>
      </w:r>
      <w:r w:rsidR="00643AFB">
        <w:t>Funding Act.</w:t>
      </w:r>
    </w:p>
    <w:p w14:paraId="57A577FF" w14:textId="65618867" w:rsidR="00714196" w:rsidRDefault="00643AFB" w:rsidP="00714196">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006A6F">
        <w:rPr>
          <w:color w:val="FF0000"/>
        </w:rPr>
        <w:t>3</w:t>
      </w:r>
      <w:r w:rsidRPr="00511396">
        <w:rPr>
          <w:color w:val="FF0000"/>
        </w:rPr>
        <w:t>]</w:t>
      </w:r>
    </w:p>
    <w:p w14:paraId="01F953A6" w14:textId="77777777" w:rsidR="00714196" w:rsidRDefault="00714196" w:rsidP="00714196">
      <w:pPr>
        <w:pStyle w:val="ScheduleSectionHeading"/>
      </w:pPr>
      <w:commentRangeStart w:id="24"/>
      <w:commentRangeEnd w:id="24"/>
      <w:r>
        <w:rPr>
          <w:rStyle w:val="CommentReference"/>
          <w:b w:val="0"/>
        </w:rPr>
        <w:commentReference w:id="24"/>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5"/>
      <w:commentRangeStart w:id="26"/>
      <w:r w:rsidRPr="00AC625B">
        <w:rPr>
          <w:b/>
        </w:rPr>
        <w:t>Date</w:t>
      </w:r>
      <w:commentRangeEnd w:id="25"/>
      <w:commentRangeEnd w:id="26"/>
      <w:r>
        <w:rPr>
          <w:rStyle w:val="CommentReference"/>
        </w:rPr>
        <w:commentReference w:id="25"/>
      </w:r>
      <w:r>
        <w:rPr>
          <w:rStyle w:val="CommentReference"/>
        </w:rPr>
        <w:commentReference w:id="26"/>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9"/>
      <w:r w:rsidRPr="00AC625B">
        <w:rPr>
          <w:b/>
        </w:rPr>
        <w:t>Date</w:t>
      </w:r>
      <w:commentRangeEnd w:id="29"/>
      <w:r>
        <w:rPr>
          <w:rStyle w:val="CommentReference"/>
        </w:rPr>
        <w:commentReference w:id="29"/>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pPr>
      <w:r w:rsidRPr="00300CE4">
        <w:t xml:space="preserve">Table 1: Performance Measure </w:t>
      </w:r>
      <w:commentRangeStart w:id="30"/>
      <w:commentRangeStart w:id="31"/>
      <w:r w:rsidRPr="00300CE4">
        <w:t>Table</w:t>
      </w:r>
      <w:commentRangeEnd w:id="30"/>
      <w:commentRangeEnd w:id="31"/>
      <w:r>
        <w:rPr>
          <w:rStyle w:val="CommentReference"/>
          <w:rFonts w:ascii="Times New Roman" w:eastAsia="Times New Roman" w:hAnsi="Times New Roman" w:cs="Times New Roman"/>
          <w:b w:val="0"/>
          <w:bCs w:val="0"/>
        </w:rPr>
        <w:commentReference w:id="30"/>
      </w:r>
      <w:r>
        <w:rPr>
          <w:rStyle w:val="CommentReference"/>
        </w:rPr>
        <w:commentReference w:id="31"/>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1192AF5C"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2C63358E"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50A6139"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2A40C357"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337B9A77" w14:textId="77777777" w:rsidTr="005070AB">
        <w:trPr>
          <w:trHeight w:val="20"/>
          <w:jc w:val="center"/>
        </w:trPr>
        <w:tc>
          <w:tcPr>
            <w:tcW w:w="2880" w:type="dxa"/>
            <w:hideMark/>
          </w:tcPr>
          <w:p w14:paraId="435E0C3A"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0A07E291"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6B8B91D1"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465E128"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2932C798" w14:textId="77777777" w:rsidTr="005070AB">
        <w:trPr>
          <w:trHeight w:val="20"/>
          <w:jc w:val="center"/>
        </w:trPr>
        <w:tc>
          <w:tcPr>
            <w:tcW w:w="2880" w:type="dxa"/>
          </w:tcPr>
          <w:p w14:paraId="27E1A664"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16B91808"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55DBAC3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676BAF59"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40E4DF35" w14:textId="77777777" w:rsidR="00714196" w:rsidRDefault="0068001C" w:rsidP="00714196">
      <w:pPr>
        <w:pStyle w:val="ScheduleTitle"/>
      </w:pPr>
      <w:r>
        <w:lastRenderedPageBreak/>
        <w:t xml:space="preserve">Schedule </w:t>
      </w:r>
      <w:r w:rsidR="005B3649">
        <w:t>H</w:t>
      </w:r>
      <w:r w:rsidR="007901A4">
        <w:br/>
      </w:r>
      <w:bookmarkStart w:id="32" w:name="_Hlk94015613"/>
      <w:r w:rsidR="00714196">
        <w:t xml:space="preserve">Climate Change and Environmental Justice </w:t>
      </w:r>
      <w:commentRangeStart w:id="33"/>
      <w:r w:rsidR="00714196">
        <w:t>Impacts</w:t>
      </w:r>
      <w:bookmarkEnd w:id="32"/>
      <w:commentRangeEnd w:id="33"/>
      <w:r w:rsidR="00714196">
        <w:rPr>
          <w:rStyle w:val="CommentReference"/>
          <w:rFonts w:ascii="Times New Roman" w:hAnsi="Times New Roman"/>
          <w:b w:val="0"/>
          <w:caps w:val="0"/>
        </w:rPr>
        <w:commentReference w:id="33"/>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34"/>
      <w:r>
        <w:t>:</w:t>
      </w:r>
      <w:commentRangeEnd w:id="34"/>
      <w:r>
        <w:rPr>
          <w:rStyle w:val="CommentReference"/>
        </w:rPr>
        <w:commentReference w:id="3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00232647">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00232647">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00232647">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00232647">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00232647">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00232647">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6C623010"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1C3D76">
              <w:t>USDOT</w:t>
            </w:r>
            <w:r>
              <w:t xml:space="preserve">. </w:t>
            </w:r>
            <w:r>
              <w:rPr>
                <w:i/>
                <w:iCs/>
              </w:rPr>
              <w:t>(Identify the at-risk infrastructure and describe how the project improves its resiliency in the supporting narrative below.)</w:t>
            </w:r>
          </w:p>
        </w:tc>
      </w:tr>
      <w:tr w:rsidR="00714196" w14:paraId="336ADD8B" w14:textId="77777777" w:rsidTr="00232647">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00232647">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00232647">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00232647">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00232647">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00232647">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77777777" w:rsidR="00714196" w:rsidRDefault="00714196" w:rsidP="00232647">
            <w:pPr>
              <w:pStyle w:val="ClimateTableEntry"/>
            </w:pPr>
            <w:r>
              <w:t xml:space="preserve">The Recipient has taken other actions to consider climate change and environmental justice impacts of the Project. </w:t>
            </w:r>
            <w:r>
              <w:rPr>
                <w:i/>
                <w:iCs/>
              </w:rPr>
              <w:t>(Describe those actions in the supporting narrative below.)</w:t>
            </w:r>
          </w:p>
        </w:tc>
      </w:tr>
      <w:tr w:rsidR="00714196" w14:paraId="585AEECB" w14:textId="77777777" w:rsidTr="00232647">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77777777" w:rsidR="00714196" w:rsidRPr="00B42FE4" w:rsidRDefault="00714196" w:rsidP="00232647">
            <w:pPr>
              <w:pStyle w:val="ClimateTableEntry"/>
              <w:rPr>
                <w:i/>
                <w:iCs/>
              </w:rPr>
            </w:pPr>
            <w:r>
              <w:t xml:space="preserve">The Recipient 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5"/>
            <w:r>
              <w:rPr>
                <w:i/>
                <w:iCs/>
              </w:rPr>
              <w:t>.</w:t>
            </w:r>
            <w:commentRangeEnd w:id="35"/>
            <w:r>
              <w:rPr>
                <w:rStyle w:val="CommentReference"/>
              </w:rPr>
              <w:commentReference w:id="35"/>
            </w:r>
            <w:r>
              <w:rPr>
                <w:i/>
                <w:iCs/>
              </w:rPr>
              <w:t xml:space="preserve">) </w:t>
            </w:r>
            <w:r>
              <w:t xml:space="preserve"> </w:t>
            </w:r>
          </w:p>
        </w:tc>
      </w:tr>
      <w:tr w:rsidR="00714196" w14:paraId="1B015726" w14:textId="77777777" w:rsidTr="00232647">
        <w:trPr>
          <w:cantSplit/>
        </w:trPr>
        <w:tc>
          <w:tcPr>
            <w:tcW w:w="376" w:type="dxa"/>
            <w:vAlign w:val="center"/>
          </w:tcPr>
          <w:p w14:paraId="3387B930" w14:textId="77777777" w:rsidR="00714196" w:rsidRDefault="00714196" w:rsidP="00232647">
            <w:pPr>
              <w:pStyle w:val="AgreementSectionText"/>
              <w:ind w:left="0"/>
            </w:pPr>
            <w:commentRangeStart w:id="36"/>
            <w:commentRangeEnd w:id="36"/>
            <w:r>
              <w:rPr>
                <w:rStyle w:val="CommentReference"/>
              </w:rPr>
              <w:commentReference w:id="36"/>
            </w:r>
          </w:p>
        </w:tc>
        <w:tc>
          <w:tcPr>
            <w:tcW w:w="7904" w:type="dxa"/>
            <w:vAlign w:val="center"/>
          </w:tcPr>
          <w:p w14:paraId="78D83F4D" w14:textId="77777777" w:rsidR="00714196" w:rsidRDefault="00714196" w:rsidP="00232647">
            <w:pPr>
              <w:pStyle w:val="ClimateTableEntry"/>
            </w:pPr>
            <w:r>
              <w:t>The Recipient 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7"/>
      <w:r w:rsidRPr="0068001C">
        <w:rPr>
          <w:color w:val="FF0000"/>
        </w:rPr>
        <w:t>[</w:t>
      </w:r>
      <w:commentRangeEnd w:id="37"/>
      <w:r w:rsidRPr="0068001C">
        <w:rPr>
          <w:rStyle w:val="CommentReference"/>
          <w:color w:val="FF0000"/>
        </w:rPr>
        <w:commentReference w:id="37"/>
      </w:r>
      <w:r w:rsidRPr="0068001C">
        <w:rPr>
          <w:color w:val="FF0000"/>
        </w:rPr>
        <w:t xml:space="preserve"> Insert supporting text, as described in the table above</w:t>
      </w:r>
      <w:proofErr w:type="gramStart"/>
      <w:r w:rsidRPr="0068001C">
        <w:rPr>
          <w:color w:val="FF0000"/>
        </w:rPr>
        <w:t>. ]</w:t>
      </w:r>
      <w:proofErr w:type="gramEnd"/>
    </w:p>
    <w:p w14:paraId="3738D3C2" w14:textId="77777777" w:rsidR="00714196" w:rsidRDefault="00714196" w:rsidP="00714196">
      <w:pPr>
        <w:pStyle w:val="ScheduleTitle"/>
      </w:pPr>
      <w:r>
        <w:lastRenderedPageBreak/>
        <w:t>Schedule I</w:t>
      </w:r>
      <w:r>
        <w:br/>
        <w:t xml:space="preserve">Racial Equity and Barriers to </w:t>
      </w:r>
      <w:commentRangeStart w:id="38"/>
      <w:r>
        <w:t>Opportunity</w:t>
      </w:r>
      <w:commentRangeEnd w:id="38"/>
      <w:r>
        <w:rPr>
          <w:rStyle w:val="CommentReference"/>
          <w:rFonts w:ascii="Times New Roman" w:hAnsi="Times New Roman"/>
          <w:b w:val="0"/>
          <w:caps w:val="0"/>
        </w:rPr>
        <w:commentReference w:id="38"/>
      </w:r>
    </w:p>
    <w:p w14:paraId="1A208528" w14:textId="77777777" w:rsidR="00714196" w:rsidRDefault="00714196" w:rsidP="00714196">
      <w:pPr>
        <w:pStyle w:val="ScheduleSectionHeading"/>
      </w:pPr>
      <w:r>
        <w:t xml:space="preserve">Efforts to Improve </w:t>
      </w:r>
      <w:r w:rsidRPr="00327BE3">
        <w:t xml:space="preserve">Racial Equity </w:t>
      </w:r>
      <w:r>
        <w:t>a</w:t>
      </w:r>
      <w:r w:rsidRPr="00327BE3">
        <w:t xml:space="preserve">nd </w:t>
      </w:r>
      <w:r>
        <w:t xml:space="preserve">Reduce </w:t>
      </w:r>
      <w:r w:rsidRPr="00327BE3">
        <w:t xml:space="preserve">Barriers </w:t>
      </w:r>
      <w:r>
        <w:t>t</w:t>
      </w:r>
      <w:r w:rsidRPr="00327BE3">
        <w:t>o Opportunity</w:t>
      </w:r>
      <w:r>
        <w:t>.</w:t>
      </w:r>
    </w:p>
    <w:p w14:paraId="6CA1148A" w14:textId="77777777" w:rsidR="00714196" w:rsidRDefault="00714196" w:rsidP="00714196">
      <w:pPr>
        <w:pStyle w:val="ScheduleSectionText"/>
      </w:pPr>
      <w:r>
        <w:t>The Recipient states that rows marked with “X” in the following table are accurate</w:t>
      </w:r>
      <w:commentRangeStart w:id="39"/>
      <w:r>
        <w:t>:</w:t>
      </w:r>
      <w:commentRangeEnd w:id="39"/>
      <w:r>
        <w:rPr>
          <w:rStyle w:val="CommentReference"/>
        </w:rPr>
        <w:commentReference w:id="3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00232647">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00232647">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00232647">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00232647">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00232647">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00232647">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77777777"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00232647">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00232647">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00232647">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00232647">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77777777" w:rsidR="00714196" w:rsidRDefault="00714196" w:rsidP="00232647">
            <w:pPr>
              <w:pStyle w:val="ClimateTableEntry"/>
            </w:pPr>
            <w:r>
              <w:t xml:space="preserve">The Recipient has taken other actions related to the Project to improve racial equity and reduce barriers to opportunity. </w:t>
            </w:r>
            <w:r>
              <w:rPr>
                <w:i/>
                <w:iCs/>
              </w:rPr>
              <w:t>(Describe those actions in the supporting narrative below.)</w:t>
            </w:r>
          </w:p>
        </w:tc>
      </w:tr>
      <w:tr w:rsidR="00714196" w14:paraId="7407B0E1" w14:textId="77777777" w:rsidTr="00232647">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77777777" w:rsidR="00714196" w:rsidRDefault="00714196" w:rsidP="00232647">
            <w:pPr>
              <w:pStyle w:val="ClimateTableEntry"/>
            </w:pPr>
            <w:r>
              <w:t xml:space="preserve">The Recipient 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40"/>
            <w:r>
              <w:rPr>
                <w:i/>
                <w:iCs/>
              </w:rPr>
              <w:t>.</w:t>
            </w:r>
            <w:commentRangeEnd w:id="40"/>
            <w:r>
              <w:rPr>
                <w:rStyle w:val="CommentReference"/>
              </w:rPr>
              <w:commentReference w:id="40"/>
            </w:r>
            <w:r>
              <w:rPr>
                <w:i/>
                <w:iCs/>
              </w:rPr>
              <w:t xml:space="preserve">) </w:t>
            </w:r>
            <w:r>
              <w:t xml:space="preserve"> </w:t>
            </w:r>
          </w:p>
        </w:tc>
      </w:tr>
      <w:tr w:rsidR="00714196" w14:paraId="3C50211C" w14:textId="77777777" w:rsidTr="00232647">
        <w:trPr>
          <w:cantSplit/>
        </w:trPr>
        <w:tc>
          <w:tcPr>
            <w:tcW w:w="376" w:type="dxa"/>
            <w:vAlign w:val="center"/>
          </w:tcPr>
          <w:p w14:paraId="66198D1D" w14:textId="77777777" w:rsidR="00714196" w:rsidRDefault="00714196" w:rsidP="00232647">
            <w:pPr>
              <w:pStyle w:val="AgreementSectionText"/>
              <w:ind w:left="0"/>
            </w:pPr>
            <w:commentRangeStart w:id="41"/>
            <w:commentRangeEnd w:id="41"/>
            <w:r>
              <w:rPr>
                <w:rStyle w:val="CommentReference"/>
              </w:rPr>
              <w:commentReference w:id="41"/>
            </w:r>
          </w:p>
        </w:tc>
        <w:tc>
          <w:tcPr>
            <w:tcW w:w="7904" w:type="dxa"/>
            <w:vAlign w:val="center"/>
          </w:tcPr>
          <w:p w14:paraId="7D478898" w14:textId="77777777" w:rsidR="00714196" w:rsidRDefault="00714196" w:rsidP="00232647">
            <w:pPr>
              <w:pStyle w:val="ClimateTableEntry"/>
            </w:pPr>
            <w:r>
              <w:t>The Recipient 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w:t>
      </w:r>
      <w:proofErr w:type="gramStart"/>
      <w:r w:rsidRPr="0068001C">
        <w:rPr>
          <w:color w:val="FF0000"/>
        </w:rPr>
        <w:t>. ]</w:t>
      </w:r>
      <w:proofErr w:type="gramEnd"/>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43"/>
      <w:r>
        <w:t>Work</w:t>
      </w:r>
      <w:commentRangeEnd w:id="43"/>
      <w:r>
        <w:rPr>
          <w:rStyle w:val="CommentReference"/>
          <w:rFonts w:ascii="Times New Roman" w:hAnsi="Times New Roman"/>
          <w:b w:val="0"/>
          <w:caps w:val="0"/>
        </w:rPr>
        <w:commentReference w:id="43"/>
      </w:r>
    </w:p>
    <w:p w14:paraId="398740DC" w14:textId="77777777" w:rsidR="00714196" w:rsidRDefault="00714196" w:rsidP="00714196">
      <w:pPr>
        <w:pStyle w:val="ScheduleSectionHeading"/>
      </w:pPr>
      <w:r>
        <w:t>Efforts to Support Good-Paying Jobs and Strong Labor Standards</w:t>
      </w:r>
    </w:p>
    <w:p w14:paraId="0901A6D5" w14:textId="77777777" w:rsidR="0080060C" w:rsidRDefault="0080060C" w:rsidP="0080060C">
      <w:pPr>
        <w:pStyle w:val="ScheduleSectionText"/>
      </w:pPr>
      <w:r>
        <w:t>The Recipient states that rows marked with “X” in the following table are accurate</w:t>
      </w:r>
      <w:commentRangeStart w:id="44"/>
      <w:r>
        <w:t>:</w:t>
      </w:r>
      <w:commentRangeEnd w:id="44"/>
      <w:r>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0060C" w14:paraId="7579E13D" w14:textId="77777777" w:rsidTr="00FB411C">
        <w:trPr>
          <w:cantSplit/>
        </w:trPr>
        <w:tc>
          <w:tcPr>
            <w:tcW w:w="376" w:type="dxa"/>
            <w:vAlign w:val="center"/>
          </w:tcPr>
          <w:p w14:paraId="1F69E24B" w14:textId="77777777" w:rsidR="0080060C" w:rsidRDefault="0080060C" w:rsidP="00FB411C">
            <w:pPr>
              <w:pStyle w:val="AgreementSectionText"/>
              <w:ind w:left="0"/>
            </w:pPr>
          </w:p>
        </w:tc>
        <w:tc>
          <w:tcPr>
            <w:tcW w:w="7904" w:type="dxa"/>
            <w:vAlign w:val="center"/>
          </w:tcPr>
          <w:p w14:paraId="3C1B1177" w14:textId="77777777" w:rsidR="0080060C" w:rsidRDefault="0080060C"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80060C" w14:paraId="73E715CF" w14:textId="77777777" w:rsidTr="00FB411C">
        <w:trPr>
          <w:cantSplit/>
        </w:trPr>
        <w:tc>
          <w:tcPr>
            <w:tcW w:w="376" w:type="dxa"/>
            <w:vAlign w:val="center"/>
          </w:tcPr>
          <w:p w14:paraId="5FC2C749" w14:textId="77777777" w:rsidR="0080060C" w:rsidRDefault="0080060C" w:rsidP="00FB411C">
            <w:pPr>
              <w:pStyle w:val="AgreementSectionText"/>
              <w:ind w:left="0"/>
            </w:pPr>
          </w:p>
        </w:tc>
        <w:tc>
          <w:tcPr>
            <w:tcW w:w="7904" w:type="dxa"/>
            <w:vAlign w:val="center"/>
          </w:tcPr>
          <w:p w14:paraId="4E642B89" w14:textId="77777777" w:rsidR="0080060C" w:rsidRDefault="0080060C"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80060C" w14:paraId="081DA7E8" w14:textId="77777777" w:rsidTr="00FB411C">
        <w:trPr>
          <w:cantSplit/>
        </w:trPr>
        <w:tc>
          <w:tcPr>
            <w:tcW w:w="376" w:type="dxa"/>
            <w:vAlign w:val="center"/>
          </w:tcPr>
          <w:p w14:paraId="033CADC0" w14:textId="77777777" w:rsidR="0080060C" w:rsidRDefault="0080060C" w:rsidP="00FB411C">
            <w:pPr>
              <w:pStyle w:val="AgreementSectionText"/>
              <w:ind w:left="0"/>
            </w:pPr>
          </w:p>
        </w:tc>
        <w:tc>
          <w:tcPr>
            <w:tcW w:w="7904" w:type="dxa"/>
            <w:vAlign w:val="center"/>
          </w:tcPr>
          <w:p w14:paraId="49E2427E" w14:textId="77777777" w:rsidR="0080060C" w:rsidRPr="00B640E9" w:rsidRDefault="0080060C"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80060C" w14:paraId="23EF1712" w14:textId="77777777" w:rsidTr="00FB411C">
        <w:trPr>
          <w:cantSplit/>
        </w:trPr>
        <w:tc>
          <w:tcPr>
            <w:tcW w:w="376" w:type="dxa"/>
            <w:vAlign w:val="center"/>
          </w:tcPr>
          <w:p w14:paraId="74BF2860" w14:textId="77777777" w:rsidR="0080060C" w:rsidRDefault="0080060C" w:rsidP="00FB411C">
            <w:pPr>
              <w:pStyle w:val="AgreementSectionText"/>
              <w:ind w:left="0"/>
            </w:pPr>
          </w:p>
        </w:tc>
        <w:tc>
          <w:tcPr>
            <w:tcW w:w="7904" w:type="dxa"/>
            <w:vAlign w:val="center"/>
          </w:tcPr>
          <w:p w14:paraId="647CD472" w14:textId="77777777" w:rsidR="0080060C" w:rsidRPr="00B640E9" w:rsidRDefault="0080060C"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80060C" w14:paraId="6AF384CA" w14:textId="77777777" w:rsidTr="00FB411C">
        <w:trPr>
          <w:cantSplit/>
        </w:trPr>
        <w:tc>
          <w:tcPr>
            <w:tcW w:w="376" w:type="dxa"/>
            <w:vAlign w:val="center"/>
          </w:tcPr>
          <w:p w14:paraId="2654D878" w14:textId="77777777" w:rsidR="0080060C" w:rsidRDefault="0080060C" w:rsidP="00FB411C">
            <w:pPr>
              <w:pStyle w:val="AgreementSectionText"/>
              <w:ind w:left="0"/>
            </w:pPr>
          </w:p>
        </w:tc>
        <w:tc>
          <w:tcPr>
            <w:tcW w:w="7904" w:type="dxa"/>
            <w:vAlign w:val="center"/>
          </w:tcPr>
          <w:p w14:paraId="20013FA6" w14:textId="77777777" w:rsidR="0080060C" w:rsidRPr="00B640E9" w:rsidRDefault="0080060C"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80060C" w14:paraId="5154434B" w14:textId="77777777" w:rsidTr="00FB411C">
        <w:trPr>
          <w:cantSplit/>
        </w:trPr>
        <w:tc>
          <w:tcPr>
            <w:tcW w:w="376" w:type="dxa"/>
            <w:vAlign w:val="center"/>
          </w:tcPr>
          <w:p w14:paraId="1B3A3026" w14:textId="77777777" w:rsidR="0080060C" w:rsidRDefault="0080060C" w:rsidP="00FB411C">
            <w:pPr>
              <w:pStyle w:val="AgreementSectionText"/>
              <w:ind w:left="0"/>
            </w:pPr>
          </w:p>
        </w:tc>
        <w:tc>
          <w:tcPr>
            <w:tcW w:w="7904" w:type="dxa"/>
            <w:vAlign w:val="center"/>
          </w:tcPr>
          <w:p w14:paraId="2255D189" w14:textId="77777777" w:rsidR="0080060C" w:rsidRPr="00B640E9" w:rsidRDefault="0080060C"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80060C" w14:paraId="72CD5607" w14:textId="77777777" w:rsidTr="00FB411C">
        <w:trPr>
          <w:cantSplit/>
        </w:trPr>
        <w:tc>
          <w:tcPr>
            <w:tcW w:w="376" w:type="dxa"/>
            <w:vAlign w:val="center"/>
          </w:tcPr>
          <w:p w14:paraId="28A67BE0" w14:textId="77777777" w:rsidR="0080060C" w:rsidRPr="00DB6BD9" w:rsidRDefault="0080060C" w:rsidP="00FB411C">
            <w:pPr>
              <w:pStyle w:val="AgreementSectionText"/>
              <w:ind w:left="0"/>
              <w:rPr>
                <w:rStyle w:val="CommentReference"/>
                <w:sz w:val="24"/>
                <w:szCs w:val="24"/>
              </w:rPr>
            </w:pPr>
          </w:p>
        </w:tc>
        <w:tc>
          <w:tcPr>
            <w:tcW w:w="7904" w:type="dxa"/>
            <w:vAlign w:val="center"/>
          </w:tcPr>
          <w:p w14:paraId="15EAFBDF" w14:textId="77777777" w:rsidR="0080060C" w:rsidRPr="008D6990" w:rsidRDefault="0080060C"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0060C" w14:paraId="2ABC1E29" w14:textId="77777777" w:rsidTr="00FB411C">
        <w:trPr>
          <w:cantSplit/>
        </w:trPr>
        <w:tc>
          <w:tcPr>
            <w:tcW w:w="376" w:type="dxa"/>
            <w:vAlign w:val="center"/>
          </w:tcPr>
          <w:p w14:paraId="4A6A3757" w14:textId="77777777" w:rsidR="0080060C" w:rsidRPr="00DB6BD9" w:rsidRDefault="0080060C" w:rsidP="00FB411C">
            <w:pPr>
              <w:pStyle w:val="AgreementSectionText"/>
              <w:ind w:left="0"/>
              <w:rPr>
                <w:rStyle w:val="CommentReference"/>
                <w:sz w:val="24"/>
                <w:szCs w:val="24"/>
              </w:rPr>
            </w:pPr>
          </w:p>
        </w:tc>
        <w:tc>
          <w:tcPr>
            <w:tcW w:w="7904" w:type="dxa"/>
            <w:vAlign w:val="center"/>
          </w:tcPr>
          <w:p w14:paraId="67D9D48D" w14:textId="77777777" w:rsidR="0080060C" w:rsidRPr="008D6990" w:rsidRDefault="0080060C"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5"/>
            <w:r w:rsidRPr="008D6990">
              <w:rPr>
                <w:i/>
                <w:iCs/>
                <w:szCs w:val="24"/>
              </w:rPr>
              <w:t>.</w:t>
            </w:r>
            <w:commentRangeEnd w:id="45"/>
            <w:r w:rsidRPr="008D6990">
              <w:rPr>
                <w:rStyle w:val="CommentReference"/>
                <w:sz w:val="24"/>
                <w:szCs w:val="24"/>
              </w:rPr>
              <w:commentReference w:id="45"/>
            </w:r>
            <w:r w:rsidRPr="008D6990">
              <w:rPr>
                <w:i/>
                <w:iCs/>
                <w:szCs w:val="24"/>
              </w:rPr>
              <w:t xml:space="preserve">) </w:t>
            </w:r>
            <w:r w:rsidRPr="008D6990">
              <w:rPr>
                <w:szCs w:val="24"/>
              </w:rPr>
              <w:t xml:space="preserve"> </w:t>
            </w:r>
          </w:p>
        </w:tc>
      </w:tr>
      <w:tr w:rsidR="0080060C" w14:paraId="5E03BB0F" w14:textId="77777777" w:rsidTr="00FB411C">
        <w:trPr>
          <w:cantSplit/>
        </w:trPr>
        <w:tc>
          <w:tcPr>
            <w:tcW w:w="376" w:type="dxa"/>
            <w:vAlign w:val="center"/>
          </w:tcPr>
          <w:p w14:paraId="0DDDC4D1" w14:textId="77777777" w:rsidR="0080060C" w:rsidRDefault="0080060C" w:rsidP="00FB411C">
            <w:pPr>
              <w:pStyle w:val="AgreementSectionText"/>
              <w:ind w:left="0"/>
            </w:pPr>
            <w:commentRangeStart w:id="46"/>
            <w:commentRangeEnd w:id="46"/>
            <w:r>
              <w:rPr>
                <w:rStyle w:val="CommentReference"/>
              </w:rPr>
              <w:commentReference w:id="46"/>
            </w:r>
          </w:p>
        </w:tc>
        <w:tc>
          <w:tcPr>
            <w:tcW w:w="7904" w:type="dxa"/>
            <w:vAlign w:val="center"/>
          </w:tcPr>
          <w:p w14:paraId="0FD44911" w14:textId="77777777" w:rsidR="0080060C" w:rsidRPr="008D6990" w:rsidRDefault="0080060C"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502C1CE5" w:rsidR="00714196" w:rsidRDefault="0080060C" w:rsidP="00714196">
      <w:pPr>
        <w:pStyle w:val="ScheduleSectionHeading"/>
      </w:pPr>
      <w:r>
        <w:t>Supporting Narrative.</w:t>
      </w:r>
    </w:p>
    <w:p w14:paraId="1706FF38" w14:textId="77777777" w:rsidR="00714196" w:rsidRDefault="00714196" w:rsidP="00714196">
      <w:pPr>
        <w:pStyle w:val="ScheduleSectionText"/>
        <w:rPr>
          <w:color w:val="FF0000"/>
        </w:rPr>
      </w:pPr>
      <w:commentRangeStart w:id="47"/>
      <w:r w:rsidRPr="0068001C">
        <w:rPr>
          <w:color w:val="FF0000"/>
        </w:rPr>
        <w:t>[</w:t>
      </w:r>
      <w:commentRangeEnd w:id="47"/>
      <w:r w:rsidRPr="0068001C">
        <w:rPr>
          <w:rStyle w:val="CommentReference"/>
          <w:color w:val="FF0000"/>
        </w:rPr>
        <w:commentReference w:id="47"/>
      </w:r>
      <w:r w:rsidRPr="0068001C">
        <w:rPr>
          <w:color w:val="FF0000"/>
        </w:rPr>
        <w:t xml:space="preserve"> Insert supporting text, as described in the table above</w:t>
      </w:r>
      <w:proofErr w:type="gramStart"/>
      <w:r w:rsidRPr="0068001C">
        <w:rPr>
          <w:color w:val="FF0000"/>
        </w:rPr>
        <w:t>. ]</w:t>
      </w:r>
      <w:proofErr w:type="gramEnd"/>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8"/>
      <w:commentRangeEnd w:id="48"/>
      <w:r>
        <w:rPr>
          <w:rStyle w:val="CommentReference"/>
          <w:b w:val="0"/>
        </w:rPr>
        <w:commentReference w:id="48"/>
      </w:r>
      <w:r>
        <w:t>Recipient Type Designation.</w:t>
      </w:r>
    </w:p>
    <w:p w14:paraId="22C14201" w14:textId="77777777" w:rsidR="001C3D76" w:rsidRDefault="001C3D76" w:rsidP="001C3D76">
      <w:pPr>
        <w:pStyle w:val="ScheduleSectionOptionInstructions"/>
      </w:pPr>
      <w:bookmarkStart w:id="49" w:name="_Hlk134805103"/>
      <w:r>
        <w:t>[</w:t>
      </w:r>
      <w:r w:rsidRPr="0091238E">
        <w:t xml:space="preserve">Choose </w:t>
      </w:r>
      <w:r w:rsidRPr="00BB64E0">
        <w:t>the appropriate one</w:t>
      </w:r>
      <w:r>
        <w:rPr>
          <w:b/>
          <w:bCs/>
        </w:rPr>
        <w:t xml:space="preserve"> </w:t>
      </w:r>
      <w:r w:rsidRPr="0091238E">
        <w:t>of these two alternatives.</w:t>
      </w:r>
      <w:r>
        <w:t>]</w:t>
      </w:r>
    </w:p>
    <w:p w14:paraId="6B0DED9D" w14:textId="77777777" w:rsidR="001C3D76" w:rsidRDefault="001C3D76" w:rsidP="001C3D76">
      <w:pPr>
        <w:pStyle w:val="ScheduleSectionOptionInstructions"/>
      </w:pPr>
      <w:r>
        <w:t>[</w:t>
      </w:r>
      <w:r w:rsidRPr="001D5EA2">
        <w:rPr>
          <w:b/>
          <w:bCs/>
        </w:rPr>
        <w:t>Alternative #1</w:t>
      </w:r>
      <w:r>
        <w:t>, if either</w:t>
      </w:r>
    </w:p>
    <w:p w14:paraId="1061844B" w14:textId="77777777" w:rsidR="001C3D76" w:rsidRDefault="001C3D76" w:rsidP="001C3D76">
      <w:pPr>
        <w:pStyle w:val="ScheduleSectionOptionInstructions"/>
      </w:pPr>
      <w:r>
        <w:tab/>
        <w:t xml:space="preserve">(1) the Recipient has an award with same operating administration that makes the Recipient subject to the operating administration’s Title VI </w:t>
      </w:r>
      <w:proofErr w:type="gramStart"/>
      <w:r>
        <w:t>requirements;</w:t>
      </w:r>
      <w:proofErr w:type="gramEnd"/>
      <w:r>
        <w:t xml:space="preserve"> or</w:t>
      </w:r>
    </w:p>
    <w:p w14:paraId="081CE639" w14:textId="77777777" w:rsidR="001C3D76" w:rsidRDefault="001C3D76" w:rsidP="001C3D76">
      <w:pPr>
        <w:pStyle w:val="ScheduleSectionOptionInstructions"/>
      </w:pPr>
      <w:r>
        <w:tab/>
        <w:t xml:space="preserve">(2) the Recipient had an award with same operating administration </w:t>
      </w:r>
      <w:proofErr w:type="gramStart"/>
      <w:r>
        <w:t>as a result of</w:t>
      </w:r>
      <w:proofErr w:type="gramEnd"/>
      <w:r>
        <w:t xml:space="preserve"> which the Recipient is already in compliance with the operating administration’s Title VI requirements:]</w:t>
      </w:r>
    </w:p>
    <w:p w14:paraId="57B8DC4B" w14:textId="77777777" w:rsidR="001C3D76" w:rsidRDefault="001C3D76" w:rsidP="001C3D76">
      <w:pPr>
        <w:pStyle w:val="ScheduleSectionText"/>
      </w:pPr>
      <w:r w:rsidRPr="00C335DB">
        <w:t>Recipient Type Designation:</w:t>
      </w:r>
      <w:r w:rsidRPr="00C335DB">
        <w:tab/>
        <w:t>Existing</w:t>
      </w:r>
      <w:commentRangeStart w:id="50"/>
      <w:commentRangeEnd w:id="50"/>
      <w:r w:rsidRPr="001222D9">
        <w:commentReference w:id="50"/>
      </w:r>
    </w:p>
    <w:p w14:paraId="69E7FCF0" w14:textId="77777777" w:rsidR="001C3D76" w:rsidRPr="00C335DB" w:rsidRDefault="001C3D76" w:rsidP="001C3D76">
      <w:pPr>
        <w:pStyle w:val="ScheduleSectionText"/>
      </w:pPr>
      <w:r>
        <w:t>Existing Award Program:</w:t>
      </w:r>
      <w:r>
        <w:tab/>
      </w:r>
      <w:commentRangeStart w:id="51"/>
      <w:r w:rsidRPr="0068001C">
        <w:rPr>
          <w:color w:val="FF0000"/>
        </w:rPr>
        <w:t>[</w:t>
      </w:r>
      <w:commentRangeEnd w:id="51"/>
      <w:r w:rsidRPr="0068001C">
        <w:rPr>
          <w:rStyle w:val="CommentReference"/>
          <w:color w:val="FF0000"/>
        </w:rPr>
        <w:commentReference w:id="51"/>
      </w:r>
      <w:r w:rsidRPr="0068001C">
        <w:rPr>
          <w:color w:val="FF0000"/>
        </w:rPr>
        <w:t xml:space="preserve"> </w:t>
      </w:r>
      <w:r>
        <w:rPr>
          <w:color w:val="FF0000"/>
        </w:rPr>
        <w:t xml:space="preserve">Assistance Listing Number or Name for grant </w:t>
      </w:r>
      <w:proofErr w:type="gramStart"/>
      <w:r>
        <w:rPr>
          <w:color w:val="FF0000"/>
        </w:rPr>
        <w:t xml:space="preserve">program </w:t>
      </w:r>
      <w:r w:rsidRPr="00C335DB">
        <w:rPr>
          <w:color w:val="FF0000"/>
        </w:rPr>
        <w:t>]</w:t>
      </w:r>
      <w:proofErr w:type="gramEnd"/>
    </w:p>
    <w:p w14:paraId="03DF7F46" w14:textId="77777777" w:rsidR="001C3D76" w:rsidRDefault="001C3D76" w:rsidP="001C3D76">
      <w:pPr>
        <w:pStyle w:val="ScheduleSectionOptionInstructions"/>
      </w:pPr>
      <w:r>
        <w:t>[</w:t>
      </w:r>
      <w:r w:rsidRPr="001D5EA2">
        <w:rPr>
          <w:b/>
          <w:bCs/>
        </w:rPr>
        <w:t>Alternative #2</w:t>
      </w:r>
      <w:r>
        <w:t>:]</w:t>
      </w:r>
    </w:p>
    <w:p w14:paraId="30224C1D" w14:textId="77777777" w:rsidR="001C3D76" w:rsidRDefault="001C3D76" w:rsidP="001C3D76">
      <w:pPr>
        <w:pStyle w:val="ScheduleSectionText"/>
      </w:pPr>
      <w:r w:rsidRPr="00C335DB">
        <w:t>Recipient Type Designation:</w:t>
      </w:r>
      <w:r w:rsidRPr="00C335DB">
        <w:tab/>
      </w:r>
      <w:r>
        <w:t>New</w:t>
      </w:r>
      <w:commentRangeStart w:id="52"/>
      <w:commentRangeEnd w:id="52"/>
      <w:r w:rsidRPr="001222D9">
        <w:commentReference w:id="52"/>
      </w:r>
    </w:p>
    <w:p w14:paraId="2ECECA68" w14:textId="77777777" w:rsidR="001C3D76" w:rsidRDefault="001C3D76" w:rsidP="001C3D76">
      <w:pPr>
        <w:pStyle w:val="ScheduleSectionHeading"/>
      </w:pPr>
      <w:r>
        <w:t>Title VI Assessment Information.</w:t>
      </w:r>
    </w:p>
    <w:p w14:paraId="4E37B167" w14:textId="77777777" w:rsidR="001C3D76" w:rsidRDefault="001C3D76" w:rsidP="001C3D76">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426D572" w14:textId="3D03F3F0" w:rsidR="00714196" w:rsidRDefault="001C3D76" w:rsidP="001C3D76">
      <w:pPr>
        <w:pStyle w:val="ScheduleSectionOptionInstructions"/>
      </w:pPr>
      <w:r>
        <w:t>[</w:t>
      </w:r>
      <w:r w:rsidRPr="001D5EA2">
        <w:rPr>
          <w:b/>
          <w:bCs/>
        </w:rPr>
        <w:t>Alternative #1</w:t>
      </w:r>
      <w:r>
        <w:t>, if the Recipient Type Designation is Existing:]</w:t>
      </w:r>
    </w:p>
    <w:p w14:paraId="20D75C05" w14:textId="77777777" w:rsidR="00714196" w:rsidRDefault="00714196" w:rsidP="00714196">
      <w:pPr>
        <w:pStyle w:val="ScheduleSectionText"/>
      </w:pPr>
      <w:bookmarkStart w:id="53" w:name="_Hlk134808216"/>
      <w:bookmarkEnd w:id="49"/>
      <w:r>
        <w:t>This section is not applicable because the Recipient Type Designation is “Existing.”</w:t>
      </w:r>
    </w:p>
    <w:bookmarkEnd w:id="53"/>
    <w:p w14:paraId="00F1EAFC" w14:textId="77777777" w:rsidR="00714196" w:rsidRDefault="00714196" w:rsidP="00714196">
      <w:pPr>
        <w:pStyle w:val="ScheduleSectionOptionInstructions"/>
      </w:pPr>
      <w:r>
        <w:t>[Alternative #2, if the Recipient Type Designation is New:]</w:t>
      </w:r>
    </w:p>
    <w:p w14:paraId="5BD07DBE" w14:textId="77777777" w:rsidR="00714196" w:rsidRPr="00824F5B" w:rsidRDefault="00714196" w:rsidP="00714196">
      <w:pPr>
        <w:pStyle w:val="ScheduleSectionText"/>
      </w:pPr>
      <w:r>
        <w:t>Title VI Assessment Completion Date:</w:t>
      </w:r>
      <w:r>
        <w:tab/>
      </w:r>
      <w:commentRangeStart w:id="54"/>
      <w:r w:rsidRPr="0068001C">
        <w:rPr>
          <w:color w:val="FF0000"/>
        </w:rPr>
        <w:t>[</w:t>
      </w:r>
      <w:commentRangeEnd w:id="54"/>
      <w:r w:rsidRPr="0068001C">
        <w:rPr>
          <w:rStyle w:val="CommentReference"/>
          <w:color w:val="FF0000"/>
        </w:rPr>
        <w:commentReference w:id="54"/>
      </w:r>
      <w:r w:rsidRPr="0068001C">
        <w:rPr>
          <w:color w:val="FF0000"/>
        </w:rPr>
        <w:t xml:space="preserve"> </w:t>
      </w:r>
      <w:r w:rsidRPr="00824F5B">
        <w:rPr>
          <w:color w:val="FF0000"/>
        </w:rPr>
        <w:t xml:space="preserve">insert </w:t>
      </w:r>
      <w:proofErr w:type="gramStart"/>
      <w:r w:rsidRPr="00824F5B">
        <w:rPr>
          <w:color w:val="FF0000"/>
        </w:rPr>
        <w:t>date</w:t>
      </w:r>
      <w:r>
        <w:rPr>
          <w:color w:val="FF0000"/>
        </w:rPr>
        <w:t xml:space="preserve"> </w:t>
      </w:r>
      <w:r w:rsidRPr="00824F5B">
        <w:rPr>
          <w:color w:val="FF0000"/>
        </w:rPr>
        <w:t>]</w:t>
      </w:r>
      <w:proofErr w:type="gramEnd"/>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55"/>
      <w:r w:rsidR="003D3F5A">
        <w:t>P</w:t>
      </w:r>
      <w:r w:rsidR="008A7F7C">
        <w:t>age</w:t>
      </w:r>
      <w:commentRangeEnd w:id="55"/>
      <w:r w:rsidR="00524D49">
        <w:rPr>
          <w:rStyle w:val="CommentReference"/>
          <w:b w:val="0"/>
        </w:rPr>
        <w:commentReference w:id="55"/>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7107F61F"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AF514D">
        <w:t>9</w:t>
      </w:r>
      <w:r>
        <w:t>.5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w:t>
      </w:r>
      <w:proofErr w:type="gramStart"/>
      <w:r>
        <w:t>e.g.</w:t>
      </w:r>
      <w:proofErr w:type="gramEnd"/>
      <w:r>
        <w:t xml:space="preserve">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7DFFCFD4" w14:textId="0ADA48CD"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w:t>
      </w:r>
      <w:r w:rsidR="00AF514D">
        <w:t>8</w:t>
      </w:r>
      <w:r>
        <w:t>.3.</w:t>
      </w:r>
    </w:p>
  </w:comment>
  <w:comment w:id="8" w:author="USDOT" w:initials="USDOT">
    <w:p w14:paraId="59D4F179" w14:textId="77777777"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9" w:author="USDOT" w:initials="USDOT">
    <w:p w14:paraId="594099BB" w14:textId="53773F83"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w:t>
      </w:r>
      <w:r w:rsidR="00AF514D">
        <w:t>9</w:t>
      </w:r>
      <w:r>
        <w:t>.1.</w:t>
      </w:r>
    </w:p>
  </w:comment>
  <w:comment w:id="10" w:author="USDOT" w:initials="USDOT">
    <w:p w14:paraId="1E566E8E" w14:textId="1662C7F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AF514D">
        <w:t>0</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4DC0C55"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w:t>
      </w:r>
      <w:proofErr w:type="spellStart"/>
      <w:r>
        <w:t>TrAMS</w:t>
      </w:r>
      <w:proofErr w:type="spellEnd"/>
      <w:r>
        <w:t xml:space="preserve"> for cost classifications.</w:t>
      </w:r>
    </w:p>
  </w:comment>
  <w:comment w:id="19"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initials="USDOT">
    <w:p w14:paraId="42648098" w14:textId="17340B3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1" w:author="USDOT" w:initials="USDOT">
    <w:p w14:paraId="24A6307F"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3"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4"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5" w:author="USDOT" w:initials="USDOT">
    <w:p w14:paraId="720522A9"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6" w:author="USDOT" w:initials="USDOT">
    <w:p w14:paraId="4A0FA31B"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27" w:name="_Hlk98927912"/>
      <w:r w:rsidRPr="00A33E4B">
        <w:t xml:space="preserve">This </w:t>
      </w:r>
      <w:r>
        <w:t>Pre-construction Measurement date</w:t>
      </w:r>
      <w:r w:rsidRPr="00A33E4B">
        <w:t xml:space="preserve"> should be as current as possible before </w:t>
      </w:r>
      <w:bookmarkStart w:id="28" w:name="_Hlk98927881"/>
      <w:bookmarkEnd w:id="27"/>
      <w:r w:rsidR="000D332C">
        <w:t>the project begins construction</w:t>
      </w:r>
      <w:r w:rsidRPr="00A33E4B">
        <w:t>.</w:t>
      </w:r>
      <w:bookmarkEnd w:id="28"/>
    </w:p>
  </w:comment>
  <w:comment w:id="29" w:author="USDOT" w:initials="USDOT">
    <w:p w14:paraId="54F12A6F"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30" w:author="USDOT" w:initials="USDOT">
    <w:p w14:paraId="42F5C62E"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1" w:author="USDOT" w:initials="USDOT">
    <w:p w14:paraId="61E0FA63" w14:textId="77777777" w:rsidR="00A935A2" w:rsidRDefault="00A935A2" w:rsidP="00A935A2">
      <w:pPr>
        <w:pStyle w:val="CommentText"/>
      </w:pPr>
      <w:r>
        <w:rPr>
          <w:b/>
        </w:rPr>
        <w:t>Drafting Instruction:</w:t>
      </w:r>
      <w:r>
        <w:t xml:space="preserve">  USDOT is looking for at least 2-4 measures.</w:t>
      </w:r>
    </w:p>
    <w:p w14:paraId="0EF2A2C7" w14:textId="77777777" w:rsidR="00A935A2" w:rsidRDefault="00A935A2" w:rsidP="00A935A2">
      <w:pPr>
        <w:pStyle w:val="CommentText"/>
      </w:pPr>
    </w:p>
    <w:p w14:paraId="0D5B549C" w14:textId="77777777" w:rsidR="00A935A2" w:rsidRDefault="00A935A2" w:rsidP="00A935A2">
      <w:pPr>
        <w:pStyle w:val="CommentText"/>
      </w:pPr>
      <w:r>
        <w:t>Recipient: Please select measures from OST’s guidance available online:</w:t>
      </w:r>
    </w:p>
    <w:p w14:paraId="03C98D83" w14:textId="77777777" w:rsidR="00A935A2" w:rsidRDefault="00A935A2" w:rsidP="00A935A2">
      <w:pPr>
        <w:pStyle w:val="CommentText"/>
      </w:pPr>
    </w:p>
    <w:p w14:paraId="66468DD7" w14:textId="77777777" w:rsidR="00A935A2" w:rsidRDefault="00A935A2" w:rsidP="00A935A2">
      <w:pPr>
        <w:pStyle w:val="CommentText"/>
      </w:pPr>
      <w:hyperlink r:id="rId1" w:history="1">
        <w:r>
          <w:rPr>
            <w:rStyle w:val="Hyperlink"/>
          </w:rPr>
          <w:t>https://www.transportation.gov/grants/raise/raise-performance-measures-update-2023</w:t>
        </w:r>
      </w:hyperlink>
    </w:p>
    <w:p w14:paraId="3BBC543C" w14:textId="77777777" w:rsidR="00A935A2" w:rsidRDefault="00A935A2" w:rsidP="00A935A2">
      <w:pPr>
        <w:pStyle w:val="CommentText"/>
      </w:pPr>
    </w:p>
    <w:p w14:paraId="42F8678D" w14:textId="77777777" w:rsidR="00A935A2" w:rsidRDefault="00A935A2" w:rsidP="00A935A2">
      <w:r>
        <w:t>Enter the information from Table 1 of that guidance as follows:</w:t>
      </w:r>
    </w:p>
    <w:p w14:paraId="4EA95953" w14:textId="77777777" w:rsidR="00A935A2" w:rsidRDefault="00A935A2" w:rsidP="00A935A2">
      <w:pPr>
        <w:pStyle w:val="ListParagraph"/>
        <w:numPr>
          <w:ilvl w:val="0"/>
          <w:numId w:val="25"/>
        </w:numPr>
      </w:pPr>
      <w:r>
        <w:t xml:space="preserve"> Measure = Performance Measure</w:t>
      </w:r>
    </w:p>
    <w:p w14:paraId="51D49B78" w14:textId="77777777" w:rsidR="00A935A2" w:rsidRDefault="00A935A2" w:rsidP="00A935A2">
      <w:pPr>
        <w:pStyle w:val="ListParagraph"/>
        <w:numPr>
          <w:ilvl w:val="0"/>
          <w:numId w:val="25"/>
        </w:numPr>
      </w:pPr>
      <w:r>
        <w:t xml:space="preserve"> Category and Description = Unit Reported</w:t>
      </w:r>
    </w:p>
    <w:p w14:paraId="645D2E06" w14:textId="77777777" w:rsidR="00A935A2" w:rsidRDefault="00A935A2" w:rsidP="00A935A2">
      <w:pPr>
        <w:pStyle w:val="ListParagraph"/>
        <w:ind w:left="0"/>
      </w:pPr>
    </w:p>
    <w:p w14:paraId="6B31960D" w14:textId="1464715F" w:rsidR="00BF2800" w:rsidRDefault="00A935A2" w:rsidP="00BF2800">
      <w:r>
        <w:t>All performance measures will be reported annually per the RAISE Performance Measures Update- 2023 guidance.</w:t>
      </w:r>
    </w:p>
  </w:comment>
  <w:comment w:id="33" w:author="USDOT" w:initials="USDOT">
    <w:p w14:paraId="62AB1B29"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4" w:author="USDOT" w:initials="USDOT">
    <w:p w14:paraId="593DD1B4" w14:textId="77777777"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5"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6" w:author="USDOT" w:initials="USDOT">
    <w:p w14:paraId="6E5C7FBD" w14:textId="0DDABFFD"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7"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w:t>
      </w:r>
      <w:proofErr w:type="gramStart"/>
      <w:r>
        <w:t>as long as</w:t>
      </w:r>
      <w:proofErr w:type="gramEnd"/>
      <w:r>
        <w:t xml:space="preserve"> necessary to address the italicized prompt for that row.</w:t>
      </w:r>
    </w:p>
  </w:comment>
  <w:comment w:id="38" w:author="USDOT" w:initials="USDOT">
    <w:p w14:paraId="47FCA7DE"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9" w:author="USDOT" w:initials="USDOT">
    <w:p w14:paraId="42C0BEB3" w14:textId="77777777"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0"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1" w:author="USDOT" w:initials="USDOT">
    <w:p w14:paraId="519B78C3" w14:textId="1C040F39"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2"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w:t>
      </w:r>
      <w:proofErr w:type="gramStart"/>
      <w:r>
        <w:t>as long as</w:t>
      </w:r>
      <w:proofErr w:type="gramEnd"/>
      <w:r>
        <w:t xml:space="preserve"> necessary to address the italicized prompt for that row.</w:t>
      </w:r>
    </w:p>
  </w:comment>
  <w:comment w:id="43" w:author="USDOT" w:initials="USDOT">
    <w:p w14:paraId="1C73D37D"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4" w:author="USDOT" w:initials="USDOT">
    <w:p w14:paraId="475D4CFD" w14:textId="77777777" w:rsidR="0080060C" w:rsidRPr="00B42FE4" w:rsidRDefault="0080060C" w:rsidP="0080060C">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5" w:author="USDOT" w:initials="USDOT">
    <w:p w14:paraId="615F70E8" w14:textId="77777777" w:rsidR="0080060C" w:rsidRPr="00B42FE4" w:rsidRDefault="0080060C" w:rsidP="0080060C">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6" w:author="USDOT" w:initials="USDOT">
    <w:p w14:paraId="257B5CCF" w14:textId="77777777" w:rsidR="0080060C" w:rsidRDefault="0080060C" w:rsidP="0080060C">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7"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w:t>
      </w:r>
      <w:proofErr w:type="gramStart"/>
      <w:r>
        <w:t>as long as</w:t>
      </w:r>
      <w:proofErr w:type="gramEnd"/>
      <w:r>
        <w:t xml:space="preserve"> necessary to address the italicized prompt for that row.</w:t>
      </w:r>
    </w:p>
  </w:comment>
  <w:comment w:id="48"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0" w:author="USDOT" w:initials="USDOT">
    <w:p w14:paraId="3BC5A8BB" w14:textId="596C9367" w:rsidR="001C3D76" w:rsidRDefault="001C3D76" w:rsidP="001C3D7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FTA Title VI requirements within 1 month of signing this agreement; or (2) submit a Title VI Plan and Community Participation Plan within 6 months.</w:t>
      </w:r>
    </w:p>
  </w:comment>
  <w:comment w:id="51" w:author="USDOT" w:initials="USDOT">
    <w:p w14:paraId="28E6D485" w14:textId="77777777" w:rsidR="001C3D76" w:rsidRDefault="001C3D76" w:rsidP="001C3D7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2" w:author="USDOT" w:initials="USDOT">
    <w:p w14:paraId="3A73A9D7" w14:textId="77777777" w:rsidR="001C3D76" w:rsidRDefault="001C3D76" w:rsidP="001C3D7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54" w:author="USDOT" w:initials="USDOT">
    <w:p w14:paraId="2A59918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55"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475D4CFD" w15:done="0"/>
  <w15:commentEx w15:paraId="615F70E8" w15:done="0"/>
  <w15:commentEx w15:paraId="257B5CCF" w15:done="0"/>
  <w15:commentEx w15:paraId="56E4F40E" w15:done="0"/>
  <w15:commentEx w15:paraId="2873AA68" w15:done="0"/>
  <w15:commentEx w15:paraId="3BC5A8BB" w15:done="0"/>
  <w15:commentEx w15:paraId="28E6D485" w15:done="0"/>
  <w15:commentEx w15:paraId="3A73A9D7" w15:done="0"/>
  <w15:commentEx w15:paraId="2A599188"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475D4CFD" w16cid:durableId="26CF2B27"/>
  <w16cid:commentId w16cid:paraId="615F70E8" w16cid:durableId="26CF2B26"/>
  <w16cid:commentId w16cid:paraId="257B5CCF" w16cid:durableId="26CF2B25"/>
  <w16cid:commentId w16cid:paraId="56E4F40E" w16cid:durableId="26CF2B24"/>
  <w16cid:commentId w16cid:paraId="2873AA68" w16cid:durableId="2808F4A6"/>
  <w16cid:commentId w16cid:paraId="3BC5A8BB" w16cid:durableId="284088BF"/>
  <w16cid:commentId w16cid:paraId="28E6D485" w16cid:durableId="2808F7EE"/>
  <w16cid:commentId w16cid:paraId="3A73A9D7" w16cid:durableId="284088CF"/>
  <w16cid:commentId w16cid:paraId="2A599188" w16cid:durableId="2808F85A"/>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93CB" w14:textId="77777777" w:rsidR="00DE3C72" w:rsidRDefault="00DE3C72">
      <w:r>
        <w:separator/>
      </w:r>
    </w:p>
  </w:endnote>
  <w:endnote w:type="continuationSeparator" w:id="0">
    <w:p w14:paraId="598BCB74" w14:textId="77777777" w:rsidR="00DE3C72" w:rsidRDefault="00DE3C72">
      <w:r>
        <w:continuationSeparator/>
      </w:r>
    </w:p>
  </w:endnote>
  <w:endnote w:type="continuationNotice" w:id="1">
    <w:p w14:paraId="6E7C73B8" w14:textId="77777777" w:rsidR="00DE3C72" w:rsidRDefault="00DE3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fldSimple w:instr=" NUMPAGES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1A0F" w14:textId="77777777" w:rsidR="00DE3C72" w:rsidRDefault="00DE3C72">
      <w:r>
        <w:separator/>
      </w:r>
    </w:p>
  </w:footnote>
  <w:footnote w:type="continuationSeparator" w:id="0">
    <w:p w14:paraId="1DC28FF7" w14:textId="77777777" w:rsidR="00DE3C72" w:rsidRDefault="00DE3C72">
      <w:r>
        <w:continuationSeparator/>
      </w:r>
    </w:p>
  </w:footnote>
  <w:footnote w:type="continuationNotice" w:id="1">
    <w:p w14:paraId="0F7B46BD" w14:textId="77777777" w:rsidR="00DE3C72" w:rsidRDefault="00DE3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6B0A" w14:textId="77777777" w:rsidR="00926B72" w:rsidRDefault="00926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5618C7A0" w:rsidR="005F1F56" w:rsidRPr="00B92A91" w:rsidRDefault="005F1F56" w:rsidP="00B92A91">
    <w:pPr>
      <w:pStyle w:val="RevisionDate"/>
    </w:pPr>
    <w:r>
      <w:t>Revised 202</w:t>
    </w:r>
    <w:r w:rsidR="00AF514D">
      <w:t>3</w:t>
    </w:r>
    <w:r>
      <w:t>-</w:t>
    </w:r>
    <w:r w:rsidR="0085271F">
      <w:t>0</w:t>
    </w:r>
    <w:r w:rsidR="00AF514D">
      <w:t>6</w:t>
    </w:r>
    <w:r>
      <w:t>-</w:t>
    </w:r>
    <w:r w:rsidR="00A57167">
      <w:t>2</w:t>
    </w:r>
    <w:r w:rsidR="0080060C">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6" w:name="_Hlk14857108"/>
    <w:bookmarkStart w:id="57" w:name="_Hlk14857109"/>
    <w:bookmarkStart w:id="58" w:name="_Hlk14857110"/>
    <w:bookmarkStart w:id="59" w:name="_Hlk14857174"/>
    <w:bookmarkStart w:id="60" w:name="_Hlk14857175"/>
    <w:bookmarkStart w:id="61" w:name="_Hlk14857176"/>
    <w:r>
      <w:t>DRAFT; NOT INTENDED FOR EXECUTION</w:t>
    </w:r>
  </w:p>
  <w:p w14:paraId="313C1BD1" w14:textId="77777777" w:rsidR="005F1F56" w:rsidRDefault="005F1F56" w:rsidP="00ED7881">
    <w:pPr>
      <w:pStyle w:val="RevisionDate"/>
    </w:pPr>
    <w:r>
      <w:t>Revised 2019-07-24</w:t>
    </w:r>
    <w:bookmarkEnd w:id="56"/>
    <w:bookmarkEnd w:id="57"/>
    <w:bookmarkEnd w:id="58"/>
    <w:bookmarkEnd w:id="59"/>
    <w:bookmarkEnd w:id="60"/>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3831971">
    <w:abstractNumId w:val="12"/>
  </w:num>
  <w:num w:numId="2" w16cid:durableId="1986203593">
    <w:abstractNumId w:val="1"/>
  </w:num>
  <w:num w:numId="3" w16cid:durableId="713697093">
    <w:abstractNumId w:val="0"/>
  </w:num>
  <w:num w:numId="4" w16cid:durableId="738215061">
    <w:abstractNumId w:val="8"/>
  </w:num>
  <w:num w:numId="5" w16cid:durableId="1547373858">
    <w:abstractNumId w:val="3"/>
  </w:num>
  <w:num w:numId="6" w16cid:durableId="680745089">
    <w:abstractNumId w:val="2"/>
  </w:num>
  <w:num w:numId="7" w16cid:durableId="966395028">
    <w:abstractNumId w:val="4"/>
  </w:num>
  <w:num w:numId="8" w16cid:durableId="1871380966">
    <w:abstractNumId w:val="9"/>
  </w:num>
  <w:num w:numId="9" w16cid:durableId="205723512">
    <w:abstractNumId w:val="7"/>
  </w:num>
  <w:num w:numId="10" w16cid:durableId="1396589384">
    <w:abstractNumId w:val="6"/>
  </w:num>
  <w:num w:numId="11" w16cid:durableId="785580550">
    <w:abstractNumId w:val="5"/>
  </w:num>
  <w:num w:numId="12" w16cid:durableId="235290728">
    <w:abstractNumId w:val="10"/>
  </w:num>
  <w:num w:numId="13" w16cid:durableId="1125123865">
    <w:abstractNumId w:val="19"/>
  </w:num>
  <w:num w:numId="14" w16cid:durableId="563610927">
    <w:abstractNumId w:val="16"/>
  </w:num>
  <w:num w:numId="15" w16cid:durableId="279530382">
    <w:abstractNumId w:val="11"/>
  </w:num>
  <w:num w:numId="16" w16cid:durableId="1919248988">
    <w:abstractNumId w:val="14"/>
  </w:num>
  <w:num w:numId="17" w16cid:durableId="971834099">
    <w:abstractNumId w:val="10"/>
  </w:num>
  <w:num w:numId="18" w16cid:durableId="1483043902">
    <w:abstractNumId w:val="10"/>
  </w:num>
  <w:num w:numId="19" w16cid:durableId="707997893">
    <w:abstractNumId w:val="10"/>
  </w:num>
  <w:num w:numId="20" w16cid:durableId="1276061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396621">
    <w:abstractNumId w:val="17"/>
  </w:num>
  <w:num w:numId="22" w16cid:durableId="2011984296">
    <w:abstractNumId w:val="13"/>
  </w:num>
  <w:num w:numId="23" w16cid:durableId="1562211773">
    <w:abstractNumId w:val="15"/>
  </w:num>
  <w:num w:numId="24" w16cid:durableId="439572321">
    <w:abstractNumId w:val="18"/>
  </w:num>
  <w:num w:numId="25" w16cid:durableId="41642447">
    <w:abstractNumId w:val="14"/>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3D76"/>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060C"/>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6B72"/>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57167"/>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053B"/>
    <w:rsid w:val="00A91A49"/>
    <w:rsid w:val="00A935A2"/>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3C72"/>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B3E"/>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locked/>
    <w:rsid w:val="00A935A2"/>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63611438">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Props1.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a85e5705-748c-47a5-b381-e1b975758fe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RAISE FY 2023 Project-Specific Agreement: FTA Template for Capital Projects (draft; working)</vt:lpstr>
    </vt:vector>
  </TitlesOfParts>
  <Company/>
  <LinksUpToDate>false</LinksUpToDate>
  <CharactersWithSpaces>18709</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(2023-06-25)</dc:title>
  <dc:subject/>
  <dc:creator/>
  <cp:keywords/>
  <dc:description/>
  <cp:lastModifiedBy>Dredske, Logan (OST)</cp:lastModifiedBy>
  <cp:revision>6</cp:revision>
  <cp:lastPrinted>2019-10-29T15:05:00Z</cp:lastPrinted>
  <dcterms:created xsi:type="dcterms:W3CDTF">2023-06-26T03:49:00Z</dcterms:created>
  <dcterms:modified xsi:type="dcterms:W3CDTF">2023-08-25T17:24:00Z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