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C5A" w:rsidRDefault="00D16C5A" w:rsidP="00D16C5A">
      <w:pPr>
        <w:jc w:val="center"/>
        <w:rPr>
          <w:b/>
          <w:sz w:val="44"/>
          <w:szCs w:val="44"/>
        </w:rPr>
      </w:pPr>
    </w:p>
    <w:p w:rsidR="00DB4005" w:rsidRDefault="00B32F0C" w:rsidP="00D16C5A">
      <w:pPr>
        <w:jc w:val="center"/>
        <w:rPr>
          <w:b/>
          <w:sz w:val="44"/>
          <w:szCs w:val="44"/>
        </w:rPr>
      </w:pPr>
      <w:r>
        <w:rPr>
          <w:noProof/>
        </w:rPr>
        <w:drawing>
          <wp:inline distT="0" distB="0" distL="0" distR="0" wp14:anchorId="09F96E72" wp14:editId="410EB7FF">
            <wp:extent cx="2971800" cy="2987040"/>
            <wp:effectExtent l="0" t="0" r="0" b="3810"/>
            <wp:docPr id="1" name="Picture 1" descr="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12832" name="Picture 1" descr="DOT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71800" cy="2987040"/>
                    </a:xfrm>
                    <a:prstGeom prst="rect">
                      <a:avLst/>
                    </a:prstGeom>
                    <a:noFill/>
                    <a:ln>
                      <a:noFill/>
                    </a:ln>
                  </pic:spPr>
                </pic:pic>
              </a:graphicData>
            </a:graphic>
          </wp:inline>
        </w:drawing>
      </w:r>
    </w:p>
    <w:p w:rsidR="00DB4005" w:rsidRDefault="00DB4005" w:rsidP="00D16C5A">
      <w:pPr>
        <w:jc w:val="center"/>
        <w:rPr>
          <w:b/>
          <w:sz w:val="44"/>
          <w:szCs w:val="44"/>
        </w:rPr>
      </w:pPr>
    </w:p>
    <w:p w:rsidR="006D0E03" w:rsidRDefault="006D0E03" w:rsidP="00D16C5A">
      <w:pPr>
        <w:jc w:val="center"/>
        <w:rPr>
          <w:b/>
          <w:sz w:val="44"/>
          <w:szCs w:val="44"/>
        </w:rPr>
      </w:pPr>
    </w:p>
    <w:p w:rsidR="00DB4005" w:rsidRDefault="00DB4005" w:rsidP="00D16C5A">
      <w:pPr>
        <w:jc w:val="center"/>
        <w:rPr>
          <w:b/>
          <w:sz w:val="44"/>
          <w:szCs w:val="44"/>
        </w:rPr>
      </w:pPr>
      <w:r>
        <w:rPr>
          <w:b/>
          <w:sz w:val="44"/>
          <w:szCs w:val="44"/>
        </w:rPr>
        <w:t>U.S. Department of Transportation</w:t>
      </w:r>
    </w:p>
    <w:p w:rsidR="006D0E03" w:rsidRDefault="00DB4005" w:rsidP="00D16C5A">
      <w:pPr>
        <w:jc w:val="center"/>
        <w:rPr>
          <w:b/>
          <w:sz w:val="44"/>
          <w:szCs w:val="44"/>
        </w:rPr>
      </w:pPr>
      <w:r>
        <w:rPr>
          <w:b/>
          <w:sz w:val="44"/>
          <w:szCs w:val="44"/>
        </w:rPr>
        <w:t>Fiscal Year 2017</w:t>
      </w:r>
      <w:r w:rsidR="00A207CD">
        <w:rPr>
          <w:b/>
          <w:sz w:val="44"/>
          <w:szCs w:val="44"/>
        </w:rPr>
        <w:t xml:space="preserve"> </w:t>
      </w:r>
      <w:r w:rsidR="00D16C5A" w:rsidRPr="00D16C5A">
        <w:rPr>
          <w:b/>
          <w:sz w:val="44"/>
          <w:szCs w:val="44"/>
        </w:rPr>
        <w:t>Service Contract Inventory</w:t>
      </w:r>
      <w:r>
        <w:rPr>
          <w:b/>
          <w:sz w:val="44"/>
          <w:szCs w:val="44"/>
        </w:rPr>
        <w:t xml:space="preserve"> Analysis</w:t>
      </w:r>
    </w:p>
    <w:p w:rsidR="006D0E03" w:rsidRDefault="006D0E03" w:rsidP="00D16C5A">
      <w:pPr>
        <w:jc w:val="center"/>
        <w:rPr>
          <w:b/>
          <w:sz w:val="44"/>
          <w:szCs w:val="44"/>
        </w:rPr>
      </w:pPr>
    </w:p>
    <w:p w:rsidR="006D0E03" w:rsidRDefault="006D0E03" w:rsidP="00D16C5A">
      <w:pPr>
        <w:jc w:val="center"/>
        <w:rPr>
          <w:b/>
          <w:sz w:val="44"/>
          <w:szCs w:val="44"/>
        </w:rPr>
      </w:pPr>
    </w:p>
    <w:p w:rsidR="006D0E03" w:rsidRPr="006D0E03" w:rsidRDefault="006D0E03" w:rsidP="00D16C5A">
      <w:pPr>
        <w:jc w:val="center"/>
        <w:rPr>
          <w:sz w:val="24"/>
          <w:szCs w:val="24"/>
        </w:rPr>
      </w:pPr>
      <w:r w:rsidRPr="006D0E03">
        <w:rPr>
          <w:sz w:val="24"/>
          <w:szCs w:val="24"/>
        </w:rPr>
        <w:t>Submitted to:</w:t>
      </w:r>
    </w:p>
    <w:p w:rsidR="00D16C5A" w:rsidRPr="00D16C5A" w:rsidRDefault="006D0E03" w:rsidP="00D16C5A">
      <w:pPr>
        <w:jc w:val="center"/>
        <w:rPr>
          <w:b/>
          <w:sz w:val="44"/>
          <w:szCs w:val="44"/>
        </w:rPr>
      </w:pPr>
      <w:r w:rsidRPr="006D0E03">
        <w:rPr>
          <w:sz w:val="24"/>
          <w:szCs w:val="24"/>
        </w:rPr>
        <w:t>U.S. Office of Management and Budget</w:t>
      </w:r>
      <w:r w:rsidR="00D16C5A" w:rsidRPr="00D16C5A">
        <w:rPr>
          <w:b/>
          <w:sz w:val="44"/>
          <w:szCs w:val="44"/>
        </w:rPr>
        <w:br w:type="page"/>
      </w:r>
    </w:p>
    <w:sdt>
      <w:sdtPr>
        <w:rPr>
          <w:rFonts w:asciiTheme="minorHAnsi" w:eastAsiaTheme="minorHAnsi" w:hAnsiTheme="minorHAnsi" w:cstheme="minorBidi"/>
          <w:color w:val="auto"/>
          <w:sz w:val="22"/>
          <w:szCs w:val="22"/>
        </w:rPr>
        <w:id w:val="-165401526"/>
        <w:docPartObj>
          <w:docPartGallery w:val="Table of Contents"/>
          <w:docPartUnique/>
        </w:docPartObj>
      </w:sdtPr>
      <w:sdtEndPr>
        <w:rPr>
          <w:b/>
          <w:bCs/>
          <w:noProof/>
        </w:rPr>
      </w:sdtEndPr>
      <w:sdtContent>
        <w:p w:rsidR="00F13A53" w:rsidRPr="00F13A53" w:rsidRDefault="00D16C5A" w:rsidP="00F13A53">
          <w:pPr>
            <w:pStyle w:val="TOCHeading"/>
          </w:pPr>
          <w:r w:rsidRPr="00F13A53">
            <w:rPr>
              <w:rFonts w:ascii="Times New Roman" w:hAnsi="Times New Roman" w:cs="Times New Roman"/>
              <w:color w:val="auto"/>
            </w:rPr>
            <w:t>Table of Contents</w:t>
          </w:r>
        </w:p>
        <w:p w:rsidR="00D16C5A" w:rsidRPr="00B32F0C" w:rsidRDefault="00D16C5A">
          <w:pPr>
            <w:pStyle w:val="TOC1"/>
            <w:tabs>
              <w:tab w:val="right" w:leader="dot" w:pos="9638"/>
            </w:tabs>
            <w:rPr>
              <w:rFonts w:ascii="Times New Roman" w:eastAsiaTheme="minorEastAsia" w:hAnsi="Times New Roman" w:cs="Times New Roman"/>
              <w:b/>
              <w:noProof/>
              <w:sz w:val="23"/>
              <w:szCs w:val="23"/>
            </w:rPr>
          </w:pPr>
          <w:r w:rsidRPr="00F13A53">
            <w:rPr>
              <w:rFonts w:ascii="Times New Roman" w:hAnsi="Times New Roman" w:cs="Times New Roman"/>
            </w:rPr>
            <w:fldChar w:fldCharType="begin"/>
          </w:r>
          <w:r w:rsidRPr="00F13A53">
            <w:rPr>
              <w:rFonts w:ascii="Times New Roman" w:hAnsi="Times New Roman" w:cs="Times New Roman"/>
            </w:rPr>
            <w:instrText xml:space="preserve"> TOC \o "1-3" \h \z \u </w:instrText>
          </w:r>
          <w:r w:rsidRPr="00F13A53">
            <w:rPr>
              <w:rFonts w:ascii="Times New Roman" w:hAnsi="Times New Roman" w:cs="Times New Roman"/>
            </w:rPr>
            <w:fldChar w:fldCharType="separate"/>
          </w:r>
          <w:hyperlink w:anchor="_Toc3887233" w:history="1">
            <w:r w:rsidRPr="00B32F0C">
              <w:rPr>
                <w:rStyle w:val="Hyperlink"/>
                <w:rFonts w:ascii="Times New Roman" w:hAnsi="Times New Roman" w:cs="Times New Roman"/>
                <w:b/>
                <w:noProof/>
                <w:sz w:val="23"/>
                <w:szCs w:val="23"/>
              </w:rPr>
              <w:t>Executive Summary</w:t>
            </w:r>
            <w:r w:rsidRPr="00B32F0C">
              <w:rPr>
                <w:rFonts w:ascii="Times New Roman" w:hAnsi="Times New Roman" w:cs="Times New Roman"/>
                <w:b/>
                <w:noProof/>
                <w:webHidden/>
                <w:sz w:val="23"/>
                <w:szCs w:val="23"/>
              </w:rPr>
              <w:tab/>
            </w:r>
            <w:r w:rsidRPr="00B32F0C">
              <w:rPr>
                <w:rFonts w:ascii="Times New Roman" w:hAnsi="Times New Roman" w:cs="Times New Roman"/>
                <w:b/>
                <w:noProof/>
                <w:webHidden/>
                <w:sz w:val="23"/>
                <w:szCs w:val="23"/>
              </w:rPr>
              <w:fldChar w:fldCharType="begin"/>
            </w:r>
            <w:r w:rsidRPr="00B32F0C">
              <w:rPr>
                <w:rFonts w:ascii="Times New Roman" w:hAnsi="Times New Roman" w:cs="Times New Roman"/>
                <w:b/>
                <w:noProof/>
                <w:webHidden/>
                <w:sz w:val="23"/>
                <w:szCs w:val="23"/>
              </w:rPr>
              <w:instrText xml:space="preserve"> PAGEREF _Toc3887233 \h </w:instrText>
            </w:r>
            <w:r w:rsidRPr="00B32F0C">
              <w:rPr>
                <w:rFonts w:ascii="Times New Roman" w:hAnsi="Times New Roman" w:cs="Times New Roman"/>
                <w:b/>
                <w:noProof/>
                <w:webHidden/>
                <w:sz w:val="23"/>
                <w:szCs w:val="23"/>
              </w:rPr>
            </w:r>
            <w:r w:rsidRPr="00B32F0C">
              <w:rPr>
                <w:rFonts w:ascii="Times New Roman" w:hAnsi="Times New Roman" w:cs="Times New Roman"/>
                <w:b/>
                <w:noProof/>
                <w:webHidden/>
                <w:sz w:val="23"/>
                <w:szCs w:val="23"/>
              </w:rPr>
              <w:fldChar w:fldCharType="separate"/>
            </w:r>
            <w:r w:rsidR="00F13A53" w:rsidRPr="00B32F0C">
              <w:rPr>
                <w:rFonts w:ascii="Times New Roman" w:hAnsi="Times New Roman" w:cs="Times New Roman"/>
                <w:b/>
                <w:noProof/>
                <w:webHidden/>
                <w:sz w:val="23"/>
                <w:szCs w:val="23"/>
              </w:rPr>
              <w:t>1</w:t>
            </w:r>
            <w:r w:rsidRPr="00B32F0C">
              <w:rPr>
                <w:rFonts w:ascii="Times New Roman" w:hAnsi="Times New Roman" w:cs="Times New Roman"/>
                <w:b/>
                <w:noProof/>
                <w:webHidden/>
                <w:sz w:val="23"/>
                <w:szCs w:val="23"/>
              </w:rPr>
              <w:fldChar w:fldCharType="end"/>
            </w:r>
          </w:hyperlink>
        </w:p>
        <w:p w:rsidR="00D16C5A" w:rsidRPr="00B32F0C" w:rsidRDefault="00164577">
          <w:pPr>
            <w:pStyle w:val="TOC1"/>
            <w:tabs>
              <w:tab w:val="right" w:leader="dot" w:pos="9638"/>
            </w:tabs>
            <w:rPr>
              <w:rFonts w:ascii="Times New Roman" w:eastAsiaTheme="minorEastAsia" w:hAnsi="Times New Roman" w:cs="Times New Roman"/>
              <w:b/>
              <w:noProof/>
              <w:sz w:val="23"/>
              <w:szCs w:val="23"/>
            </w:rPr>
          </w:pPr>
          <w:hyperlink w:anchor="_Toc3887234" w:history="1">
            <w:r w:rsidR="00D16C5A" w:rsidRPr="00B32F0C">
              <w:rPr>
                <w:rStyle w:val="Hyperlink"/>
                <w:rFonts w:ascii="Times New Roman" w:hAnsi="Times New Roman" w:cs="Times New Roman"/>
                <w:b/>
                <w:noProof/>
                <w:sz w:val="23"/>
                <w:szCs w:val="23"/>
              </w:rPr>
              <w:t>1.0 – Introduction/Background</w:t>
            </w:r>
            <w:r w:rsidR="00D16C5A" w:rsidRPr="00B32F0C">
              <w:rPr>
                <w:rFonts w:ascii="Times New Roman" w:hAnsi="Times New Roman" w:cs="Times New Roman"/>
                <w:b/>
                <w:noProof/>
                <w:webHidden/>
                <w:sz w:val="23"/>
                <w:szCs w:val="23"/>
              </w:rPr>
              <w:tab/>
            </w:r>
            <w:r w:rsidR="00D16C5A" w:rsidRPr="00B32F0C">
              <w:rPr>
                <w:rFonts w:ascii="Times New Roman" w:hAnsi="Times New Roman" w:cs="Times New Roman"/>
                <w:b/>
                <w:noProof/>
                <w:webHidden/>
                <w:sz w:val="23"/>
                <w:szCs w:val="23"/>
              </w:rPr>
              <w:fldChar w:fldCharType="begin"/>
            </w:r>
            <w:r w:rsidR="00D16C5A" w:rsidRPr="00B32F0C">
              <w:rPr>
                <w:rFonts w:ascii="Times New Roman" w:hAnsi="Times New Roman" w:cs="Times New Roman"/>
                <w:b/>
                <w:noProof/>
                <w:webHidden/>
                <w:sz w:val="23"/>
                <w:szCs w:val="23"/>
              </w:rPr>
              <w:instrText xml:space="preserve"> PAGEREF _Toc3887234 \h </w:instrText>
            </w:r>
            <w:r w:rsidR="00D16C5A" w:rsidRPr="00B32F0C">
              <w:rPr>
                <w:rFonts w:ascii="Times New Roman" w:hAnsi="Times New Roman" w:cs="Times New Roman"/>
                <w:b/>
                <w:noProof/>
                <w:webHidden/>
                <w:sz w:val="23"/>
                <w:szCs w:val="23"/>
              </w:rPr>
            </w:r>
            <w:r w:rsidR="00D16C5A" w:rsidRPr="00B32F0C">
              <w:rPr>
                <w:rFonts w:ascii="Times New Roman" w:hAnsi="Times New Roman" w:cs="Times New Roman"/>
                <w:b/>
                <w:noProof/>
                <w:webHidden/>
                <w:sz w:val="23"/>
                <w:szCs w:val="23"/>
              </w:rPr>
              <w:fldChar w:fldCharType="separate"/>
            </w:r>
            <w:r w:rsidR="00F13A53" w:rsidRPr="00B32F0C">
              <w:rPr>
                <w:rFonts w:ascii="Times New Roman" w:hAnsi="Times New Roman" w:cs="Times New Roman"/>
                <w:b/>
                <w:noProof/>
                <w:webHidden/>
                <w:sz w:val="23"/>
                <w:szCs w:val="23"/>
              </w:rPr>
              <w:t>2</w:t>
            </w:r>
            <w:r w:rsidR="00D16C5A" w:rsidRPr="00B32F0C">
              <w:rPr>
                <w:rFonts w:ascii="Times New Roman" w:hAnsi="Times New Roman" w:cs="Times New Roman"/>
                <w:b/>
                <w:noProof/>
                <w:webHidden/>
                <w:sz w:val="23"/>
                <w:szCs w:val="23"/>
              </w:rPr>
              <w:fldChar w:fldCharType="end"/>
            </w:r>
          </w:hyperlink>
        </w:p>
        <w:p w:rsidR="00D16C5A" w:rsidRPr="00B32F0C" w:rsidRDefault="00164577">
          <w:pPr>
            <w:pStyle w:val="TOC1"/>
            <w:tabs>
              <w:tab w:val="right" w:leader="dot" w:pos="9638"/>
            </w:tabs>
            <w:rPr>
              <w:rFonts w:ascii="Times New Roman" w:eastAsiaTheme="minorEastAsia" w:hAnsi="Times New Roman" w:cs="Times New Roman"/>
              <w:b/>
              <w:noProof/>
              <w:sz w:val="23"/>
              <w:szCs w:val="23"/>
            </w:rPr>
          </w:pPr>
          <w:hyperlink w:anchor="_Toc3887235" w:history="1">
            <w:r w:rsidR="00D16C5A" w:rsidRPr="00B32F0C">
              <w:rPr>
                <w:rStyle w:val="Hyperlink"/>
                <w:rFonts w:ascii="Times New Roman" w:hAnsi="Times New Roman" w:cs="Times New Roman"/>
                <w:b/>
                <w:noProof/>
                <w:sz w:val="23"/>
                <w:szCs w:val="23"/>
              </w:rPr>
              <w:t>2.0 – Scope</w:t>
            </w:r>
            <w:r w:rsidR="00D16C5A" w:rsidRPr="00B32F0C">
              <w:rPr>
                <w:rFonts w:ascii="Times New Roman" w:hAnsi="Times New Roman" w:cs="Times New Roman"/>
                <w:b/>
                <w:noProof/>
                <w:webHidden/>
                <w:sz w:val="23"/>
                <w:szCs w:val="23"/>
              </w:rPr>
              <w:tab/>
            </w:r>
            <w:r w:rsidR="00D16C5A" w:rsidRPr="00B32F0C">
              <w:rPr>
                <w:rFonts w:ascii="Times New Roman" w:hAnsi="Times New Roman" w:cs="Times New Roman"/>
                <w:b/>
                <w:noProof/>
                <w:webHidden/>
                <w:sz w:val="23"/>
                <w:szCs w:val="23"/>
              </w:rPr>
              <w:fldChar w:fldCharType="begin"/>
            </w:r>
            <w:r w:rsidR="00D16C5A" w:rsidRPr="00B32F0C">
              <w:rPr>
                <w:rFonts w:ascii="Times New Roman" w:hAnsi="Times New Roman" w:cs="Times New Roman"/>
                <w:b/>
                <w:noProof/>
                <w:webHidden/>
                <w:sz w:val="23"/>
                <w:szCs w:val="23"/>
              </w:rPr>
              <w:instrText xml:space="preserve"> PAGEREF _Toc3887235 \h </w:instrText>
            </w:r>
            <w:r w:rsidR="00D16C5A" w:rsidRPr="00B32F0C">
              <w:rPr>
                <w:rFonts w:ascii="Times New Roman" w:hAnsi="Times New Roman" w:cs="Times New Roman"/>
                <w:b/>
                <w:noProof/>
                <w:webHidden/>
                <w:sz w:val="23"/>
                <w:szCs w:val="23"/>
              </w:rPr>
            </w:r>
            <w:r w:rsidR="00D16C5A" w:rsidRPr="00B32F0C">
              <w:rPr>
                <w:rFonts w:ascii="Times New Roman" w:hAnsi="Times New Roman" w:cs="Times New Roman"/>
                <w:b/>
                <w:noProof/>
                <w:webHidden/>
                <w:sz w:val="23"/>
                <w:szCs w:val="23"/>
              </w:rPr>
              <w:fldChar w:fldCharType="separate"/>
            </w:r>
            <w:r w:rsidR="00F13A53" w:rsidRPr="00B32F0C">
              <w:rPr>
                <w:rFonts w:ascii="Times New Roman" w:hAnsi="Times New Roman" w:cs="Times New Roman"/>
                <w:b/>
                <w:noProof/>
                <w:webHidden/>
                <w:sz w:val="23"/>
                <w:szCs w:val="23"/>
              </w:rPr>
              <w:t>2</w:t>
            </w:r>
            <w:r w:rsidR="00D16C5A" w:rsidRPr="00B32F0C">
              <w:rPr>
                <w:rFonts w:ascii="Times New Roman" w:hAnsi="Times New Roman" w:cs="Times New Roman"/>
                <w:b/>
                <w:noProof/>
                <w:webHidden/>
                <w:sz w:val="23"/>
                <w:szCs w:val="23"/>
              </w:rPr>
              <w:fldChar w:fldCharType="end"/>
            </w:r>
          </w:hyperlink>
        </w:p>
        <w:p w:rsidR="00D16C5A" w:rsidRPr="00B32F0C" w:rsidRDefault="00164577">
          <w:pPr>
            <w:pStyle w:val="TOC1"/>
            <w:tabs>
              <w:tab w:val="right" w:leader="dot" w:pos="9638"/>
            </w:tabs>
            <w:rPr>
              <w:rFonts w:ascii="Times New Roman" w:eastAsiaTheme="minorEastAsia" w:hAnsi="Times New Roman" w:cs="Times New Roman"/>
              <w:b/>
              <w:noProof/>
              <w:sz w:val="23"/>
              <w:szCs w:val="23"/>
            </w:rPr>
          </w:pPr>
          <w:hyperlink w:anchor="_Toc3887236" w:history="1">
            <w:r w:rsidR="00D16C5A" w:rsidRPr="00B32F0C">
              <w:rPr>
                <w:rStyle w:val="Hyperlink"/>
                <w:rFonts w:ascii="Times New Roman" w:hAnsi="Times New Roman" w:cs="Times New Roman"/>
                <w:b/>
                <w:noProof/>
                <w:sz w:val="23"/>
                <w:szCs w:val="23"/>
              </w:rPr>
              <w:t>3.0 – Methodology</w:t>
            </w:r>
            <w:r w:rsidR="00D16C5A" w:rsidRPr="00B32F0C">
              <w:rPr>
                <w:rFonts w:ascii="Times New Roman" w:hAnsi="Times New Roman" w:cs="Times New Roman"/>
                <w:b/>
                <w:noProof/>
                <w:webHidden/>
                <w:sz w:val="23"/>
                <w:szCs w:val="23"/>
              </w:rPr>
              <w:tab/>
            </w:r>
            <w:r w:rsidR="00D16C5A" w:rsidRPr="00B32F0C">
              <w:rPr>
                <w:rFonts w:ascii="Times New Roman" w:hAnsi="Times New Roman" w:cs="Times New Roman"/>
                <w:b/>
                <w:noProof/>
                <w:webHidden/>
                <w:sz w:val="23"/>
                <w:szCs w:val="23"/>
              </w:rPr>
              <w:fldChar w:fldCharType="begin"/>
            </w:r>
            <w:r w:rsidR="00D16C5A" w:rsidRPr="00B32F0C">
              <w:rPr>
                <w:rFonts w:ascii="Times New Roman" w:hAnsi="Times New Roman" w:cs="Times New Roman"/>
                <w:b/>
                <w:noProof/>
                <w:webHidden/>
                <w:sz w:val="23"/>
                <w:szCs w:val="23"/>
              </w:rPr>
              <w:instrText xml:space="preserve"> PAGEREF _Toc3887236 \h </w:instrText>
            </w:r>
            <w:r w:rsidR="00D16C5A" w:rsidRPr="00B32F0C">
              <w:rPr>
                <w:rFonts w:ascii="Times New Roman" w:hAnsi="Times New Roman" w:cs="Times New Roman"/>
                <w:b/>
                <w:noProof/>
                <w:webHidden/>
                <w:sz w:val="23"/>
                <w:szCs w:val="23"/>
              </w:rPr>
            </w:r>
            <w:r w:rsidR="00D16C5A" w:rsidRPr="00B32F0C">
              <w:rPr>
                <w:rFonts w:ascii="Times New Roman" w:hAnsi="Times New Roman" w:cs="Times New Roman"/>
                <w:b/>
                <w:noProof/>
                <w:webHidden/>
                <w:sz w:val="23"/>
                <w:szCs w:val="23"/>
              </w:rPr>
              <w:fldChar w:fldCharType="separate"/>
            </w:r>
            <w:r w:rsidR="00F13A53" w:rsidRPr="00B32F0C">
              <w:rPr>
                <w:rFonts w:ascii="Times New Roman" w:hAnsi="Times New Roman" w:cs="Times New Roman"/>
                <w:b/>
                <w:noProof/>
                <w:webHidden/>
                <w:sz w:val="23"/>
                <w:szCs w:val="23"/>
              </w:rPr>
              <w:t>4</w:t>
            </w:r>
            <w:r w:rsidR="00D16C5A" w:rsidRPr="00B32F0C">
              <w:rPr>
                <w:rFonts w:ascii="Times New Roman" w:hAnsi="Times New Roman" w:cs="Times New Roman"/>
                <w:b/>
                <w:noProof/>
                <w:webHidden/>
                <w:sz w:val="23"/>
                <w:szCs w:val="23"/>
              </w:rPr>
              <w:fldChar w:fldCharType="end"/>
            </w:r>
          </w:hyperlink>
        </w:p>
        <w:p w:rsidR="00D16C5A" w:rsidRPr="00B32F0C" w:rsidRDefault="00164577">
          <w:pPr>
            <w:pStyle w:val="TOC1"/>
            <w:tabs>
              <w:tab w:val="right" w:leader="dot" w:pos="9638"/>
            </w:tabs>
            <w:rPr>
              <w:rFonts w:ascii="Times New Roman" w:eastAsiaTheme="minorEastAsia" w:hAnsi="Times New Roman" w:cs="Times New Roman"/>
              <w:b/>
              <w:noProof/>
              <w:sz w:val="23"/>
              <w:szCs w:val="23"/>
            </w:rPr>
          </w:pPr>
          <w:hyperlink w:anchor="_Toc3887237" w:history="1">
            <w:r w:rsidR="00D16C5A" w:rsidRPr="00B32F0C">
              <w:rPr>
                <w:rStyle w:val="Hyperlink"/>
                <w:rFonts w:ascii="Times New Roman" w:hAnsi="Times New Roman" w:cs="Times New Roman"/>
                <w:b/>
                <w:noProof/>
                <w:sz w:val="23"/>
                <w:szCs w:val="23"/>
              </w:rPr>
              <w:t>4.0 – Agency Findings</w:t>
            </w:r>
            <w:r w:rsidR="00D16C5A" w:rsidRPr="00B32F0C">
              <w:rPr>
                <w:rFonts w:ascii="Times New Roman" w:hAnsi="Times New Roman" w:cs="Times New Roman"/>
                <w:b/>
                <w:noProof/>
                <w:webHidden/>
                <w:sz w:val="23"/>
                <w:szCs w:val="23"/>
              </w:rPr>
              <w:tab/>
            </w:r>
            <w:r w:rsidR="00D16C5A" w:rsidRPr="00B32F0C">
              <w:rPr>
                <w:rFonts w:ascii="Times New Roman" w:hAnsi="Times New Roman" w:cs="Times New Roman"/>
                <w:b/>
                <w:noProof/>
                <w:webHidden/>
                <w:sz w:val="23"/>
                <w:szCs w:val="23"/>
              </w:rPr>
              <w:fldChar w:fldCharType="begin"/>
            </w:r>
            <w:r w:rsidR="00D16C5A" w:rsidRPr="00B32F0C">
              <w:rPr>
                <w:rFonts w:ascii="Times New Roman" w:hAnsi="Times New Roman" w:cs="Times New Roman"/>
                <w:b/>
                <w:noProof/>
                <w:webHidden/>
                <w:sz w:val="23"/>
                <w:szCs w:val="23"/>
              </w:rPr>
              <w:instrText xml:space="preserve"> PAGEREF _Toc3887237 \h </w:instrText>
            </w:r>
            <w:r w:rsidR="00D16C5A" w:rsidRPr="00B32F0C">
              <w:rPr>
                <w:rFonts w:ascii="Times New Roman" w:hAnsi="Times New Roman" w:cs="Times New Roman"/>
                <w:b/>
                <w:noProof/>
                <w:webHidden/>
                <w:sz w:val="23"/>
                <w:szCs w:val="23"/>
              </w:rPr>
            </w:r>
            <w:r w:rsidR="00D16C5A" w:rsidRPr="00B32F0C">
              <w:rPr>
                <w:rFonts w:ascii="Times New Roman" w:hAnsi="Times New Roman" w:cs="Times New Roman"/>
                <w:b/>
                <w:noProof/>
                <w:webHidden/>
                <w:sz w:val="23"/>
                <w:szCs w:val="23"/>
              </w:rPr>
              <w:fldChar w:fldCharType="separate"/>
            </w:r>
            <w:r w:rsidR="00F13A53" w:rsidRPr="00B32F0C">
              <w:rPr>
                <w:rFonts w:ascii="Times New Roman" w:hAnsi="Times New Roman" w:cs="Times New Roman"/>
                <w:b/>
                <w:noProof/>
                <w:webHidden/>
                <w:sz w:val="23"/>
                <w:szCs w:val="23"/>
              </w:rPr>
              <w:t>5</w:t>
            </w:r>
            <w:r w:rsidR="00D16C5A" w:rsidRPr="00B32F0C">
              <w:rPr>
                <w:rFonts w:ascii="Times New Roman" w:hAnsi="Times New Roman" w:cs="Times New Roman"/>
                <w:b/>
                <w:noProof/>
                <w:webHidden/>
                <w:sz w:val="23"/>
                <w:szCs w:val="23"/>
              </w:rPr>
              <w:fldChar w:fldCharType="end"/>
            </w:r>
          </w:hyperlink>
        </w:p>
        <w:p w:rsidR="00D16C5A" w:rsidRPr="00B32F0C" w:rsidRDefault="00164577">
          <w:pPr>
            <w:pStyle w:val="TOC1"/>
            <w:tabs>
              <w:tab w:val="right" w:leader="dot" w:pos="9638"/>
            </w:tabs>
            <w:rPr>
              <w:rFonts w:ascii="Times New Roman" w:eastAsiaTheme="minorEastAsia" w:hAnsi="Times New Roman" w:cs="Times New Roman"/>
              <w:b/>
              <w:noProof/>
              <w:sz w:val="23"/>
              <w:szCs w:val="23"/>
            </w:rPr>
          </w:pPr>
          <w:hyperlink w:anchor="_Toc3887238" w:history="1">
            <w:r w:rsidR="00D16C5A" w:rsidRPr="00B32F0C">
              <w:rPr>
                <w:rStyle w:val="Hyperlink"/>
                <w:rFonts w:ascii="Times New Roman" w:hAnsi="Times New Roman" w:cs="Times New Roman"/>
                <w:b/>
                <w:noProof/>
                <w:sz w:val="23"/>
                <w:szCs w:val="23"/>
              </w:rPr>
              <w:t>5.0 – Actions Taken or Planned</w:t>
            </w:r>
            <w:r w:rsidR="00D16C5A" w:rsidRPr="00B32F0C">
              <w:rPr>
                <w:rFonts w:ascii="Times New Roman" w:hAnsi="Times New Roman" w:cs="Times New Roman"/>
                <w:b/>
                <w:noProof/>
                <w:webHidden/>
                <w:sz w:val="23"/>
                <w:szCs w:val="23"/>
              </w:rPr>
              <w:tab/>
            </w:r>
            <w:r w:rsidR="00D16C5A" w:rsidRPr="00B32F0C">
              <w:rPr>
                <w:rFonts w:ascii="Times New Roman" w:hAnsi="Times New Roman" w:cs="Times New Roman"/>
                <w:b/>
                <w:noProof/>
                <w:webHidden/>
                <w:sz w:val="23"/>
                <w:szCs w:val="23"/>
              </w:rPr>
              <w:fldChar w:fldCharType="begin"/>
            </w:r>
            <w:r w:rsidR="00D16C5A" w:rsidRPr="00B32F0C">
              <w:rPr>
                <w:rFonts w:ascii="Times New Roman" w:hAnsi="Times New Roman" w:cs="Times New Roman"/>
                <w:b/>
                <w:noProof/>
                <w:webHidden/>
                <w:sz w:val="23"/>
                <w:szCs w:val="23"/>
              </w:rPr>
              <w:instrText xml:space="preserve"> PAGEREF _Toc3887238 \h </w:instrText>
            </w:r>
            <w:r w:rsidR="00D16C5A" w:rsidRPr="00B32F0C">
              <w:rPr>
                <w:rFonts w:ascii="Times New Roman" w:hAnsi="Times New Roman" w:cs="Times New Roman"/>
                <w:b/>
                <w:noProof/>
                <w:webHidden/>
                <w:sz w:val="23"/>
                <w:szCs w:val="23"/>
              </w:rPr>
            </w:r>
            <w:r w:rsidR="00D16C5A" w:rsidRPr="00B32F0C">
              <w:rPr>
                <w:rFonts w:ascii="Times New Roman" w:hAnsi="Times New Roman" w:cs="Times New Roman"/>
                <w:b/>
                <w:noProof/>
                <w:webHidden/>
                <w:sz w:val="23"/>
                <w:szCs w:val="23"/>
              </w:rPr>
              <w:fldChar w:fldCharType="separate"/>
            </w:r>
            <w:r w:rsidR="00F13A53" w:rsidRPr="00B32F0C">
              <w:rPr>
                <w:rFonts w:ascii="Times New Roman" w:hAnsi="Times New Roman" w:cs="Times New Roman"/>
                <w:b/>
                <w:noProof/>
                <w:webHidden/>
                <w:sz w:val="23"/>
                <w:szCs w:val="23"/>
              </w:rPr>
              <w:t>7</w:t>
            </w:r>
            <w:r w:rsidR="00D16C5A" w:rsidRPr="00B32F0C">
              <w:rPr>
                <w:rFonts w:ascii="Times New Roman" w:hAnsi="Times New Roman" w:cs="Times New Roman"/>
                <w:b/>
                <w:noProof/>
                <w:webHidden/>
                <w:sz w:val="23"/>
                <w:szCs w:val="23"/>
              </w:rPr>
              <w:fldChar w:fldCharType="end"/>
            </w:r>
          </w:hyperlink>
        </w:p>
        <w:p w:rsidR="00D16C5A" w:rsidRPr="00B32F0C" w:rsidRDefault="00164577">
          <w:pPr>
            <w:pStyle w:val="TOC1"/>
            <w:tabs>
              <w:tab w:val="right" w:leader="dot" w:pos="9638"/>
            </w:tabs>
            <w:rPr>
              <w:rFonts w:ascii="Times New Roman" w:eastAsiaTheme="minorEastAsia" w:hAnsi="Times New Roman" w:cs="Times New Roman"/>
              <w:b/>
              <w:noProof/>
              <w:sz w:val="23"/>
              <w:szCs w:val="23"/>
            </w:rPr>
          </w:pPr>
          <w:hyperlink w:anchor="_Toc3887239" w:history="1">
            <w:r w:rsidR="00D16C5A" w:rsidRPr="00B32F0C">
              <w:rPr>
                <w:rStyle w:val="Hyperlink"/>
                <w:rFonts w:ascii="Times New Roman" w:hAnsi="Times New Roman" w:cs="Times New Roman"/>
                <w:b/>
                <w:noProof/>
                <w:sz w:val="23"/>
                <w:szCs w:val="23"/>
              </w:rPr>
              <w:t>6.0 – Conclusion</w:t>
            </w:r>
            <w:r w:rsidR="00D16C5A" w:rsidRPr="00B32F0C">
              <w:rPr>
                <w:rFonts w:ascii="Times New Roman" w:hAnsi="Times New Roman" w:cs="Times New Roman"/>
                <w:b/>
                <w:noProof/>
                <w:webHidden/>
                <w:sz w:val="23"/>
                <w:szCs w:val="23"/>
              </w:rPr>
              <w:tab/>
            </w:r>
            <w:r w:rsidR="00D16C5A" w:rsidRPr="00B32F0C">
              <w:rPr>
                <w:rFonts w:ascii="Times New Roman" w:hAnsi="Times New Roman" w:cs="Times New Roman"/>
                <w:b/>
                <w:noProof/>
                <w:webHidden/>
                <w:sz w:val="23"/>
                <w:szCs w:val="23"/>
              </w:rPr>
              <w:fldChar w:fldCharType="begin"/>
            </w:r>
            <w:r w:rsidR="00D16C5A" w:rsidRPr="00B32F0C">
              <w:rPr>
                <w:rFonts w:ascii="Times New Roman" w:hAnsi="Times New Roman" w:cs="Times New Roman"/>
                <w:b/>
                <w:noProof/>
                <w:webHidden/>
                <w:sz w:val="23"/>
                <w:szCs w:val="23"/>
              </w:rPr>
              <w:instrText xml:space="preserve"> PAGEREF _Toc3887239 \h </w:instrText>
            </w:r>
            <w:r w:rsidR="00D16C5A" w:rsidRPr="00B32F0C">
              <w:rPr>
                <w:rFonts w:ascii="Times New Roman" w:hAnsi="Times New Roman" w:cs="Times New Roman"/>
                <w:b/>
                <w:noProof/>
                <w:webHidden/>
                <w:sz w:val="23"/>
                <w:szCs w:val="23"/>
              </w:rPr>
            </w:r>
            <w:r w:rsidR="00D16C5A" w:rsidRPr="00B32F0C">
              <w:rPr>
                <w:rFonts w:ascii="Times New Roman" w:hAnsi="Times New Roman" w:cs="Times New Roman"/>
                <w:b/>
                <w:noProof/>
                <w:webHidden/>
                <w:sz w:val="23"/>
                <w:szCs w:val="23"/>
              </w:rPr>
              <w:fldChar w:fldCharType="separate"/>
            </w:r>
            <w:r w:rsidR="00F13A53" w:rsidRPr="00B32F0C">
              <w:rPr>
                <w:rFonts w:ascii="Times New Roman" w:hAnsi="Times New Roman" w:cs="Times New Roman"/>
                <w:b/>
                <w:noProof/>
                <w:webHidden/>
                <w:sz w:val="23"/>
                <w:szCs w:val="23"/>
              </w:rPr>
              <w:t>9</w:t>
            </w:r>
            <w:r w:rsidR="00D16C5A" w:rsidRPr="00B32F0C">
              <w:rPr>
                <w:rFonts w:ascii="Times New Roman" w:hAnsi="Times New Roman" w:cs="Times New Roman"/>
                <w:b/>
                <w:noProof/>
                <w:webHidden/>
                <w:sz w:val="23"/>
                <w:szCs w:val="23"/>
              </w:rPr>
              <w:fldChar w:fldCharType="end"/>
            </w:r>
          </w:hyperlink>
        </w:p>
        <w:p w:rsidR="00D16C5A" w:rsidRDefault="00164577">
          <w:pPr>
            <w:pStyle w:val="TOC1"/>
            <w:tabs>
              <w:tab w:val="right" w:leader="dot" w:pos="9638"/>
            </w:tabs>
            <w:rPr>
              <w:rFonts w:ascii="Times New Roman" w:hAnsi="Times New Roman" w:cs="Times New Roman"/>
              <w:b/>
              <w:noProof/>
              <w:sz w:val="23"/>
              <w:szCs w:val="23"/>
            </w:rPr>
          </w:pPr>
          <w:hyperlink w:anchor="_Toc3887240" w:history="1">
            <w:r w:rsidR="00D16C5A" w:rsidRPr="00B32F0C">
              <w:rPr>
                <w:rStyle w:val="Hyperlink"/>
                <w:rFonts w:ascii="Times New Roman" w:hAnsi="Times New Roman" w:cs="Times New Roman"/>
                <w:b/>
                <w:noProof/>
                <w:sz w:val="23"/>
                <w:szCs w:val="23"/>
              </w:rPr>
              <w:t>7.0 – Accountable Official:</w:t>
            </w:r>
            <w:r w:rsidR="00D16C5A" w:rsidRPr="00B32F0C">
              <w:rPr>
                <w:rFonts w:ascii="Times New Roman" w:hAnsi="Times New Roman" w:cs="Times New Roman"/>
                <w:b/>
                <w:noProof/>
                <w:webHidden/>
                <w:sz w:val="23"/>
                <w:szCs w:val="23"/>
              </w:rPr>
              <w:tab/>
            </w:r>
            <w:r w:rsidR="00D16C5A" w:rsidRPr="00B32F0C">
              <w:rPr>
                <w:rFonts w:ascii="Times New Roman" w:hAnsi="Times New Roman" w:cs="Times New Roman"/>
                <w:b/>
                <w:noProof/>
                <w:webHidden/>
                <w:sz w:val="23"/>
                <w:szCs w:val="23"/>
              </w:rPr>
              <w:fldChar w:fldCharType="begin"/>
            </w:r>
            <w:r w:rsidR="00D16C5A" w:rsidRPr="00B32F0C">
              <w:rPr>
                <w:rFonts w:ascii="Times New Roman" w:hAnsi="Times New Roman" w:cs="Times New Roman"/>
                <w:b/>
                <w:noProof/>
                <w:webHidden/>
                <w:sz w:val="23"/>
                <w:szCs w:val="23"/>
              </w:rPr>
              <w:instrText xml:space="preserve"> PAGEREF _Toc3887240 \h </w:instrText>
            </w:r>
            <w:r w:rsidR="00D16C5A" w:rsidRPr="00B32F0C">
              <w:rPr>
                <w:rFonts w:ascii="Times New Roman" w:hAnsi="Times New Roman" w:cs="Times New Roman"/>
                <w:b/>
                <w:noProof/>
                <w:webHidden/>
                <w:sz w:val="23"/>
                <w:szCs w:val="23"/>
              </w:rPr>
            </w:r>
            <w:r w:rsidR="00D16C5A" w:rsidRPr="00B32F0C">
              <w:rPr>
                <w:rFonts w:ascii="Times New Roman" w:hAnsi="Times New Roman" w:cs="Times New Roman"/>
                <w:b/>
                <w:noProof/>
                <w:webHidden/>
                <w:sz w:val="23"/>
                <w:szCs w:val="23"/>
              </w:rPr>
              <w:fldChar w:fldCharType="separate"/>
            </w:r>
            <w:r w:rsidR="00F13A53" w:rsidRPr="00B32F0C">
              <w:rPr>
                <w:rFonts w:ascii="Times New Roman" w:hAnsi="Times New Roman" w:cs="Times New Roman"/>
                <w:b/>
                <w:noProof/>
                <w:webHidden/>
                <w:sz w:val="23"/>
                <w:szCs w:val="23"/>
              </w:rPr>
              <w:t>9</w:t>
            </w:r>
            <w:r w:rsidR="00D16C5A" w:rsidRPr="00B32F0C">
              <w:rPr>
                <w:rFonts w:ascii="Times New Roman" w:hAnsi="Times New Roman" w:cs="Times New Roman"/>
                <w:b/>
                <w:noProof/>
                <w:webHidden/>
                <w:sz w:val="23"/>
                <w:szCs w:val="23"/>
              </w:rPr>
              <w:fldChar w:fldCharType="end"/>
            </w:r>
          </w:hyperlink>
        </w:p>
        <w:p w:rsidR="005E1F70" w:rsidRPr="005E1F70" w:rsidRDefault="00164577" w:rsidP="005E1F70">
          <w:pPr>
            <w:pStyle w:val="TOC1"/>
            <w:tabs>
              <w:tab w:val="right" w:leader="dot" w:pos="9638"/>
            </w:tabs>
            <w:rPr>
              <w:rFonts w:ascii="Times New Roman" w:eastAsiaTheme="minorEastAsia" w:hAnsi="Times New Roman" w:cs="Times New Roman"/>
              <w:noProof/>
            </w:rPr>
          </w:pPr>
          <w:hyperlink w:anchor="_Toc3887240" w:history="1">
            <w:r w:rsidR="005E1F70">
              <w:rPr>
                <w:rStyle w:val="Hyperlink"/>
                <w:rFonts w:ascii="Times New Roman" w:hAnsi="Times New Roman" w:cs="Times New Roman"/>
                <w:b/>
                <w:noProof/>
                <w:sz w:val="23"/>
                <w:szCs w:val="23"/>
              </w:rPr>
              <w:t>8</w:t>
            </w:r>
            <w:r w:rsidR="005E1F70" w:rsidRPr="00B32F0C">
              <w:rPr>
                <w:rStyle w:val="Hyperlink"/>
                <w:rFonts w:ascii="Times New Roman" w:hAnsi="Times New Roman" w:cs="Times New Roman"/>
                <w:b/>
                <w:noProof/>
                <w:sz w:val="23"/>
                <w:szCs w:val="23"/>
              </w:rPr>
              <w:t xml:space="preserve">.0 – </w:t>
            </w:r>
            <w:r w:rsidR="005E1F70">
              <w:rPr>
                <w:rStyle w:val="Hyperlink"/>
                <w:rFonts w:ascii="Times New Roman" w:hAnsi="Times New Roman" w:cs="Times New Roman"/>
                <w:b/>
                <w:noProof/>
                <w:sz w:val="23"/>
                <w:szCs w:val="23"/>
              </w:rPr>
              <w:t>Attachments</w:t>
            </w:r>
            <w:r w:rsidR="005E1F70" w:rsidRPr="00B32F0C">
              <w:rPr>
                <w:rStyle w:val="Hyperlink"/>
                <w:rFonts w:ascii="Times New Roman" w:hAnsi="Times New Roman" w:cs="Times New Roman"/>
                <w:b/>
                <w:noProof/>
                <w:sz w:val="23"/>
                <w:szCs w:val="23"/>
              </w:rPr>
              <w:t>:</w:t>
            </w:r>
            <w:r w:rsidR="005E1F70" w:rsidRPr="00B32F0C">
              <w:rPr>
                <w:rFonts w:ascii="Times New Roman" w:hAnsi="Times New Roman" w:cs="Times New Roman"/>
                <w:b/>
                <w:noProof/>
                <w:webHidden/>
                <w:sz w:val="23"/>
                <w:szCs w:val="23"/>
              </w:rPr>
              <w:tab/>
            </w:r>
            <w:r w:rsidR="005E1F70">
              <w:rPr>
                <w:rFonts w:ascii="Times New Roman" w:hAnsi="Times New Roman" w:cs="Times New Roman"/>
                <w:b/>
                <w:noProof/>
                <w:webHidden/>
                <w:sz w:val="23"/>
                <w:szCs w:val="23"/>
              </w:rPr>
              <w:t>9</w:t>
            </w:r>
          </w:hyperlink>
        </w:p>
        <w:p w:rsidR="00D16C5A" w:rsidRDefault="00D16C5A">
          <w:r w:rsidRPr="00F13A53">
            <w:rPr>
              <w:rFonts w:ascii="Times New Roman" w:hAnsi="Times New Roman" w:cs="Times New Roman"/>
              <w:b/>
              <w:bCs/>
              <w:noProof/>
            </w:rPr>
            <w:fldChar w:fldCharType="end"/>
          </w:r>
        </w:p>
      </w:sdtContent>
    </w:sdt>
    <w:p w:rsidR="00A51139" w:rsidRDefault="00A51139">
      <w:pPr>
        <w:rPr>
          <w:b/>
          <w:bCs/>
          <w:noProof/>
        </w:rPr>
      </w:pPr>
    </w:p>
    <w:p w:rsidR="00D16C5A" w:rsidRDefault="00D16C5A">
      <w:pPr>
        <w:rPr>
          <w:rFonts w:ascii="Times New Roman Bold" w:eastAsia="Times New Roman" w:hAnsi="Times New Roman Bold" w:cs="Arial"/>
          <w:b/>
          <w:bCs/>
          <w:caps/>
          <w:kern w:val="32"/>
        </w:rPr>
      </w:pPr>
      <w:bookmarkStart w:id="0" w:name="_Toc3887233"/>
      <w:r>
        <w:br w:type="page"/>
      </w:r>
    </w:p>
    <w:p w:rsidR="00F13A53" w:rsidRDefault="00F13A53" w:rsidP="00A51139">
      <w:pPr>
        <w:pStyle w:val="Heading1"/>
        <w:numPr>
          <w:ilvl w:val="0"/>
          <w:numId w:val="0"/>
        </w:numPr>
        <w:ind w:left="720" w:hanging="720"/>
        <w:sectPr w:rsidR="00F13A53" w:rsidSect="00920D27">
          <w:headerReference w:type="even" r:id="rId9"/>
          <w:headerReference w:type="default" r:id="rId10"/>
          <w:footerReference w:type="even" r:id="rId11"/>
          <w:footerReference w:type="default" r:id="rId12"/>
          <w:pgSz w:w="12240" w:h="15840"/>
          <w:pgMar w:top="1152" w:right="1296" w:bottom="1152" w:left="1296" w:header="720" w:footer="720" w:gutter="0"/>
          <w:pgNumType w:start="1"/>
          <w:cols w:space="720"/>
          <w:docGrid w:linePitch="360"/>
        </w:sectPr>
      </w:pPr>
    </w:p>
    <w:p w:rsidR="00CF1262" w:rsidRPr="00160973" w:rsidRDefault="00CF1262" w:rsidP="00A51139">
      <w:pPr>
        <w:pStyle w:val="Heading1"/>
        <w:numPr>
          <w:ilvl w:val="0"/>
          <w:numId w:val="0"/>
        </w:numPr>
        <w:ind w:left="720" w:hanging="720"/>
      </w:pPr>
      <w:r w:rsidRPr="00160973">
        <w:t>Executive Summary</w:t>
      </w:r>
      <w:bookmarkEnd w:id="0"/>
    </w:p>
    <w:p w:rsidR="00CF1262" w:rsidRPr="00160973" w:rsidRDefault="00CF1262" w:rsidP="00CF1262">
      <w:pPr>
        <w:spacing w:line="240" w:lineRule="auto"/>
        <w:rPr>
          <w:rFonts w:ascii="Times New Roman" w:hAnsi="Times New Roman" w:cs="Times New Roman"/>
          <w:sz w:val="23"/>
          <w:szCs w:val="23"/>
        </w:rPr>
      </w:pPr>
      <w:r w:rsidRPr="00160973">
        <w:rPr>
          <w:rFonts w:ascii="Times New Roman" w:hAnsi="Times New Roman" w:cs="Times New Roman"/>
          <w:sz w:val="23"/>
          <w:szCs w:val="23"/>
        </w:rPr>
        <w:t>Section 743 of Division C of the Fiscal Year (FY) 2010 Consolidated Appropriations Act, Pub. L. 111-117 requires civilian agencies to prepare an annual invento</w:t>
      </w:r>
      <w:r w:rsidR="0027405C">
        <w:rPr>
          <w:rFonts w:ascii="Times New Roman" w:hAnsi="Times New Roman" w:cs="Times New Roman"/>
          <w:sz w:val="23"/>
          <w:szCs w:val="23"/>
        </w:rPr>
        <w:t>ry of their service contracts.</w:t>
      </w:r>
      <w:r w:rsidRPr="00160973">
        <w:rPr>
          <w:rFonts w:ascii="Times New Roman" w:hAnsi="Times New Roman" w:cs="Times New Roman"/>
          <w:sz w:val="23"/>
          <w:szCs w:val="23"/>
        </w:rPr>
        <w:t xml:space="preserve">  </w:t>
      </w:r>
    </w:p>
    <w:p w:rsidR="00CF1262" w:rsidRPr="00160973" w:rsidRDefault="00CF1262" w:rsidP="00CF1262">
      <w:pPr>
        <w:spacing w:line="240" w:lineRule="auto"/>
        <w:rPr>
          <w:rFonts w:ascii="Times New Roman" w:hAnsi="Times New Roman" w:cs="Times New Roman"/>
          <w:sz w:val="23"/>
          <w:szCs w:val="23"/>
        </w:rPr>
      </w:pPr>
      <w:r w:rsidRPr="00160973">
        <w:rPr>
          <w:rFonts w:ascii="Times New Roman" w:hAnsi="Times New Roman" w:cs="Times New Roman"/>
          <w:sz w:val="23"/>
          <w:szCs w:val="23"/>
        </w:rPr>
        <w:t>The Department of Transportation (DOT) conduct</w:t>
      </w:r>
      <w:r w:rsidR="00375D3C">
        <w:rPr>
          <w:rFonts w:ascii="Times New Roman" w:hAnsi="Times New Roman" w:cs="Times New Roman"/>
          <w:sz w:val="23"/>
          <w:szCs w:val="23"/>
        </w:rPr>
        <w:t xml:space="preserve">ed its annual SCI for FY 2017. </w:t>
      </w:r>
      <w:r w:rsidR="005B773F">
        <w:rPr>
          <w:rFonts w:ascii="Times New Roman" w:hAnsi="Times New Roman" w:cs="Times New Roman"/>
          <w:sz w:val="23"/>
          <w:szCs w:val="23"/>
        </w:rPr>
        <w:t xml:space="preserve"> </w:t>
      </w:r>
      <w:r w:rsidRPr="00160973">
        <w:rPr>
          <w:rFonts w:ascii="Times New Roman" w:hAnsi="Times New Roman" w:cs="Times New Roman"/>
          <w:sz w:val="23"/>
          <w:szCs w:val="23"/>
        </w:rPr>
        <w:t xml:space="preserve">DOT continues its efforts to improve the management of service contracts and utilizes information gathered during this process to assess successes and areas for additional opportunities.  DOT is committed to driving on-going initiatives and efforts to cut waste and reduce unnecessary spending, while delivering efficient and effective service to its stakeholders, manage service contracts more effectively and to proactively find cost savings without adversely affecting the mission as a top priority. </w:t>
      </w:r>
    </w:p>
    <w:p w:rsidR="00375D3C" w:rsidRDefault="00CF1262" w:rsidP="00CF1262">
      <w:pPr>
        <w:spacing w:line="240" w:lineRule="auto"/>
        <w:rPr>
          <w:rFonts w:ascii="Times New Roman" w:hAnsi="Times New Roman" w:cs="Times New Roman"/>
          <w:sz w:val="23"/>
          <w:szCs w:val="23"/>
        </w:rPr>
      </w:pPr>
      <w:r w:rsidRPr="00160973">
        <w:rPr>
          <w:rFonts w:ascii="Times New Roman" w:hAnsi="Times New Roman" w:cs="Times New Roman"/>
          <w:sz w:val="23"/>
          <w:szCs w:val="23"/>
        </w:rPr>
        <w:t xml:space="preserve">In FY 2017, DOT obligated $6.367 billion dollars on all contracts for goods and services. </w:t>
      </w:r>
      <w:r w:rsidRPr="00160973">
        <w:rPr>
          <w:rFonts w:ascii="Times New Roman" w:hAnsi="Times New Roman" w:cs="Times New Roman"/>
          <w:color w:val="FF0000"/>
          <w:sz w:val="23"/>
          <w:szCs w:val="23"/>
        </w:rPr>
        <w:t xml:space="preserve"> </w:t>
      </w:r>
      <w:r w:rsidRPr="00160973">
        <w:rPr>
          <w:rFonts w:ascii="Times New Roman" w:hAnsi="Times New Roman" w:cs="Times New Roman"/>
          <w:sz w:val="23"/>
          <w:szCs w:val="23"/>
        </w:rPr>
        <w:t xml:space="preserve">Of that amount, </w:t>
      </w:r>
      <w:r w:rsidR="00426A97" w:rsidRPr="00426A97">
        <w:rPr>
          <w:rFonts w:ascii="Times New Roman" w:hAnsi="Times New Roman" w:cs="Times New Roman"/>
          <w:sz w:val="23"/>
          <w:szCs w:val="23"/>
        </w:rPr>
        <w:t>$5.461</w:t>
      </w:r>
      <w:r w:rsidRPr="00160973">
        <w:rPr>
          <w:rFonts w:ascii="Times New Roman" w:hAnsi="Times New Roman" w:cs="Times New Roman"/>
          <w:sz w:val="23"/>
          <w:szCs w:val="23"/>
        </w:rPr>
        <w:t xml:space="preserve"> billion was obligated on service contracts, and $1.089 billion dollars was obligated to the OMB-selected management support services as spend categories denoted by </w:t>
      </w:r>
      <w:r w:rsidR="00E67747">
        <w:rPr>
          <w:rFonts w:ascii="Times New Roman" w:hAnsi="Times New Roman" w:cs="Times New Roman"/>
          <w:sz w:val="23"/>
          <w:szCs w:val="23"/>
        </w:rPr>
        <w:t>16</w:t>
      </w:r>
      <w:r w:rsidRPr="00160973">
        <w:rPr>
          <w:rFonts w:ascii="Times New Roman" w:hAnsi="Times New Roman" w:cs="Times New Roman"/>
          <w:sz w:val="23"/>
          <w:szCs w:val="23"/>
        </w:rPr>
        <w:t xml:space="preserve"> Federal Product Service Codes (PSC). </w:t>
      </w:r>
      <w:r w:rsidR="005B773F">
        <w:rPr>
          <w:rFonts w:ascii="Times New Roman" w:hAnsi="Times New Roman" w:cs="Times New Roman"/>
          <w:sz w:val="23"/>
          <w:szCs w:val="23"/>
        </w:rPr>
        <w:t xml:space="preserve"> </w:t>
      </w:r>
      <w:r w:rsidRPr="00160973">
        <w:rPr>
          <w:rFonts w:ascii="Times New Roman" w:hAnsi="Times New Roman" w:cs="Times New Roman"/>
          <w:sz w:val="23"/>
          <w:szCs w:val="23"/>
        </w:rPr>
        <w:t xml:space="preserve">DOT conducted a detailed review of its FY 2017 SCI and presents the results herein.  </w:t>
      </w:r>
    </w:p>
    <w:p w:rsidR="00CF1262" w:rsidRPr="00160973" w:rsidRDefault="00375D3C" w:rsidP="00CF1262">
      <w:pPr>
        <w:spacing w:line="240" w:lineRule="auto"/>
        <w:rPr>
          <w:rFonts w:ascii="Times New Roman" w:hAnsi="Times New Roman" w:cs="Times New Roman"/>
          <w:sz w:val="23"/>
          <w:szCs w:val="23"/>
        </w:rPr>
      </w:pPr>
      <w:r>
        <w:rPr>
          <w:rFonts w:ascii="Times New Roman" w:hAnsi="Times New Roman" w:cs="Times New Roman"/>
          <w:sz w:val="23"/>
          <w:szCs w:val="23"/>
        </w:rPr>
        <w:t xml:space="preserve">Overall, DOT’s analysis revealed </w:t>
      </w:r>
      <w:r>
        <w:rPr>
          <w:rFonts w:ascii="Times New Roman" w:hAnsi="Times New Roman" w:cs="Times New Roman"/>
          <w:bCs/>
          <w:sz w:val="23"/>
          <w:szCs w:val="23"/>
        </w:rPr>
        <w:t xml:space="preserve">appropriate balancing of contracted efforts and </w:t>
      </w:r>
      <w:r w:rsidRPr="00160973">
        <w:rPr>
          <w:rFonts w:ascii="Times New Roman" w:hAnsi="Times New Roman" w:cs="Times New Roman"/>
          <w:bCs/>
          <w:sz w:val="23"/>
          <w:szCs w:val="23"/>
        </w:rPr>
        <w:t>agency resources to effectively manage and oversee contracts</w:t>
      </w:r>
      <w:r>
        <w:rPr>
          <w:rFonts w:ascii="Times New Roman" w:hAnsi="Times New Roman" w:cs="Times New Roman"/>
          <w:bCs/>
          <w:sz w:val="23"/>
          <w:szCs w:val="23"/>
        </w:rPr>
        <w:t xml:space="preserve">. There were only limited instances in which personal services were being performed under DOT contracts – and all were being performed based on appropriate statutory authority. Additionally, there were no </w:t>
      </w:r>
      <w:r w:rsidR="005B773F">
        <w:rPr>
          <w:rFonts w:ascii="Times New Roman" w:hAnsi="Times New Roman" w:cs="Times New Roman"/>
          <w:bCs/>
          <w:sz w:val="23"/>
          <w:szCs w:val="23"/>
        </w:rPr>
        <w:t xml:space="preserve">contracts </w:t>
      </w:r>
      <w:r>
        <w:rPr>
          <w:rFonts w:ascii="Times New Roman" w:hAnsi="Times New Roman" w:cs="Times New Roman"/>
          <w:bCs/>
          <w:sz w:val="23"/>
          <w:szCs w:val="23"/>
        </w:rPr>
        <w:t>identified where inherently governmental or closely associated to inherently governmental functions were being performed under DOT contracts, and very limited circumstances where critical functions were being performed under contracts.</w:t>
      </w:r>
    </w:p>
    <w:p w:rsidR="00CF1262" w:rsidRPr="00160973" w:rsidRDefault="00CF1262" w:rsidP="00CF1262">
      <w:pPr>
        <w:rPr>
          <w:rFonts w:ascii="Times New Roman" w:hAnsi="Times New Roman" w:cs="Times New Roman"/>
          <w:sz w:val="23"/>
          <w:szCs w:val="23"/>
        </w:rPr>
      </w:pPr>
    </w:p>
    <w:p w:rsidR="00CF1262" w:rsidRPr="00160973" w:rsidRDefault="00CF1262">
      <w:pPr>
        <w:rPr>
          <w:rFonts w:ascii="Times New Roman" w:hAnsi="Times New Roman" w:cs="Times New Roman"/>
          <w:b/>
          <w:sz w:val="23"/>
          <w:szCs w:val="23"/>
        </w:rPr>
      </w:pPr>
      <w:r w:rsidRPr="00160973">
        <w:rPr>
          <w:rFonts w:ascii="Times New Roman" w:hAnsi="Times New Roman" w:cs="Times New Roman"/>
          <w:b/>
          <w:sz w:val="23"/>
          <w:szCs w:val="23"/>
        </w:rPr>
        <w:br w:type="page"/>
      </w:r>
    </w:p>
    <w:p w:rsidR="00027331" w:rsidRPr="00160973" w:rsidRDefault="001A67A4" w:rsidP="00222A70">
      <w:pPr>
        <w:pStyle w:val="Heading1"/>
        <w:numPr>
          <w:ilvl w:val="0"/>
          <w:numId w:val="0"/>
        </w:numPr>
      </w:pPr>
      <w:bookmarkStart w:id="1" w:name="_Toc3887234"/>
      <w:r w:rsidRPr="00160973">
        <w:t xml:space="preserve">1.0 – </w:t>
      </w:r>
      <w:r w:rsidR="00027331" w:rsidRPr="00160973">
        <w:t>Introduction</w:t>
      </w:r>
      <w:r w:rsidR="00803E34" w:rsidRPr="00160973">
        <w:t>/Background</w:t>
      </w:r>
      <w:bookmarkEnd w:id="1"/>
    </w:p>
    <w:p w:rsidR="005A7D27" w:rsidRPr="00160973" w:rsidRDefault="005A7D27" w:rsidP="00645F91">
      <w:pPr>
        <w:spacing w:line="240" w:lineRule="auto"/>
        <w:rPr>
          <w:rFonts w:ascii="Times New Roman" w:hAnsi="Times New Roman" w:cs="Times New Roman"/>
          <w:sz w:val="23"/>
          <w:szCs w:val="23"/>
        </w:rPr>
      </w:pPr>
      <w:r w:rsidRPr="00160973">
        <w:rPr>
          <w:rFonts w:ascii="Times New Roman" w:hAnsi="Times New Roman" w:cs="Times New Roman"/>
          <w:sz w:val="23"/>
          <w:szCs w:val="23"/>
        </w:rPr>
        <w:t>Section 743 of Division C of the F</w:t>
      </w:r>
      <w:r w:rsidR="00803E34" w:rsidRPr="00160973">
        <w:rPr>
          <w:rFonts w:ascii="Times New Roman" w:hAnsi="Times New Roman" w:cs="Times New Roman"/>
          <w:sz w:val="23"/>
          <w:szCs w:val="23"/>
        </w:rPr>
        <w:t xml:space="preserve">iscal </w:t>
      </w:r>
      <w:r w:rsidRPr="00160973">
        <w:rPr>
          <w:rFonts w:ascii="Times New Roman" w:hAnsi="Times New Roman" w:cs="Times New Roman"/>
          <w:sz w:val="23"/>
          <w:szCs w:val="23"/>
        </w:rPr>
        <w:t>Y</w:t>
      </w:r>
      <w:r w:rsidR="00803E34" w:rsidRPr="00160973">
        <w:rPr>
          <w:rFonts w:ascii="Times New Roman" w:hAnsi="Times New Roman" w:cs="Times New Roman"/>
          <w:sz w:val="23"/>
          <w:szCs w:val="23"/>
        </w:rPr>
        <w:t>ear (FY)</w:t>
      </w:r>
      <w:r w:rsidRPr="00160973">
        <w:rPr>
          <w:rFonts w:ascii="Times New Roman" w:hAnsi="Times New Roman" w:cs="Times New Roman"/>
          <w:sz w:val="23"/>
          <w:szCs w:val="23"/>
        </w:rPr>
        <w:t xml:space="preserve"> 2010 Consolidated Appropriations Act, </w:t>
      </w:r>
      <w:bookmarkStart w:id="2" w:name="_Hlk2866397"/>
      <w:r w:rsidRPr="00160973">
        <w:rPr>
          <w:rFonts w:ascii="Times New Roman" w:hAnsi="Times New Roman" w:cs="Times New Roman"/>
          <w:sz w:val="23"/>
          <w:szCs w:val="23"/>
        </w:rPr>
        <w:t>Public Law 111-117</w:t>
      </w:r>
      <w:bookmarkEnd w:id="2"/>
      <w:r w:rsidR="009C5F38">
        <w:rPr>
          <w:rFonts w:ascii="Times New Roman" w:hAnsi="Times New Roman" w:cs="Times New Roman"/>
          <w:sz w:val="23"/>
          <w:szCs w:val="23"/>
        </w:rPr>
        <w:t>,</w:t>
      </w:r>
      <w:r w:rsidR="00743461" w:rsidRPr="00160973">
        <w:rPr>
          <w:rStyle w:val="FootnoteReference"/>
          <w:rFonts w:ascii="Times New Roman" w:hAnsi="Times New Roman" w:cs="Times New Roman"/>
          <w:sz w:val="23"/>
          <w:szCs w:val="23"/>
        </w:rPr>
        <w:footnoteReference w:id="1"/>
      </w:r>
      <w:r w:rsidRPr="00160973">
        <w:rPr>
          <w:rFonts w:ascii="Times New Roman" w:hAnsi="Times New Roman" w:cs="Times New Roman"/>
          <w:sz w:val="23"/>
          <w:szCs w:val="23"/>
        </w:rPr>
        <w:t xml:space="preserve"> requires civilian agencies to prepare an annual inventory of their service contracts.  </w:t>
      </w:r>
      <w:r w:rsidR="0027405C">
        <w:rPr>
          <w:rFonts w:ascii="Times New Roman" w:hAnsi="Times New Roman" w:cs="Times New Roman"/>
          <w:sz w:val="23"/>
          <w:szCs w:val="23"/>
        </w:rPr>
        <w:t xml:space="preserve">In </w:t>
      </w:r>
      <w:r w:rsidR="00803E34" w:rsidRPr="00160973">
        <w:rPr>
          <w:rFonts w:ascii="Times New Roman" w:hAnsi="Times New Roman" w:cs="Times New Roman"/>
          <w:sz w:val="23"/>
          <w:szCs w:val="23"/>
        </w:rPr>
        <w:t xml:space="preserve">2011, </w:t>
      </w:r>
      <w:r w:rsidRPr="00160973">
        <w:rPr>
          <w:rFonts w:ascii="Times New Roman" w:hAnsi="Times New Roman" w:cs="Times New Roman"/>
          <w:sz w:val="23"/>
          <w:szCs w:val="23"/>
        </w:rPr>
        <w:t xml:space="preserve">the Office of Management and Budget (OMB) issued a memorandum </w:t>
      </w:r>
      <w:r w:rsidR="003E36C7" w:rsidRPr="00160973">
        <w:rPr>
          <w:rFonts w:ascii="Times New Roman" w:hAnsi="Times New Roman" w:cs="Times New Roman"/>
          <w:sz w:val="23"/>
          <w:szCs w:val="23"/>
        </w:rPr>
        <w:t>entitled “Service Contract Inventories</w:t>
      </w:r>
      <w:r w:rsidR="0027405C">
        <w:rPr>
          <w:rFonts w:ascii="Times New Roman" w:hAnsi="Times New Roman" w:cs="Times New Roman"/>
          <w:sz w:val="23"/>
          <w:szCs w:val="23"/>
        </w:rPr>
        <w:t>”</w:t>
      </w:r>
      <w:r w:rsidR="003E36C7" w:rsidRPr="00160973">
        <w:rPr>
          <w:rFonts w:ascii="Times New Roman" w:hAnsi="Times New Roman" w:cs="Times New Roman"/>
          <w:sz w:val="23"/>
          <w:szCs w:val="23"/>
        </w:rPr>
        <w:t xml:space="preserve"> to</w:t>
      </w:r>
      <w:r w:rsidRPr="00160973">
        <w:rPr>
          <w:rFonts w:ascii="Times New Roman" w:hAnsi="Times New Roman" w:cs="Times New Roman"/>
          <w:sz w:val="23"/>
          <w:szCs w:val="23"/>
        </w:rPr>
        <w:t xml:space="preserve"> Chief Acquisition Officer</w:t>
      </w:r>
      <w:r w:rsidR="00C5733E" w:rsidRPr="00160973">
        <w:rPr>
          <w:rFonts w:ascii="Times New Roman" w:hAnsi="Times New Roman" w:cs="Times New Roman"/>
          <w:sz w:val="23"/>
          <w:szCs w:val="23"/>
        </w:rPr>
        <w:t>s</w:t>
      </w:r>
      <w:r w:rsidRPr="00160973">
        <w:rPr>
          <w:rFonts w:ascii="Times New Roman" w:hAnsi="Times New Roman" w:cs="Times New Roman"/>
          <w:sz w:val="23"/>
          <w:szCs w:val="23"/>
        </w:rPr>
        <w:t xml:space="preserve"> (CAO) and Senior Procurement Executive</w:t>
      </w:r>
      <w:r w:rsidR="003E36C7" w:rsidRPr="00160973">
        <w:rPr>
          <w:rFonts w:ascii="Times New Roman" w:hAnsi="Times New Roman" w:cs="Times New Roman"/>
          <w:sz w:val="23"/>
          <w:szCs w:val="23"/>
        </w:rPr>
        <w:t>s</w:t>
      </w:r>
      <w:r w:rsidRPr="00160973">
        <w:rPr>
          <w:rFonts w:ascii="Times New Roman" w:hAnsi="Times New Roman" w:cs="Times New Roman"/>
          <w:sz w:val="23"/>
          <w:szCs w:val="23"/>
        </w:rPr>
        <w:t xml:space="preserve"> (SPE), providing specific guidance for developing, analyzing, and reporting on the</w:t>
      </w:r>
      <w:r w:rsidR="00933288" w:rsidRPr="00160973">
        <w:rPr>
          <w:rFonts w:ascii="Times New Roman" w:hAnsi="Times New Roman" w:cs="Times New Roman"/>
          <w:sz w:val="23"/>
          <w:szCs w:val="23"/>
        </w:rPr>
        <w:t xml:space="preserve">ir agency’s </w:t>
      </w:r>
      <w:r w:rsidRPr="00160973">
        <w:rPr>
          <w:rFonts w:ascii="Times New Roman" w:hAnsi="Times New Roman" w:cs="Times New Roman"/>
          <w:sz w:val="23"/>
          <w:szCs w:val="23"/>
        </w:rPr>
        <w:t>Service Contract Inventory (SCI)</w:t>
      </w:r>
      <w:r w:rsidR="0027405C">
        <w:rPr>
          <w:rFonts w:ascii="Times New Roman" w:hAnsi="Times New Roman" w:cs="Times New Roman"/>
          <w:sz w:val="23"/>
          <w:szCs w:val="23"/>
        </w:rPr>
        <w:t>. Additionally, OMB issues guidance to agencies on documenting the results of its analysis.</w:t>
      </w:r>
    </w:p>
    <w:p w:rsidR="00C225E2" w:rsidRPr="00160973" w:rsidRDefault="00933288" w:rsidP="00645F91">
      <w:pPr>
        <w:spacing w:line="240" w:lineRule="auto"/>
        <w:rPr>
          <w:rFonts w:ascii="Times New Roman" w:hAnsi="Times New Roman" w:cs="Times New Roman"/>
          <w:sz w:val="23"/>
          <w:szCs w:val="23"/>
        </w:rPr>
      </w:pPr>
      <w:r w:rsidRPr="00160973">
        <w:rPr>
          <w:rFonts w:ascii="Times New Roman" w:hAnsi="Times New Roman" w:cs="Times New Roman"/>
          <w:sz w:val="23"/>
          <w:szCs w:val="23"/>
        </w:rPr>
        <w:t xml:space="preserve">Based on these requirements, </w:t>
      </w:r>
      <w:r w:rsidR="002E774C" w:rsidRPr="00160973">
        <w:rPr>
          <w:rFonts w:ascii="Times New Roman" w:hAnsi="Times New Roman" w:cs="Times New Roman"/>
          <w:sz w:val="23"/>
          <w:szCs w:val="23"/>
        </w:rPr>
        <w:t>the Department of Transportation (</w:t>
      </w:r>
      <w:r w:rsidRPr="00160973">
        <w:rPr>
          <w:rFonts w:ascii="Times New Roman" w:hAnsi="Times New Roman" w:cs="Times New Roman"/>
          <w:sz w:val="23"/>
          <w:szCs w:val="23"/>
        </w:rPr>
        <w:t>DOT</w:t>
      </w:r>
      <w:r w:rsidR="002E774C" w:rsidRPr="00160973">
        <w:rPr>
          <w:rFonts w:ascii="Times New Roman" w:hAnsi="Times New Roman" w:cs="Times New Roman"/>
          <w:sz w:val="23"/>
          <w:szCs w:val="23"/>
        </w:rPr>
        <w:t>)</w:t>
      </w:r>
      <w:r w:rsidRPr="00160973">
        <w:rPr>
          <w:rFonts w:ascii="Times New Roman" w:hAnsi="Times New Roman" w:cs="Times New Roman"/>
          <w:sz w:val="23"/>
          <w:szCs w:val="23"/>
        </w:rPr>
        <w:t xml:space="preserve"> conducted its annual SCI for FY 2017.  </w:t>
      </w:r>
      <w:r w:rsidR="00DF693D" w:rsidRPr="00160973">
        <w:rPr>
          <w:rFonts w:ascii="Times New Roman" w:hAnsi="Times New Roman" w:cs="Times New Roman"/>
          <w:sz w:val="23"/>
          <w:szCs w:val="23"/>
        </w:rPr>
        <w:t xml:space="preserve">DOT </w:t>
      </w:r>
      <w:r w:rsidRPr="00160973">
        <w:rPr>
          <w:rFonts w:ascii="Times New Roman" w:hAnsi="Times New Roman" w:cs="Times New Roman"/>
          <w:sz w:val="23"/>
          <w:szCs w:val="23"/>
        </w:rPr>
        <w:t>continues its efforts to</w:t>
      </w:r>
      <w:r w:rsidR="00DF693D" w:rsidRPr="00160973">
        <w:rPr>
          <w:rFonts w:ascii="Times New Roman" w:hAnsi="Times New Roman" w:cs="Times New Roman"/>
          <w:sz w:val="23"/>
          <w:szCs w:val="23"/>
        </w:rPr>
        <w:t xml:space="preserve"> improve the management of service contracts</w:t>
      </w:r>
      <w:r w:rsidRPr="00160973">
        <w:rPr>
          <w:rFonts w:ascii="Times New Roman" w:hAnsi="Times New Roman" w:cs="Times New Roman"/>
          <w:sz w:val="23"/>
          <w:szCs w:val="23"/>
        </w:rPr>
        <w:t xml:space="preserve"> and utilizes information gathered during this process to assess successes and areas </w:t>
      </w:r>
      <w:r w:rsidR="002E774C" w:rsidRPr="00160973">
        <w:rPr>
          <w:rFonts w:ascii="Times New Roman" w:hAnsi="Times New Roman" w:cs="Times New Roman"/>
          <w:sz w:val="23"/>
          <w:szCs w:val="23"/>
        </w:rPr>
        <w:t>for</w:t>
      </w:r>
      <w:r w:rsidRPr="00160973">
        <w:rPr>
          <w:rFonts w:ascii="Times New Roman" w:hAnsi="Times New Roman" w:cs="Times New Roman"/>
          <w:sz w:val="23"/>
          <w:szCs w:val="23"/>
        </w:rPr>
        <w:t xml:space="preserve"> additional </w:t>
      </w:r>
      <w:r w:rsidR="002E774C" w:rsidRPr="00160973">
        <w:rPr>
          <w:rFonts w:ascii="Times New Roman" w:hAnsi="Times New Roman" w:cs="Times New Roman"/>
          <w:sz w:val="23"/>
          <w:szCs w:val="23"/>
        </w:rPr>
        <w:t>opportunities</w:t>
      </w:r>
      <w:r w:rsidRPr="00160973">
        <w:rPr>
          <w:rFonts w:ascii="Times New Roman" w:hAnsi="Times New Roman" w:cs="Times New Roman"/>
          <w:sz w:val="23"/>
          <w:szCs w:val="23"/>
        </w:rPr>
        <w:t>.</w:t>
      </w:r>
      <w:r w:rsidR="00DF693D" w:rsidRPr="00160973">
        <w:rPr>
          <w:rFonts w:ascii="Times New Roman" w:hAnsi="Times New Roman" w:cs="Times New Roman"/>
          <w:sz w:val="23"/>
          <w:szCs w:val="23"/>
        </w:rPr>
        <w:t xml:space="preserve">  DOT </w:t>
      </w:r>
      <w:r w:rsidR="002E774C" w:rsidRPr="00160973">
        <w:rPr>
          <w:rFonts w:ascii="Times New Roman" w:hAnsi="Times New Roman" w:cs="Times New Roman"/>
          <w:sz w:val="23"/>
          <w:szCs w:val="23"/>
        </w:rPr>
        <w:t>is committed to driving o</w:t>
      </w:r>
      <w:r w:rsidR="00DF693D" w:rsidRPr="00160973">
        <w:rPr>
          <w:rFonts w:ascii="Times New Roman" w:hAnsi="Times New Roman" w:cs="Times New Roman"/>
          <w:sz w:val="23"/>
          <w:szCs w:val="23"/>
        </w:rPr>
        <w:t>n</w:t>
      </w:r>
      <w:r w:rsidR="002E774C" w:rsidRPr="00160973">
        <w:rPr>
          <w:rFonts w:ascii="Times New Roman" w:hAnsi="Times New Roman" w:cs="Times New Roman"/>
          <w:sz w:val="23"/>
          <w:szCs w:val="23"/>
        </w:rPr>
        <w:t>-</w:t>
      </w:r>
      <w:r w:rsidR="00DF693D" w:rsidRPr="00160973">
        <w:rPr>
          <w:rFonts w:ascii="Times New Roman" w:hAnsi="Times New Roman" w:cs="Times New Roman"/>
          <w:sz w:val="23"/>
          <w:szCs w:val="23"/>
        </w:rPr>
        <w:t xml:space="preserve">going initiatives and efforts to cut waste </w:t>
      </w:r>
      <w:r w:rsidR="002E774C" w:rsidRPr="00160973">
        <w:rPr>
          <w:rFonts w:ascii="Times New Roman" w:hAnsi="Times New Roman" w:cs="Times New Roman"/>
          <w:sz w:val="23"/>
          <w:szCs w:val="23"/>
        </w:rPr>
        <w:t xml:space="preserve">and reduce unnecessary spending, </w:t>
      </w:r>
      <w:r w:rsidR="00DF693D" w:rsidRPr="00160973">
        <w:rPr>
          <w:rFonts w:ascii="Times New Roman" w:hAnsi="Times New Roman" w:cs="Times New Roman"/>
          <w:sz w:val="23"/>
          <w:szCs w:val="23"/>
        </w:rPr>
        <w:t>while delivering efficient and effective service to its</w:t>
      </w:r>
      <w:r w:rsidRPr="00160973">
        <w:rPr>
          <w:rFonts w:ascii="Times New Roman" w:hAnsi="Times New Roman" w:cs="Times New Roman"/>
          <w:sz w:val="23"/>
          <w:szCs w:val="23"/>
        </w:rPr>
        <w:t xml:space="preserve"> stakeholders</w:t>
      </w:r>
      <w:r w:rsidR="00DF693D" w:rsidRPr="00160973">
        <w:rPr>
          <w:rFonts w:ascii="Times New Roman" w:hAnsi="Times New Roman" w:cs="Times New Roman"/>
          <w:sz w:val="23"/>
          <w:szCs w:val="23"/>
        </w:rPr>
        <w:t xml:space="preserve">, </w:t>
      </w:r>
      <w:r w:rsidR="009C5F38" w:rsidRPr="00160973">
        <w:rPr>
          <w:rFonts w:ascii="Times New Roman" w:hAnsi="Times New Roman" w:cs="Times New Roman"/>
          <w:sz w:val="23"/>
          <w:szCs w:val="23"/>
        </w:rPr>
        <w:t>manag</w:t>
      </w:r>
      <w:r w:rsidR="009C5F38">
        <w:rPr>
          <w:rFonts w:ascii="Times New Roman" w:hAnsi="Times New Roman" w:cs="Times New Roman"/>
          <w:sz w:val="23"/>
          <w:szCs w:val="23"/>
        </w:rPr>
        <w:t>ing</w:t>
      </w:r>
      <w:r w:rsidR="009C5F38" w:rsidRPr="00160973">
        <w:rPr>
          <w:rFonts w:ascii="Times New Roman" w:hAnsi="Times New Roman" w:cs="Times New Roman"/>
          <w:sz w:val="23"/>
          <w:szCs w:val="23"/>
        </w:rPr>
        <w:t xml:space="preserve"> </w:t>
      </w:r>
      <w:r w:rsidR="00DF693D" w:rsidRPr="00160973">
        <w:rPr>
          <w:rFonts w:ascii="Times New Roman" w:hAnsi="Times New Roman" w:cs="Times New Roman"/>
          <w:sz w:val="23"/>
          <w:szCs w:val="23"/>
        </w:rPr>
        <w:t>service contracts more effectively and proactively find</w:t>
      </w:r>
      <w:r w:rsidR="009C5F38">
        <w:rPr>
          <w:rFonts w:ascii="Times New Roman" w:hAnsi="Times New Roman" w:cs="Times New Roman"/>
          <w:sz w:val="23"/>
          <w:szCs w:val="23"/>
        </w:rPr>
        <w:t>ing</w:t>
      </w:r>
      <w:r w:rsidR="00DF693D" w:rsidRPr="00160973">
        <w:rPr>
          <w:rFonts w:ascii="Times New Roman" w:hAnsi="Times New Roman" w:cs="Times New Roman"/>
          <w:sz w:val="23"/>
          <w:szCs w:val="23"/>
        </w:rPr>
        <w:t xml:space="preserve"> cost savings without adversely affecting the mission </w:t>
      </w:r>
      <w:r w:rsidR="002E774C" w:rsidRPr="00160973">
        <w:rPr>
          <w:rFonts w:ascii="Times New Roman" w:hAnsi="Times New Roman" w:cs="Times New Roman"/>
          <w:sz w:val="23"/>
          <w:szCs w:val="23"/>
        </w:rPr>
        <w:t>as</w:t>
      </w:r>
      <w:r w:rsidR="00DF693D" w:rsidRPr="00160973">
        <w:rPr>
          <w:rFonts w:ascii="Times New Roman" w:hAnsi="Times New Roman" w:cs="Times New Roman"/>
          <w:sz w:val="23"/>
          <w:szCs w:val="23"/>
        </w:rPr>
        <w:t xml:space="preserve"> a top priority. </w:t>
      </w:r>
    </w:p>
    <w:p w:rsidR="004417D1" w:rsidRPr="00160973" w:rsidRDefault="00DA7BC7" w:rsidP="00645F91">
      <w:pPr>
        <w:spacing w:line="240" w:lineRule="auto"/>
        <w:rPr>
          <w:rFonts w:ascii="Times New Roman" w:hAnsi="Times New Roman" w:cs="Times New Roman"/>
          <w:sz w:val="23"/>
          <w:szCs w:val="23"/>
        </w:rPr>
      </w:pPr>
      <w:r w:rsidRPr="00160973">
        <w:rPr>
          <w:rFonts w:ascii="Times New Roman" w:hAnsi="Times New Roman" w:cs="Times New Roman"/>
          <w:sz w:val="23"/>
          <w:szCs w:val="23"/>
        </w:rPr>
        <w:t>In FY 2017, DOT obligated $6.367 billion dollars on all contracts for goods and services</w:t>
      </w:r>
      <w:r w:rsidR="006370E8" w:rsidRPr="00160973">
        <w:rPr>
          <w:rFonts w:ascii="Times New Roman" w:hAnsi="Times New Roman" w:cs="Times New Roman"/>
          <w:sz w:val="23"/>
          <w:szCs w:val="23"/>
        </w:rPr>
        <w:t>.</w:t>
      </w:r>
      <w:r w:rsidR="006370E8" w:rsidRPr="00160973">
        <w:rPr>
          <w:rStyle w:val="FootnoteReference"/>
          <w:rFonts w:ascii="Times New Roman" w:hAnsi="Times New Roman" w:cs="Times New Roman"/>
          <w:sz w:val="23"/>
          <w:szCs w:val="23"/>
        </w:rPr>
        <w:footnoteReference w:id="2"/>
      </w:r>
      <w:r w:rsidRPr="00160973">
        <w:rPr>
          <w:rFonts w:ascii="Times New Roman" w:hAnsi="Times New Roman" w:cs="Times New Roman"/>
          <w:sz w:val="23"/>
          <w:szCs w:val="23"/>
        </w:rPr>
        <w:t xml:space="preserve"> </w:t>
      </w:r>
      <w:r w:rsidRPr="00160973">
        <w:rPr>
          <w:rFonts w:ascii="Times New Roman" w:hAnsi="Times New Roman" w:cs="Times New Roman"/>
          <w:color w:val="FF0000"/>
          <w:sz w:val="23"/>
          <w:szCs w:val="23"/>
        </w:rPr>
        <w:t xml:space="preserve">  </w:t>
      </w:r>
      <w:r w:rsidRPr="00160973">
        <w:rPr>
          <w:rFonts w:ascii="Times New Roman" w:hAnsi="Times New Roman" w:cs="Times New Roman"/>
          <w:sz w:val="23"/>
          <w:szCs w:val="23"/>
        </w:rPr>
        <w:t>Of that amount</w:t>
      </w:r>
      <w:r w:rsidR="00933288" w:rsidRPr="00160973">
        <w:rPr>
          <w:rFonts w:ascii="Times New Roman" w:hAnsi="Times New Roman" w:cs="Times New Roman"/>
          <w:sz w:val="23"/>
          <w:szCs w:val="23"/>
        </w:rPr>
        <w:t>,</w:t>
      </w:r>
      <w:r w:rsidRPr="00160973">
        <w:rPr>
          <w:rFonts w:ascii="Times New Roman" w:hAnsi="Times New Roman" w:cs="Times New Roman"/>
          <w:sz w:val="23"/>
          <w:szCs w:val="23"/>
        </w:rPr>
        <w:t xml:space="preserve"> </w:t>
      </w:r>
      <w:r w:rsidRPr="00D15A24">
        <w:rPr>
          <w:rFonts w:ascii="Times New Roman" w:hAnsi="Times New Roman" w:cs="Times New Roman"/>
          <w:sz w:val="23"/>
          <w:szCs w:val="23"/>
        </w:rPr>
        <w:t xml:space="preserve">approximately </w:t>
      </w:r>
      <w:r w:rsidR="003906B1" w:rsidRPr="003906B1">
        <w:rPr>
          <w:rFonts w:ascii="Times New Roman" w:hAnsi="Times New Roman" w:cs="Times New Roman"/>
          <w:sz w:val="23"/>
          <w:szCs w:val="23"/>
        </w:rPr>
        <w:t>86</w:t>
      </w:r>
      <w:r w:rsidRPr="003906B1">
        <w:rPr>
          <w:rFonts w:ascii="Times New Roman" w:hAnsi="Times New Roman" w:cs="Times New Roman"/>
          <w:sz w:val="23"/>
          <w:szCs w:val="23"/>
        </w:rPr>
        <w:t xml:space="preserve">% </w:t>
      </w:r>
      <w:r w:rsidRPr="00EA6913">
        <w:rPr>
          <w:rFonts w:ascii="Times New Roman" w:hAnsi="Times New Roman" w:cs="Times New Roman"/>
          <w:sz w:val="23"/>
          <w:szCs w:val="23"/>
        </w:rPr>
        <w:t>or $</w:t>
      </w:r>
      <w:r w:rsidR="00EA6913" w:rsidRPr="00EA6913">
        <w:rPr>
          <w:rFonts w:ascii="Times New Roman" w:hAnsi="Times New Roman" w:cs="Times New Roman"/>
          <w:sz w:val="23"/>
          <w:szCs w:val="23"/>
        </w:rPr>
        <w:t>5</w:t>
      </w:r>
      <w:r w:rsidRPr="00EA6913">
        <w:rPr>
          <w:rFonts w:ascii="Times New Roman" w:hAnsi="Times New Roman" w:cs="Times New Roman"/>
          <w:sz w:val="23"/>
          <w:szCs w:val="23"/>
        </w:rPr>
        <w:t>.</w:t>
      </w:r>
      <w:r w:rsidR="00EA6913" w:rsidRPr="00EA6913">
        <w:rPr>
          <w:rFonts w:ascii="Times New Roman" w:hAnsi="Times New Roman" w:cs="Times New Roman"/>
          <w:sz w:val="23"/>
          <w:szCs w:val="23"/>
        </w:rPr>
        <w:t>461</w:t>
      </w:r>
      <w:r w:rsidRPr="00EA6913">
        <w:rPr>
          <w:rFonts w:ascii="Times New Roman" w:hAnsi="Times New Roman" w:cs="Times New Roman"/>
          <w:sz w:val="23"/>
          <w:szCs w:val="23"/>
        </w:rPr>
        <w:t xml:space="preserve"> billion</w:t>
      </w:r>
      <w:r w:rsidRPr="00D15A24">
        <w:rPr>
          <w:rFonts w:ascii="Times New Roman" w:hAnsi="Times New Roman" w:cs="Times New Roman"/>
          <w:sz w:val="23"/>
          <w:szCs w:val="23"/>
        </w:rPr>
        <w:t xml:space="preserve"> was obligated on service contracts</w:t>
      </w:r>
      <w:r w:rsidR="006716B5" w:rsidRPr="00D15A24">
        <w:rPr>
          <w:rFonts w:ascii="Times New Roman" w:hAnsi="Times New Roman" w:cs="Times New Roman"/>
          <w:sz w:val="23"/>
          <w:szCs w:val="23"/>
        </w:rPr>
        <w:t>,</w:t>
      </w:r>
      <w:r w:rsidRPr="00160973">
        <w:rPr>
          <w:rFonts w:ascii="Times New Roman" w:hAnsi="Times New Roman" w:cs="Times New Roman"/>
          <w:sz w:val="23"/>
          <w:szCs w:val="23"/>
        </w:rPr>
        <w:t xml:space="preserve"> </w:t>
      </w:r>
      <w:r w:rsidR="006716B5" w:rsidRPr="00160973">
        <w:rPr>
          <w:rFonts w:ascii="Times New Roman" w:hAnsi="Times New Roman" w:cs="Times New Roman"/>
          <w:sz w:val="23"/>
          <w:szCs w:val="23"/>
        </w:rPr>
        <w:t>a</w:t>
      </w:r>
      <w:r w:rsidR="00DC3B2F" w:rsidRPr="00160973">
        <w:rPr>
          <w:rFonts w:ascii="Times New Roman" w:hAnsi="Times New Roman" w:cs="Times New Roman"/>
          <w:sz w:val="23"/>
          <w:szCs w:val="23"/>
        </w:rPr>
        <w:t xml:space="preserve">nd </w:t>
      </w:r>
      <w:r w:rsidR="00B547F2" w:rsidRPr="00160973">
        <w:rPr>
          <w:rFonts w:ascii="Times New Roman" w:hAnsi="Times New Roman" w:cs="Times New Roman"/>
          <w:sz w:val="23"/>
          <w:szCs w:val="23"/>
        </w:rPr>
        <w:t xml:space="preserve">17% or $1.089 billion dollars was obligated </w:t>
      </w:r>
      <w:r w:rsidR="00460A30" w:rsidRPr="00160973">
        <w:rPr>
          <w:rFonts w:ascii="Times New Roman" w:hAnsi="Times New Roman" w:cs="Times New Roman"/>
          <w:sz w:val="23"/>
          <w:szCs w:val="23"/>
        </w:rPr>
        <w:t>to</w:t>
      </w:r>
      <w:r w:rsidR="00B547F2" w:rsidRPr="00160973">
        <w:rPr>
          <w:rFonts w:ascii="Times New Roman" w:hAnsi="Times New Roman" w:cs="Times New Roman"/>
          <w:sz w:val="23"/>
          <w:szCs w:val="23"/>
        </w:rPr>
        <w:t xml:space="preserve"> the OMB-selected management s</w:t>
      </w:r>
      <w:r w:rsidRPr="00160973">
        <w:rPr>
          <w:rFonts w:ascii="Times New Roman" w:hAnsi="Times New Roman" w:cs="Times New Roman"/>
          <w:sz w:val="23"/>
          <w:szCs w:val="23"/>
        </w:rPr>
        <w:t xml:space="preserve">upport </w:t>
      </w:r>
      <w:r w:rsidR="00B547F2" w:rsidRPr="00160973">
        <w:rPr>
          <w:rFonts w:ascii="Times New Roman" w:hAnsi="Times New Roman" w:cs="Times New Roman"/>
          <w:sz w:val="23"/>
          <w:szCs w:val="23"/>
        </w:rPr>
        <w:t>s</w:t>
      </w:r>
      <w:r w:rsidRPr="00160973">
        <w:rPr>
          <w:rFonts w:ascii="Times New Roman" w:hAnsi="Times New Roman" w:cs="Times New Roman"/>
          <w:sz w:val="23"/>
          <w:szCs w:val="23"/>
        </w:rPr>
        <w:t>ervices</w:t>
      </w:r>
      <w:r w:rsidR="006716B5" w:rsidRPr="00160973">
        <w:rPr>
          <w:rFonts w:ascii="Times New Roman" w:hAnsi="Times New Roman" w:cs="Times New Roman"/>
          <w:sz w:val="23"/>
          <w:szCs w:val="23"/>
        </w:rPr>
        <w:t xml:space="preserve"> as spend categories denoted by </w:t>
      </w:r>
      <w:r w:rsidR="00460A30" w:rsidRPr="00160973">
        <w:rPr>
          <w:rFonts w:ascii="Times New Roman" w:hAnsi="Times New Roman" w:cs="Times New Roman"/>
          <w:sz w:val="23"/>
          <w:szCs w:val="23"/>
        </w:rPr>
        <w:t>1</w:t>
      </w:r>
      <w:r w:rsidR="00775653">
        <w:rPr>
          <w:rFonts w:ascii="Times New Roman" w:hAnsi="Times New Roman" w:cs="Times New Roman"/>
          <w:sz w:val="23"/>
          <w:szCs w:val="23"/>
        </w:rPr>
        <w:t>6</w:t>
      </w:r>
      <w:r w:rsidR="002E774C" w:rsidRPr="00160973">
        <w:rPr>
          <w:rFonts w:ascii="Times New Roman" w:hAnsi="Times New Roman" w:cs="Times New Roman"/>
          <w:sz w:val="23"/>
          <w:szCs w:val="23"/>
        </w:rPr>
        <w:t xml:space="preserve"> Federal </w:t>
      </w:r>
      <w:hyperlink r:id="rId13" w:history="1">
        <w:r w:rsidR="002E774C" w:rsidRPr="00160973">
          <w:rPr>
            <w:rStyle w:val="Hyperlink"/>
            <w:rFonts w:ascii="Times New Roman" w:hAnsi="Times New Roman" w:cs="Times New Roman"/>
            <w:sz w:val="23"/>
            <w:szCs w:val="23"/>
          </w:rPr>
          <w:t>Product Service Codes</w:t>
        </w:r>
      </w:hyperlink>
      <w:r w:rsidR="002E774C" w:rsidRPr="00160973">
        <w:rPr>
          <w:rFonts w:ascii="Times New Roman" w:hAnsi="Times New Roman" w:cs="Times New Roman"/>
          <w:sz w:val="23"/>
          <w:szCs w:val="23"/>
        </w:rPr>
        <w:t xml:space="preserve"> (PSC)</w:t>
      </w:r>
      <w:r w:rsidR="002E774C" w:rsidRPr="00160973">
        <w:rPr>
          <w:rStyle w:val="FootnoteReference"/>
          <w:rFonts w:ascii="Times New Roman" w:hAnsi="Times New Roman" w:cs="Times New Roman"/>
          <w:sz w:val="23"/>
          <w:szCs w:val="23"/>
        </w:rPr>
        <w:footnoteReference w:id="3"/>
      </w:r>
      <w:r w:rsidR="006716B5" w:rsidRPr="00160973">
        <w:rPr>
          <w:rFonts w:ascii="Times New Roman" w:hAnsi="Times New Roman" w:cs="Times New Roman"/>
          <w:sz w:val="23"/>
          <w:szCs w:val="23"/>
        </w:rPr>
        <w:t>.</w:t>
      </w:r>
      <w:r w:rsidR="00B547F2" w:rsidRPr="00160973">
        <w:rPr>
          <w:rFonts w:ascii="Times New Roman" w:hAnsi="Times New Roman" w:cs="Times New Roman"/>
          <w:sz w:val="23"/>
          <w:szCs w:val="23"/>
        </w:rPr>
        <w:t xml:space="preserve"> </w:t>
      </w:r>
      <w:r w:rsidR="006716B5" w:rsidRPr="00160973">
        <w:rPr>
          <w:rFonts w:ascii="Times New Roman" w:hAnsi="Times New Roman" w:cs="Times New Roman"/>
          <w:sz w:val="23"/>
          <w:szCs w:val="23"/>
        </w:rPr>
        <w:t>Considering the high dollar value DOT spends on service contracts, DOT conducted a detailed review of its FY 2017 SCI and presents the results below.</w:t>
      </w:r>
    </w:p>
    <w:p w:rsidR="003B4FF5" w:rsidRPr="00160973" w:rsidRDefault="001A67A4" w:rsidP="00222A70">
      <w:pPr>
        <w:pStyle w:val="Heading1"/>
        <w:numPr>
          <w:ilvl w:val="0"/>
          <w:numId w:val="0"/>
        </w:numPr>
        <w:ind w:left="720" w:hanging="720"/>
      </w:pPr>
      <w:bookmarkStart w:id="3" w:name="_Toc3887235"/>
      <w:r w:rsidRPr="00160973">
        <w:t xml:space="preserve">2.0 – </w:t>
      </w:r>
      <w:r w:rsidR="003B4FF5" w:rsidRPr="00160973">
        <w:t>Scope</w:t>
      </w:r>
      <w:bookmarkEnd w:id="3"/>
    </w:p>
    <w:p w:rsidR="008206D3" w:rsidRDefault="0078152E" w:rsidP="00891C04">
      <w:pPr>
        <w:spacing w:after="0" w:line="240" w:lineRule="auto"/>
        <w:rPr>
          <w:rFonts w:ascii="Times New Roman" w:hAnsi="Times New Roman" w:cs="Times New Roman"/>
          <w:sz w:val="23"/>
          <w:szCs w:val="23"/>
        </w:rPr>
      </w:pPr>
      <w:r w:rsidRPr="00160973">
        <w:rPr>
          <w:rFonts w:ascii="Times New Roman" w:hAnsi="Times New Roman" w:cs="Times New Roman"/>
          <w:sz w:val="23"/>
          <w:szCs w:val="23"/>
        </w:rPr>
        <w:t xml:space="preserve">DOT conducted an analysis of its </w:t>
      </w:r>
      <w:r w:rsidR="006716B5" w:rsidRPr="00160973">
        <w:rPr>
          <w:rFonts w:ascii="Times New Roman" w:hAnsi="Times New Roman" w:cs="Times New Roman"/>
          <w:sz w:val="23"/>
          <w:szCs w:val="23"/>
        </w:rPr>
        <w:t xml:space="preserve">FY 2017 </w:t>
      </w:r>
      <w:r w:rsidR="00C5733E" w:rsidRPr="00160973">
        <w:rPr>
          <w:rFonts w:ascii="Times New Roman" w:hAnsi="Times New Roman" w:cs="Times New Roman"/>
          <w:sz w:val="23"/>
          <w:szCs w:val="23"/>
        </w:rPr>
        <w:t>SCI</w:t>
      </w:r>
      <w:r w:rsidRPr="00160973">
        <w:rPr>
          <w:rFonts w:ascii="Times New Roman" w:hAnsi="Times New Roman" w:cs="Times New Roman"/>
          <w:sz w:val="23"/>
          <w:szCs w:val="23"/>
        </w:rPr>
        <w:t xml:space="preserve"> to </w:t>
      </w:r>
      <w:r w:rsidR="00067B6D" w:rsidRPr="00160973">
        <w:rPr>
          <w:rFonts w:ascii="Times New Roman" w:hAnsi="Times New Roman" w:cs="Times New Roman"/>
          <w:sz w:val="23"/>
          <w:szCs w:val="23"/>
        </w:rPr>
        <w:t>identify successes and areas for opportunities to better manage its service contracts.  In addit</w:t>
      </w:r>
      <w:r w:rsidR="003263B2" w:rsidRPr="00160973">
        <w:rPr>
          <w:rFonts w:ascii="Times New Roman" w:hAnsi="Times New Roman" w:cs="Times New Roman"/>
          <w:sz w:val="23"/>
          <w:szCs w:val="23"/>
        </w:rPr>
        <w:t xml:space="preserve">ion to the </w:t>
      </w:r>
      <w:r w:rsidR="00067B6D" w:rsidRPr="00160973">
        <w:rPr>
          <w:rFonts w:ascii="Times New Roman" w:hAnsi="Times New Roman" w:cs="Times New Roman"/>
          <w:sz w:val="23"/>
          <w:szCs w:val="23"/>
        </w:rPr>
        <w:t>PSC</w:t>
      </w:r>
      <w:r w:rsidR="003263B2" w:rsidRPr="00160973">
        <w:rPr>
          <w:rFonts w:ascii="Times New Roman" w:hAnsi="Times New Roman" w:cs="Times New Roman"/>
          <w:sz w:val="23"/>
          <w:szCs w:val="23"/>
        </w:rPr>
        <w:t>s</w:t>
      </w:r>
      <w:r w:rsidR="00067B6D" w:rsidRPr="00160973">
        <w:rPr>
          <w:rFonts w:ascii="Times New Roman" w:hAnsi="Times New Roman" w:cs="Times New Roman"/>
          <w:sz w:val="23"/>
          <w:szCs w:val="23"/>
        </w:rPr>
        <w:t xml:space="preserve"> identified by OMB, DOT </w:t>
      </w:r>
      <w:r w:rsidR="003263B2" w:rsidRPr="00160973">
        <w:rPr>
          <w:rFonts w:ascii="Times New Roman" w:hAnsi="Times New Roman" w:cs="Times New Roman"/>
          <w:sz w:val="23"/>
          <w:szCs w:val="23"/>
        </w:rPr>
        <w:t>included</w:t>
      </w:r>
      <w:r w:rsidR="00067B6D" w:rsidRPr="00160973">
        <w:rPr>
          <w:rFonts w:ascii="Times New Roman" w:hAnsi="Times New Roman" w:cs="Times New Roman"/>
          <w:sz w:val="23"/>
          <w:szCs w:val="23"/>
        </w:rPr>
        <w:t xml:space="preserve"> the </w:t>
      </w:r>
      <w:r w:rsidR="006064BC" w:rsidRPr="00160973">
        <w:rPr>
          <w:rFonts w:ascii="Times New Roman" w:hAnsi="Times New Roman" w:cs="Times New Roman"/>
          <w:sz w:val="23"/>
          <w:szCs w:val="23"/>
        </w:rPr>
        <w:t xml:space="preserve">following </w:t>
      </w:r>
      <w:r w:rsidR="00067B6D" w:rsidRPr="00160973">
        <w:rPr>
          <w:rFonts w:ascii="Times New Roman" w:hAnsi="Times New Roman" w:cs="Times New Roman"/>
          <w:sz w:val="23"/>
          <w:szCs w:val="23"/>
        </w:rPr>
        <w:t>additional PSCs</w:t>
      </w:r>
      <w:r w:rsidR="006064BC" w:rsidRPr="00160973">
        <w:rPr>
          <w:rFonts w:ascii="Times New Roman" w:hAnsi="Times New Roman" w:cs="Times New Roman"/>
          <w:sz w:val="23"/>
          <w:szCs w:val="23"/>
        </w:rPr>
        <w:t xml:space="preserve"> per it’s FY 2017 SCI plan</w:t>
      </w:r>
      <w:r w:rsidR="001A117E" w:rsidRPr="00160973">
        <w:rPr>
          <w:rFonts w:ascii="Times New Roman" w:hAnsi="Times New Roman" w:cs="Times New Roman"/>
          <w:sz w:val="23"/>
          <w:szCs w:val="23"/>
        </w:rPr>
        <w:t xml:space="preserve"> (see Attachment No. 1 – DOT FY 2017 SCI Plan):</w:t>
      </w:r>
    </w:p>
    <w:p w:rsidR="00DB4005" w:rsidRDefault="00DB4005" w:rsidP="00891C04">
      <w:pPr>
        <w:spacing w:after="0" w:line="240" w:lineRule="auto"/>
        <w:rPr>
          <w:rFonts w:ascii="Times New Roman" w:hAnsi="Times New Roman" w:cs="Times New Roman"/>
          <w:b/>
          <w:sz w:val="23"/>
          <w:szCs w:val="23"/>
        </w:rPr>
      </w:pPr>
    </w:p>
    <w:p w:rsidR="00B104EC" w:rsidRDefault="007F6EC0" w:rsidP="003821FB">
      <w:pPr>
        <w:spacing w:after="0" w:line="240" w:lineRule="auto"/>
        <w:rPr>
          <w:rFonts w:ascii="Times New Roman" w:hAnsi="Times New Roman" w:cs="Times New Roman"/>
          <w:b/>
          <w:sz w:val="23"/>
          <w:szCs w:val="23"/>
        </w:rPr>
      </w:pPr>
      <w:r w:rsidRPr="00160973">
        <w:rPr>
          <w:rFonts w:ascii="Times New Roman" w:hAnsi="Times New Roman" w:cs="Times New Roman"/>
          <w:b/>
          <w:sz w:val="23"/>
          <w:szCs w:val="23"/>
        </w:rPr>
        <w:t>Table 1: Additional PSCs Identified by DOT for Review</w:t>
      </w:r>
    </w:p>
    <w:p w:rsidR="008206D3" w:rsidRPr="00160973" w:rsidRDefault="008206D3" w:rsidP="003821FB">
      <w:pPr>
        <w:spacing w:after="0" w:line="240" w:lineRule="auto"/>
        <w:rPr>
          <w:rFonts w:ascii="Times New Roman" w:hAnsi="Times New Roman" w:cs="Times New Roman"/>
          <w:b/>
          <w:sz w:val="23"/>
          <w:szCs w:val="23"/>
        </w:rPr>
      </w:pPr>
    </w:p>
    <w:tbl>
      <w:tblPr>
        <w:tblStyle w:val="TableGrid"/>
        <w:tblW w:w="0" w:type="auto"/>
        <w:jc w:val="center"/>
        <w:tblLook w:val="04A0" w:firstRow="1" w:lastRow="0" w:firstColumn="1" w:lastColumn="0" w:noHBand="0" w:noVBand="1"/>
      </w:tblPr>
      <w:tblGrid>
        <w:gridCol w:w="1975"/>
        <w:gridCol w:w="6660"/>
      </w:tblGrid>
      <w:tr w:rsidR="00A24FC3" w:rsidRPr="00160973" w:rsidTr="00920D27">
        <w:trPr>
          <w:jc w:val="center"/>
        </w:trPr>
        <w:tc>
          <w:tcPr>
            <w:tcW w:w="1975" w:type="dxa"/>
            <w:shd w:val="clear" w:color="auto" w:fill="95B3D7" w:themeFill="accent1" w:themeFillTint="99"/>
          </w:tcPr>
          <w:p w:rsidR="00A24FC3" w:rsidRPr="00160973" w:rsidRDefault="00A24FC3" w:rsidP="00A24FC3">
            <w:pPr>
              <w:jc w:val="center"/>
              <w:rPr>
                <w:rFonts w:ascii="Times New Roman" w:hAnsi="Times New Roman" w:cs="Times New Roman"/>
                <w:b/>
                <w:sz w:val="23"/>
                <w:szCs w:val="23"/>
              </w:rPr>
            </w:pPr>
            <w:r w:rsidRPr="00160973">
              <w:rPr>
                <w:rFonts w:ascii="Times New Roman" w:hAnsi="Times New Roman" w:cs="Times New Roman"/>
                <w:b/>
                <w:sz w:val="23"/>
                <w:szCs w:val="23"/>
              </w:rPr>
              <w:t>PSC</w:t>
            </w:r>
          </w:p>
        </w:tc>
        <w:tc>
          <w:tcPr>
            <w:tcW w:w="6660" w:type="dxa"/>
            <w:shd w:val="clear" w:color="auto" w:fill="95B3D7" w:themeFill="accent1" w:themeFillTint="99"/>
          </w:tcPr>
          <w:p w:rsidR="00A24FC3" w:rsidRPr="00160973" w:rsidRDefault="00A24FC3" w:rsidP="00A24FC3">
            <w:pPr>
              <w:jc w:val="center"/>
              <w:rPr>
                <w:rFonts w:ascii="Times New Roman" w:hAnsi="Times New Roman" w:cs="Times New Roman"/>
                <w:b/>
                <w:sz w:val="23"/>
                <w:szCs w:val="23"/>
              </w:rPr>
            </w:pPr>
            <w:r w:rsidRPr="00160973">
              <w:rPr>
                <w:rFonts w:ascii="Times New Roman" w:hAnsi="Times New Roman" w:cs="Times New Roman"/>
                <w:b/>
                <w:sz w:val="23"/>
                <w:szCs w:val="23"/>
              </w:rPr>
              <w:t>PSC Description</w:t>
            </w:r>
          </w:p>
        </w:tc>
      </w:tr>
      <w:tr w:rsidR="00A24FC3" w:rsidRPr="00160973" w:rsidTr="00160973">
        <w:trPr>
          <w:jc w:val="center"/>
        </w:trPr>
        <w:tc>
          <w:tcPr>
            <w:tcW w:w="1975" w:type="dxa"/>
          </w:tcPr>
          <w:p w:rsidR="00A24FC3" w:rsidRPr="00160973" w:rsidRDefault="00A24FC3" w:rsidP="00A24FC3">
            <w:pPr>
              <w:jc w:val="center"/>
              <w:rPr>
                <w:rFonts w:ascii="Times New Roman" w:hAnsi="Times New Roman" w:cs="Times New Roman"/>
                <w:sz w:val="23"/>
                <w:szCs w:val="23"/>
              </w:rPr>
            </w:pPr>
            <w:r w:rsidRPr="00160973">
              <w:rPr>
                <w:rFonts w:ascii="Times New Roman" w:hAnsi="Times New Roman" w:cs="Times New Roman"/>
                <w:sz w:val="23"/>
                <w:szCs w:val="23"/>
              </w:rPr>
              <w:t>D301</w:t>
            </w:r>
          </w:p>
        </w:tc>
        <w:tc>
          <w:tcPr>
            <w:tcW w:w="6660" w:type="dxa"/>
          </w:tcPr>
          <w:p w:rsidR="00A24FC3" w:rsidRPr="00160973" w:rsidRDefault="00A24FC3" w:rsidP="00A24FC3">
            <w:pPr>
              <w:jc w:val="center"/>
              <w:rPr>
                <w:rFonts w:ascii="Times New Roman" w:hAnsi="Times New Roman" w:cs="Times New Roman"/>
                <w:sz w:val="23"/>
                <w:szCs w:val="23"/>
              </w:rPr>
            </w:pPr>
            <w:r w:rsidRPr="00160973">
              <w:rPr>
                <w:rFonts w:ascii="Times New Roman" w:hAnsi="Times New Roman" w:cs="Times New Roman"/>
                <w:sz w:val="23"/>
                <w:szCs w:val="23"/>
              </w:rPr>
              <w:t>IT and Telecom – Facility Operation and Maintenance</w:t>
            </w:r>
          </w:p>
        </w:tc>
      </w:tr>
      <w:tr w:rsidR="00A24FC3" w:rsidRPr="00160973" w:rsidTr="00160973">
        <w:trPr>
          <w:jc w:val="center"/>
        </w:trPr>
        <w:tc>
          <w:tcPr>
            <w:tcW w:w="1975" w:type="dxa"/>
          </w:tcPr>
          <w:p w:rsidR="00A24FC3" w:rsidRPr="00160973" w:rsidRDefault="00A24FC3" w:rsidP="00A24FC3">
            <w:pPr>
              <w:jc w:val="center"/>
              <w:rPr>
                <w:rFonts w:ascii="Times New Roman" w:hAnsi="Times New Roman" w:cs="Times New Roman"/>
                <w:sz w:val="23"/>
                <w:szCs w:val="23"/>
              </w:rPr>
            </w:pPr>
            <w:r w:rsidRPr="00160973">
              <w:rPr>
                <w:rFonts w:ascii="Times New Roman" w:hAnsi="Times New Roman" w:cs="Times New Roman"/>
                <w:sz w:val="23"/>
                <w:szCs w:val="23"/>
              </w:rPr>
              <w:t>D306</w:t>
            </w:r>
          </w:p>
        </w:tc>
        <w:tc>
          <w:tcPr>
            <w:tcW w:w="6660" w:type="dxa"/>
          </w:tcPr>
          <w:p w:rsidR="00A24FC3" w:rsidRPr="00160973" w:rsidRDefault="00A24FC3" w:rsidP="00A24FC3">
            <w:pPr>
              <w:jc w:val="center"/>
              <w:rPr>
                <w:rFonts w:ascii="Times New Roman" w:hAnsi="Times New Roman" w:cs="Times New Roman"/>
                <w:sz w:val="23"/>
                <w:szCs w:val="23"/>
              </w:rPr>
            </w:pPr>
            <w:r w:rsidRPr="00160973">
              <w:rPr>
                <w:rFonts w:ascii="Times New Roman" w:hAnsi="Times New Roman" w:cs="Times New Roman"/>
                <w:sz w:val="23"/>
                <w:szCs w:val="23"/>
              </w:rPr>
              <w:t>IT and Telecom – Systems Analysis</w:t>
            </w:r>
          </w:p>
        </w:tc>
      </w:tr>
      <w:tr w:rsidR="00A24FC3" w:rsidRPr="00160973" w:rsidTr="00160973">
        <w:trPr>
          <w:jc w:val="center"/>
        </w:trPr>
        <w:tc>
          <w:tcPr>
            <w:tcW w:w="1975" w:type="dxa"/>
          </w:tcPr>
          <w:p w:rsidR="00A24FC3" w:rsidRPr="00160973" w:rsidRDefault="00A24FC3" w:rsidP="00A24FC3">
            <w:pPr>
              <w:jc w:val="center"/>
              <w:rPr>
                <w:rFonts w:ascii="Times New Roman" w:hAnsi="Times New Roman" w:cs="Times New Roman"/>
                <w:sz w:val="23"/>
                <w:szCs w:val="23"/>
              </w:rPr>
            </w:pPr>
            <w:r w:rsidRPr="00160973">
              <w:rPr>
                <w:rFonts w:ascii="Times New Roman" w:hAnsi="Times New Roman" w:cs="Times New Roman"/>
                <w:sz w:val="23"/>
                <w:szCs w:val="23"/>
              </w:rPr>
              <w:t>R710</w:t>
            </w:r>
          </w:p>
        </w:tc>
        <w:tc>
          <w:tcPr>
            <w:tcW w:w="6660" w:type="dxa"/>
          </w:tcPr>
          <w:p w:rsidR="00A24FC3" w:rsidRPr="00160973" w:rsidRDefault="00A24FC3" w:rsidP="00A24FC3">
            <w:pPr>
              <w:jc w:val="center"/>
              <w:rPr>
                <w:rFonts w:ascii="Times New Roman" w:hAnsi="Times New Roman" w:cs="Times New Roman"/>
                <w:sz w:val="23"/>
                <w:szCs w:val="23"/>
              </w:rPr>
            </w:pPr>
            <w:r w:rsidRPr="00160973">
              <w:rPr>
                <w:rFonts w:ascii="Times New Roman" w:hAnsi="Times New Roman" w:cs="Times New Roman"/>
                <w:sz w:val="23"/>
                <w:szCs w:val="23"/>
              </w:rPr>
              <w:t>Support – Management: Financial Includes Credit Card Services</w:t>
            </w:r>
          </w:p>
        </w:tc>
      </w:tr>
      <w:tr w:rsidR="00A24FC3" w:rsidRPr="00160973" w:rsidTr="00160973">
        <w:trPr>
          <w:jc w:val="center"/>
        </w:trPr>
        <w:tc>
          <w:tcPr>
            <w:tcW w:w="1975" w:type="dxa"/>
          </w:tcPr>
          <w:p w:rsidR="00A24FC3" w:rsidRPr="00160973" w:rsidRDefault="00A24FC3" w:rsidP="00A24FC3">
            <w:pPr>
              <w:jc w:val="center"/>
              <w:rPr>
                <w:rFonts w:ascii="Times New Roman" w:hAnsi="Times New Roman" w:cs="Times New Roman"/>
                <w:sz w:val="23"/>
                <w:szCs w:val="23"/>
              </w:rPr>
            </w:pPr>
            <w:r w:rsidRPr="00160973">
              <w:rPr>
                <w:rFonts w:ascii="Times New Roman" w:hAnsi="Times New Roman" w:cs="Times New Roman"/>
                <w:sz w:val="23"/>
                <w:szCs w:val="23"/>
              </w:rPr>
              <w:t>R799</w:t>
            </w:r>
          </w:p>
        </w:tc>
        <w:tc>
          <w:tcPr>
            <w:tcW w:w="6660" w:type="dxa"/>
          </w:tcPr>
          <w:p w:rsidR="00A24FC3" w:rsidRPr="00160973" w:rsidRDefault="00A24FC3" w:rsidP="00A24FC3">
            <w:pPr>
              <w:jc w:val="center"/>
              <w:rPr>
                <w:rFonts w:ascii="Times New Roman" w:hAnsi="Times New Roman" w:cs="Times New Roman"/>
                <w:sz w:val="23"/>
                <w:szCs w:val="23"/>
              </w:rPr>
            </w:pPr>
            <w:r w:rsidRPr="00160973">
              <w:rPr>
                <w:rFonts w:ascii="Times New Roman" w:hAnsi="Times New Roman" w:cs="Times New Roman"/>
                <w:sz w:val="23"/>
                <w:szCs w:val="23"/>
              </w:rPr>
              <w:t>Support – Management: Other</w:t>
            </w:r>
          </w:p>
        </w:tc>
      </w:tr>
    </w:tbl>
    <w:p w:rsidR="00775653" w:rsidRDefault="00775653" w:rsidP="007F6EC0">
      <w:pPr>
        <w:spacing w:line="240" w:lineRule="auto"/>
        <w:rPr>
          <w:rFonts w:ascii="Times New Roman" w:hAnsi="Times New Roman" w:cs="Times New Roman"/>
          <w:sz w:val="23"/>
          <w:szCs w:val="23"/>
        </w:rPr>
      </w:pPr>
      <w:bookmarkStart w:id="4" w:name="_Hlk3213963"/>
    </w:p>
    <w:p w:rsidR="007F6EC0" w:rsidRPr="00160973" w:rsidRDefault="007F6EC0" w:rsidP="007F6EC0">
      <w:pPr>
        <w:spacing w:line="240" w:lineRule="auto"/>
        <w:rPr>
          <w:rFonts w:ascii="Times New Roman" w:hAnsi="Times New Roman" w:cs="Times New Roman"/>
          <w:sz w:val="23"/>
          <w:szCs w:val="23"/>
        </w:rPr>
      </w:pPr>
      <w:r w:rsidRPr="00160973">
        <w:rPr>
          <w:rFonts w:ascii="Times New Roman" w:hAnsi="Times New Roman" w:cs="Times New Roman"/>
          <w:sz w:val="23"/>
          <w:szCs w:val="23"/>
        </w:rPr>
        <w:t>DOT identified these additional PSCs based on high levels of spend in addition to their alignment with the Government-wide Category Management initiative.</w:t>
      </w:r>
      <w:r w:rsidR="009C5F38">
        <w:rPr>
          <w:rFonts w:ascii="Times New Roman" w:hAnsi="Times New Roman" w:cs="Times New Roman"/>
          <w:sz w:val="23"/>
          <w:szCs w:val="23"/>
        </w:rPr>
        <w:t xml:space="preserve"> </w:t>
      </w:r>
      <w:r w:rsidRPr="00160973">
        <w:rPr>
          <w:rFonts w:ascii="Times New Roman" w:hAnsi="Times New Roman" w:cs="Times New Roman"/>
          <w:sz w:val="23"/>
          <w:szCs w:val="23"/>
        </w:rPr>
        <w:t xml:space="preserve"> DOT evaluated the extent contract awards within these PSCs leverage existing OMB-designated Best-in-Class (BIC) contracts and Federal or Departmental enterprise contract vehicles or present future opportunities for strategic purchasing.  </w:t>
      </w:r>
      <w:bookmarkStart w:id="5" w:name="_Hlk3213916"/>
      <w:r w:rsidRPr="00160973">
        <w:rPr>
          <w:rFonts w:ascii="Times New Roman" w:hAnsi="Times New Roman" w:cs="Times New Roman"/>
          <w:sz w:val="23"/>
          <w:szCs w:val="23"/>
        </w:rPr>
        <w:t>Table 2 below outlines both the OMB-identified and DOT-selected service contract PSCs, FY 2017 spend by PSC, percentage of total FY 2017 SCI spend and Category Management categories.</w:t>
      </w:r>
    </w:p>
    <w:bookmarkEnd w:id="4"/>
    <w:bookmarkEnd w:id="5"/>
    <w:p w:rsidR="007F6EC0" w:rsidRPr="00160973" w:rsidRDefault="007F6EC0" w:rsidP="007F6EC0">
      <w:pPr>
        <w:spacing w:line="240" w:lineRule="auto"/>
        <w:rPr>
          <w:rFonts w:ascii="Times New Roman" w:hAnsi="Times New Roman" w:cs="Times New Roman"/>
          <w:sz w:val="23"/>
          <w:szCs w:val="23"/>
        </w:rPr>
      </w:pPr>
      <w:r w:rsidRPr="00160973">
        <w:rPr>
          <w:rFonts w:ascii="Times New Roman" w:hAnsi="Times New Roman" w:cs="Times New Roman"/>
          <w:sz w:val="23"/>
          <w:szCs w:val="23"/>
        </w:rPr>
        <w:t xml:space="preserve">Based on the review criteria, DOT reviewed a total of </w:t>
      </w:r>
      <w:r w:rsidR="00F70F03">
        <w:rPr>
          <w:rFonts w:ascii="Times New Roman" w:hAnsi="Times New Roman" w:cs="Times New Roman"/>
          <w:sz w:val="23"/>
          <w:szCs w:val="23"/>
        </w:rPr>
        <w:t>20 PSCs</w:t>
      </w:r>
      <w:r w:rsidRPr="00160973">
        <w:rPr>
          <w:rFonts w:ascii="Times New Roman" w:hAnsi="Times New Roman" w:cs="Times New Roman"/>
          <w:sz w:val="23"/>
          <w:szCs w:val="23"/>
        </w:rPr>
        <w:t xml:space="preserve">, which equates to </w:t>
      </w:r>
      <w:r w:rsidRPr="008A62B2">
        <w:rPr>
          <w:rFonts w:ascii="Times New Roman" w:hAnsi="Times New Roman" w:cs="Times New Roman"/>
          <w:sz w:val="23"/>
          <w:szCs w:val="23"/>
        </w:rPr>
        <w:t>$</w:t>
      </w:r>
      <w:r w:rsidR="008A62B2" w:rsidRPr="008A62B2">
        <w:rPr>
          <w:rFonts w:ascii="Times New Roman" w:hAnsi="Times New Roman" w:cs="Times New Roman"/>
          <w:sz w:val="23"/>
          <w:szCs w:val="23"/>
        </w:rPr>
        <w:t>4</w:t>
      </w:r>
      <w:r w:rsidR="0070565D" w:rsidRPr="008A62B2">
        <w:rPr>
          <w:rFonts w:ascii="Times New Roman" w:hAnsi="Times New Roman" w:cs="Times New Roman"/>
          <w:sz w:val="23"/>
          <w:szCs w:val="23"/>
        </w:rPr>
        <w:t>.</w:t>
      </w:r>
      <w:r w:rsidR="008A62B2" w:rsidRPr="008A62B2">
        <w:rPr>
          <w:rFonts w:ascii="Times New Roman" w:hAnsi="Times New Roman" w:cs="Times New Roman"/>
          <w:sz w:val="23"/>
          <w:szCs w:val="23"/>
        </w:rPr>
        <w:t>170</w:t>
      </w:r>
      <w:r w:rsidR="0070565D" w:rsidRPr="008A62B2">
        <w:rPr>
          <w:rFonts w:ascii="Times New Roman" w:hAnsi="Times New Roman" w:cs="Times New Roman"/>
          <w:sz w:val="23"/>
          <w:szCs w:val="23"/>
        </w:rPr>
        <w:t xml:space="preserve"> billion</w:t>
      </w:r>
      <w:r w:rsidRPr="008A62B2">
        <w:rPr>
          <w:rFonts w:ascii="Times New Roman" w:hAnsi="Times New Roman" w:cs="Times New Roman"/>
          <w:sz w:val="23"/>
          <w:szCs w:val="23"/>
        </w:rPr>
        <w:t xml:space="preserve"> in FY 2017 obligations</w:t>
      </w:r>
      <w:r w:rsidRPr="008A62B2">
        <w:rPr>
          <w:rFonts w:ascii="Times New Roman" w:hAnsi="Times New Roman" w:cs="Times New Roman"/>
          <w:b/>
          <w:sz w:val="23"/>
          <w:szCs w:val="23"/>
        </w:rPr>
        <w:t>.</w:t>
      </w:r>
      <w:r w:rsidRPr="00160973">
        <w:rPr>
          <w:rFonts w:ascii="Times New Roman" w:hAnsi="Times New Roman" w:cs="Times New Roman"/>
          <w:b/>
          <w:sz w:val="23"/>
          <w:szCs w:val="23"/>
        </w:rPr>
        <w:t xml:space="preserve"> </w:t>
      </w:r>
    </w:p>
    <w:p w:rsidR="008206D3" w:rsidRDefault="00B25650" w:rsidP="00C24FA6">
      <w:pPr>
        <w:spacing w:after="0" w:line="240" w:lineRule="auto"/>
        <w:rPr>
          <w:rFonts w:ascii="Times New Roman" w:hAnsi="Times New Roman" w:cs="Times New Roman"/>
          <w:b/>
          <w:sz w:val="23"/>
          <w:szCs w:val="23"/>
        </w:rPr>
      </w:pPr>
      <w:r w:rsidRPr="00160973">
        <w:rPr>
          <w:rFonts w:ascii="Times New Roman" w:hAnsi="Times New Roman" w:cs="Times New Roman"/>
          <w:b/>
          <w:sz w:val="23"/>
          <w:szCs w:val="23"/>
        </w:rPr>
        <w:t xml:space="preserve">Table </w:t>
      </w:r>
      <w:r w:rsidR="007F6EC0" w:rsidRPr="00160973">
        <w:rPr>
          <w:rFonts w:ascii="Times New Roman" w:hAnsi="Times New Roman" w:cs="Times New Roman"/>
          <w:b/>
          <w:sz w:val="23"/>
          <w:szCs w:val="23"/>
        </w:rPr>
        <w:t>2</w:t>
      </w:r>
      <w:r w:rsidRPr="00160973">
        <w:rPr>
          <w:rFonts w:ascii="Times New Roman" w:hAnsi="Times New Roman" w:cs="Times New Roman"/>
          <w:b/>
          <w:sz w:val="23"/>
          <w:szCs w:val="23"/>
        </w:rPr>
        <w:t xml:space="preserve">: DOT </w:t>
      </w:r>
      <w:r w:rsidR="00F04503" w:rsidRPr="00160973">
        <w:rPr>
          <w:rFonts w:ascii="Times New Roman" w:hAnsi="Times New Roman" w:cs="Times New Roman"/>
          <w:b/>
          <w:sz w:val="23"/>
          <w:szCs w:val="23"/>
        </w:rPr>
        <w:t xml:space="preserve">FY 2017 </w:t>
      </w:r>
      <w:r w:rsidRPr="00160973">
        <w:rPr>
          <w:rFonts w:ascii="Times New Roman" w:hAnsi="Times New Roman" w:cs="Times New Roman"/>
          <w:b/>
          <w:sz w:val="23"/>
          <w:szCs w:val="23"/>
        </w:rPr>
        <w:t>SCI PSCs</w:t>
      </w:r>
      <w:r w:rsidR="00603C12" w:rsidRPr="00160973">
        <w:rPr>
          <w:rFonts w:ascii="Times New Roman" w:hAnsi="Times New Roman" w:cs="Times New Roman"/>
          <w:b/>
          <w:sz w:val="23"/>
          <w:szCs w:val="23"/>
        </w:rPr>
        <w:t xml:space="preserve"> </w:t>
      </w:r>
      <w:r w:rsidR="00DB4005">
        <w:rPr>
          <w:rFonts w:ascii="Times New Roman" w:hAnsi="Times New Roman" w:cs="Times New Roman"/>
          <w:b/>
          <w:sz w:val="23"/>
          <w:szCs w:val="23"/>
        </w:rPr>
        <w:t>reviewed and s</w:t>
      </w:r>
      <w:r w:rsidRPr="00160973">
        <w:rPr>
          <w:rFonts w:ascii="Times New Roman" w:hAnsi="Times New Roman" w:cs="Times New Roman"/>
          <w:b/>
          <w:sz w:val="23"/>
          <w:szCs w:val="23"/>
        </w:rPr>
        <w:t>pend by PSC</w:t>
      </w:r>
    </w:p>
    <w:tbl>
      <w:tblPr>
        <w:tblStyle w:val="TableGrid"/>
        <w:tblW w:w="10890" w:type="dxa"/>
        <w:tblInd w:w="-905" w:type="dxa"/>
        <w:tblLayout w:type="fixed"/>
        <w:tblLook w:val="04A0" w:firstRow="1" w:lastRow="0" w:firstColumn="1" w:lastColumn="0" w:noHBand="0" w:noVBand="1"/>
      </w:tblPr>
      <w:tblGrid>
        <w:gridCol w:w="847"/>
        <w:gridCol w:w="6837"/>
        <w:gridCol w:w="1676"/>
        <w:gridCol w:w="1530"/>
      </w:tblGrid>
      <w:tr w:rsidR="00B104EC" w:rsidTr="00FB4FFA">
        <w:trPr>
          <w:trHeight w:val="547"/>
        </w:trPr>
        <w:tc>
          <w:tcPr>
            <w:tcW w:w="847" w:type="dxa"/>
            <w:shd w:val="clear" w:color="auto" w:fill="95B3D7" w:themeFill="accent1" w:themeFillTint="99"/>
            <w:vAlign w:val="bottom"/>
          </w:tcPr>
          <w:p w:rsidR="008206D3" w:rsidRPr="00FB4FFA" w:rsidRDefault="008206D3" w:rsidP="008206D3">
            <w:pPr>
              <w:rPr>
                <w:rFonts w:ascii="Times New Roman" w:hAnsi="Times New Roman" w:cs="Times New Roman"/>
                <w:b/>
              </w:rPr>
            </w:pPr>
            <w:r w:rsidRPr="00FB4FFA">
              <w:rPr>
                <w:rFonts w:ascii="Times New Roman" w:hAnsi="Times New Roman" w:cs="Times New Roman"/>
                <w:b/>
                <w:bCs/>
                <w:color w:val="000000"/>
              </w:rPr>
              <w:t>PSC</w:t>
            </w:r>
          </w:p>
        </w:tc>
        <w:tc>
          <w:tcPr>
            <w:tcW w:w="6837" w:type="dxa"/>
            <w:shd w:val="clear" w:color="auto" w:fill="95B3D7" w:themeFill="accent1" w:themeFillTint="99"/>
            <w:vAlign w:val="bottom"/>
          </w:tcPr>
          <w:p w:rsidR="008206D3" w:rsidRPr="00FB4FFA" w:rsidRDefault="008206D3" w:rsidP="008206D3">
            <w:pPr>
              <w:rPr>
                <w:rFonts w:ascii="Times New Roman" w:hAnsi="Times New Roman" w:cs="Times New Roman"/>
                <w:b/>
              </w:rPr>
            </w:pPr>
            <w:r w:rsidRPr="00FB4FFA">
              <w:rPr>
                <w:rFonts w:ascii="Times New Roman" w:hAnsi="Times New Roman" w:cs="Times New Roman"/>
                <w:b/>
                <w:bCs/>
                <w:color w:val="000000"/>
              </w:rPr>
              <w:t>PSC DESCRIPTION</w:t>
            </w:r>
          </w:p>
        </w:tc>
        <w:tc>
          <w:tcPr>
            <w:tcW w:w="1676" w:type="dxa"/>
            <w:shd w:val="clear" w:color="auto" w:fill="95B3D7" w:themeFill="accent1" w:themeFillTint="99"/>
            <w:vAlign w:val="bottom"/>
          </w:tcPr>
          <w:p w:rsidR="008206D3" w:rsidRPr="00FB4FFA" w:rsidRDefault="008206D3" w:rsidP="008206D3">
            <w:pPr>
              <w:rPr>
                <w:rFonts w:ascii="Times New Roman" w:hAnsi="Times New Roman" w:cs="Times New Roman"/>
                <w:b/>
              </w:rPr>
            </w:pPr>
            <w:r w:rsidRPr="00FB4FFA">
              <w:rPr>
                <w:rFonts w:ascii="Times New Roman" w:hAnsi="Times New Roman" w:cs="Times New Roman"/>
                <w:b/>
                <w:bCs/>
                <w:color w:val="000000"/>
              </w:rPr>
              <w:t>FY 2017 Spend</w:t>
            </w:r>
          </w:p>
        </w:tc>
        <w:tc>
          <w:tcPr>
            <w:tcW w:w="1530" w:type="dxa"/>
            <w:shd w:val="clear" w:color="auto" w:fill="95B3D7" w:themeFill="accent1" w:themeFillTint="99"/>
            <w:vAlign w:val="bottom"/>
          </w:tcPr>
          <w:p w:rsidR="008206D3" w:rsidRPr="00FB4FFA" w:rsidRDefault="008206D3" w:rsidP="008206D3">
            <w:pPr>
              <w:rPr>
                <w:rFonts w:ascii="Times New Roman" w:hAnsi="Times New Roman" w:cs="Times New Roman"/>
                <w:b/>
              </w:rPr>
            </w:pPr>
            <w:r w:rsidRPr="00FB4FFA">
              <w:rPr>
                <w:rFonts w:ascii="Times New Roman" w:hAnsi="Times New Roman" w:cs="Times New Roman"/>
                <w:b/>
                <w:bCs/>
                <w:color w:val="000000"/>
              </w:rPr>
              <w:t>Category Management Level 1</w:t>
            </w:r>
          </w:p>
        </w:tc>
      </w:tr>
      <w:tr w:rsidR="008A62B2" w:rsidTr="00FB4FFA">
        <w:trPr>
          <w:trHeight w:val="270"/>
        </w:trPr>
        <w:tc>
          <w:tcPr>
            <w:tcW w:w="847" w:type="dxa"/>
            <w:vAlign w:val="bottom"/>
          </w:tcPr>
          <w:p w:rsidR="008A62B2" w:rsidRPr="00FB4FFA" w:rsidRDefault="008A62B2" w:rsidP="008A62B2">
            <w:pPr>
              <w:rPr>
                <w:rFonts w:ascii="Times New Roman" w:hAnsi="Times New Roman" w:cs="Times New Roman"/>
                <w:b/>
              </w:rPr>
            </w:pPr>
            <w:r w:rsidRPr="00FB4FFA">
              <w:rPr>
                <w:rFonts w:ascii="Times New Roman" w:hAnsi="Times New Roman" w:cs="Times New Roman"/>
                <w:color w:val="000000"/>
              </w:rPr>
              <w:t>AD26</w:t>
            </w:r>
          </w:p>
        </w:tc>
        <w:tc>
          <w:tcPr>
            <w:tcW w:w="6837" w:type="dxa"/>
            <w:vAlign w:val="bottom"/>
          </w:tcPr>
          <w:p w:rsidR="008A62B2" w:rsidRPr="00FB4FFA" w:rsidRDefault="008A62B2" w:rsidP="008A62B2">
            <w:pPr>
              <w:rPr>
                <w:rFonts w:ascii="Times New Roman" w:hAnsi="Times New Roman" w:cs="Times New Roman"/>
                <w:b/>
              </w:rPr>
            </w:pPr>
            <w:r w:rsidRPr="00FB4FFA">
              <w:rPr>
                <w:rFonts w:ascii="Times New Roman" w:hAnsi="Times New Roman" w:cs="Times New Roman"/>
                <w:color w:val="000000"/>
              </w:rPr>
              <w:t>R&amp;D - DEFENSE OTHER: SERVICES (MANAGEMENT/SUPPORT)</w:t>
            </w:r>
          </w:p>
        </w:tc>
        <w:tc>
          <w:tcPr>
            <w:tcW w:w="1676" w:type="dxa"/>
            <w:vAlign w:val="bottom"/>
          </w:tcPr>
          <w:p w:rsidR="008A62B2" w:rsidRPr="00FB4FFA" w:rsidRDefault="008A62B2" w:rsidP="008A62B2">
            <w:pPr>
              <w:rPr>
                <w:rFonts w:ascii="Times New Roman" w:hAnsi="Times New Roman" w:cs="Times New Roman"/>
                <w:b/>
              </w:rPr>
            </w:pPr>
            <w:r w:rsidRPr="00FB4FFA">
              <w:rPr>
                <w:rFonts w:ascii="Times New Roman" w:hAnsi="Times New Roman" w:cs="Times New Roman"/>
                <w:color w:val="000000"/>
              </w:rPr>
              <w:t>$265,775,173</w:t>
            </w:r>
          </w:p>
        </w:tc>
        <w:tc>
          <w:tcPr>
            <w:tcW w:w="1530" w:type="dxa"/>
            <w:vAlign w:val="bottom"/>
          </w:tcPr>
          <w:p w:rsidR="008A62B2" w:rsidRPr="00FB4FFA" w:rsidRDefault="008A62B2" w:rsidP="008A62B2">
            <w:pPr>
              <w:rPr>
                <w:rFonts w:ascii="Times New Roman" w:hAnsi="Times New Roman" w:cs="Times New Roman"/>
                <w:b/>
              </w:rPr>
            </w:pPr>
            <w:r w:rsidRPr="00FB4FFA">
              <w:rPr>
                <w:rFonts w:ascii="Times New Roman" w:hAnsi="Times New Roman" w:cs="Times New Roman"/>
                <w:color w:val="000000"/>
              </w:rPr>
              <w:t>Services</w:t>
            </w:r>
          </w:p>
        </w:tc>
      </w:tr>
      <w:tr w:rsidR="008A62B2" w:rsidTr="00FB4FFA">
        <w:trPr>
          <w:trHeight w:val="277"/>
        </w:trPr>
        <w:tc>
          <w:tcPr>
            <w:tcW w:w="847" w:type="dxa"/>
            <w:vAlign w:val="bottom"/>
          </w:tcPr>
          <w:p w:rsidR="008A62B2" w:rsidRPr="00FB4FFA" w:rsidRDefault="008A62B2" w:rsidP="008A62B2">
            <w:pPr>
              <w:rPr>
                <w:rFonts w:ascii="Times New Roman" w:hAnsi="Times New Roman" w:cs="Times New Roman"/>
                <w:b/>
              </w:rPr>
            </w:pPr>
            <w:r w:rsidRPr="00FB4FFA">
              <w:rPr>
                <w:rFonts w:ascii="Times New Roman" w:hAnsi="Times New Roman" w:cs="Times New Roman"/>
                <w:color w:val="000000"/>
              </w:rPr>
              <w:t>AD61</w:t>
            </w:r>
          </w:p>
        </w:tc>
        <w:tc>
          <w:tcPr>
            <w:tcW w:w="6837" w:type="dxa"/>
            <w:vAlign w:val="bottom"/>
          </w:tcPr>
          <w:p w:rsidR="008A62B2" w:rsidRPr="00FB4FFA" w:rsidRDefault="008A62B2" w:rsidP="008A62B2">
            <w:pPr>
              <w:rPr>
                <w:rFonts w:ascii="Times New Roman" w:hAnsi="Times New Roman" w:cs="Times New Roman"/>
                <w:b/>
              </w:rPr>
            </w:pPr>
            <w:r w:rsidRPr="00FB4FFA">
              <w:rPr>
                <w:rFonts w:ascii="Times New Roman" w:hAnsi="Times New Roman" w:cs="Times New Roman"/>
                <w:color w:val="000000"/>
              </w:rPr>
              <w:t>R&amp;D - DEFENSE OTHER: CONSTRUCTION (BASIC RESEARCH)</w:t>
            </w:r>
          </w:p>
        </w:tc>
        <w:tc>
          <w:tcPr>
            <w:tcW w:w="1676" w:type="dxa"/>
            <w:vAlign w:val="bottom"/>
          </w:tcPr>
          <w:p w:rsidR="008A62B2" w:rsidRPr="00FB4FFA" w:rsidRDefault="008A62B2" w:rsidP="008A62B2">
            <w:pPr>
              <w:rPr>
                <w:rFonts w:ascii="Times New Roman" w:hAnsi="Times New Roman" w:cs="Times New Roman"/>
                <w:b/>
              </w:rPr>
            </w:pPr>
            <w:r w:rsidRPr="00FB4FFA">
              <w:rPr>
                <w:rFonts w:ascii="Times New Roman" w:hAnsi="Times New Roman" w:cs="Times New Roman"/>
                <w:color w:val="000000"/>
              </w:rPr>
              <w:t>$158,794,322</w:t>
            </w:r>
          </w:p>
        </w:tc>
        <w:tc>
          <w:tcPr>
            <w:tcW w:w="1530" w:type="dxa"/>
            <w:vAlign w:val="bottom"/>
          </w:tcPr>
          <w:p w:rsidR="008A62B2" w:rsidRPr="00FB4FFA" w:rsidRDefault="008A62B2" w:rsidP="008A62B2">
            <w:pPr>
              <w:rPr>
                <w:rFonts w:ascii="Times New Roman" w:hAnsi="Times New Roman" w:cs="Times New Roman"/>
                <w:b/>
              </w:rPr>
            </w:pPr>
            <w:r w:rsidRPr="00FB4FFA">
              <w:rPr>
                <w:rFonts w:ascii="Times New Roman" w:hAnsi="Times New Roman" w:cs="Times New Roman"/>
                <w:color w:val="000000"/>
              </w:rPr>
              <w:t>Development</w:t>
            </w:r>
          </w:p>
        </w:tc>
      </w:tr>
      <w:tr w:rsidR="008A62B2" w:rsidTr="00FB4FFA">
        <w:trPr>
          <w:trHeight w:val="277"/>
        </w:trPr>
        <w:tc>
          <w:tcPr>
            <w:tcW w:w="84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bCs/>
                <w:color w:val="000000"/>
              </w:rPr>
              <w:t>D301</w:t>
            </w:r>
          </w:p>
        </w:tc>
        <w:tc>
          <w:tcPr>
            <w:tcW w:w="683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bCs/>
                <w:color w:val="000000"/>
              </w:rPr>
              <w:t>IT AND TELECOM - FACILITY OPERATION AND MAINTENANCE</w:t>
            </w:r>
          </w:p>
        </w:tc>
        <w:tc>
          <w:tcPr>
            <w:tcW w:w="1676"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$104,962,781</w:t>
            </w:r>
          </w:p>
        </w:tc>
        <w:tc>
          <w:tcPr>
            <w:tcW w:w="1530"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bCs/>
                <w:color w:val="000000"/>
              </w:rPr>
              <w:t>IT</w:t>
            </w:r>
          </w:p>
        </w:tc>
      </w:tr>
      <w:tr w:rsidR="008A62B2" w:rsidTr="00FB4FFA">
        <w:trPr>
          <w:trHeight w:val="270"/>
        </w:trPr>
        <w:tc>
          <w:tcPr>
            <w:tcW w:w="84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D302</w:t>
            </w:r>
          </w:p>
        </w:tc>
        <w:tc>
          <w:tcPr>
            <w:tcW w:w="683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IT AND TELECOM - SYSTEMS DEVELOPMENT</w:t>
            </w:r>
          </w:p>
        </w:tc>
        <w:tc>
          <w:tcPr>
            <w:tcW w:w="1676"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$64,345,348</w:t>
            </w:r>
          </w:p>
        </w:tc>
        <w:tc>
          <w:tcPr>
            <w:tcW w:w="1530"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IT</w:t>
            </w:r>
          </w:p>
        </w:tc>
      </w:tr>
      <w:tr w:rsidR="008A62B2" w:rsidTr="00FB4FFA">
        <w:trPr>
          <w:trHeight w:val="277"/>
        </w:trPr>
        <w:tc>
          <w:tcPr>
            <w:tcW w:w="847" w:type="dxa"/>
            <w:shd w:val="clear" w:color="auto" w:fill="auto"/>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bCs/>
                <w:color w:val="000000"/>
              </w:rPr>
              <w:t>D306</w:t>
            </w:r>
          </w:p>
        </w:tc>
        <w:tc>
          <w:tcPr>
            <w:tcW w:w="683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bCs/>
                <w:color w:val="000000"/>
              </w:rPr>
              <w:t>IT AND TELECOM - SYSTEMS ANALYSIS</w:t>
            </w:r>
          </w:p>
        </w:tc>
        <w:tc>
          <w:tcPr>
            <w:tcW w:w="1676"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$130,878,960</w:t>
            </w:r>
          </w:p>
        </w:tc>
        <w:tc>
          <w:tcPr>
            <w:tcW w:w="1530"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bCs/>
                <w:color w:val="000000"/>
              </w:rPr>
              <w:t>IT</w:t>
            </w:r>
          </w:p>
        </w:tc>
      </w:tr>
      <w:tr w:rsidR="008A62B2" w:rsidTr="00FB4FFA">
        <w:trPr>
          <w:trHeight w:val="270"/>
        </w:trPr>
        <w:tc>
          <w:tcPr>
            <w:tcW w:w="84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D307</w:t>
            </w:r>
          </w:p>
        </w:tc>
        <w:tc>
          <w:tcPr>
            <w:tcW w:w="683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IT AND TELECOM - IT STRATEGY AND ARCHITECTURE</w:t>
            </w:r>
          </w:p>
        </w:tc>
        <w:tc>
          <w:tcPr>
            <w:tcW w:w="1676"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$12,964,769</w:t>
            </w:r>
          </w:p>
        </w:tc>
        <w:tc>
          <w:tcPr>
            <w:tcW w:w="1530"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IT</w:t>
            </w:r>
          </w:p>
        </w:tc>
      </w:tr>
      <w:tr w:rsidR="008A62B2" w:rsidTr="00FB4FFA">
        <w:trPr>
          <w:trHeight w:val="277"/>
        </w:trPr>
        <w:tc>
          <w:tcPr>
            <w:tcW w:w="84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D310</w:t>
            </w:r>
          </w:p>
        </w:tc>
        <w:tc>
          <w:tcPr>
            <w:tcW w:w="683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IT AND TELECOM - CYBER SECURITY AND DATA BACKUP</w:t>
            </w:r>
          </w:p>
        </w:tc>
        <w:tc>
          <w:tcPr>
            <w:tcW w:w="1676"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$36,095,512</w:t>
            </w:r>
          </w:p>
        </w:tc>
        <w:tc>
          <w:tcPr>
            <w:tcW w:w="1530"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IT</w:t>
            </w:r>
          </w:p>
        </w:tc>
      </w:tr>
      <w:tr w:rsidR="008A62B2" w:rsidTr="00FB4FFA">
        <w:trPr>
          <w:trHeight w:val="277"/>
        </w:trPr>
        <w:tc>
          <w:tcPr>
            <w:tcW w:w="84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D314</w:t>
            </w:r>
          </w:p>
        </w:tc>
        <w:tc>
          <w:tcPr>
            <w:tcW w:w="683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IT AND TELECOM - SYSTEM ACQUISITION SUPPORT</w:t>
            </w:r>
          </w:p>
        </w:tc>
        <w:tc>
          <w:tcPr>
            <w:tcW w:w="1676"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$12,875,774</w:t>
            </w:r>
          </w:p>
        </w:tc>
        <w:tc>
          <w:tcPr>
            <w:tcW w:w="1530"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IT</w:t>
            </w:r>
          </w:p>
        </w:tc>
      </w:tr>
      <w:tr w:rsidR="008A62B2" w:rsidTr="00FB4FFA">
        <w:trPr>
          <w:trHeight w:val="277"/>
        </w:trPr>
        <w:tc>
          <w:tcPr>
            <w:tcW w:w="84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D316</w:t>
            </w:r>
          </w:p>
        </w:tc>
        <w:tc>
          <w:tcPr>
            <w:tcW w:w="683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IT AND TELECOM - TELECOMMUNICATION NETWORK MANAGEMENT</w:t>
            </w:r>
          </w:p>
        </w:tc>
        <w:tc>
          <w:tcPr>
            <w:tcW w:w="1676"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$166,813,806</w:t>
            </w:r>
          </w:p>
        </w:tc>
        <w:tc>
          <w:tcPr>
            <w:tcW w:w="1530"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IT</w:t>
            </w:r>
          </w:p>
        </w:tc>
      </w:tr>
      <w:tr w:rsidR="008A62B2" w:rsidTr="00FB4FFA">
        <w:trPr>
          <w:trHeight w:val="277"/>
        </w:trPr>
        <w:tc>
          <w:tcPr>
            <w:tcW w:w="84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D399</w:t>
            </w:r>
          </w:p>
        </w:tc>
        <w:tc>
          <w:tcPr>
            <w:tcW w:w="683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IT AND TELECOM - OTHER IT AND TELECOMMUNICATIONS</w:t>
            </w:r>
          </w:p>
        </w:tc>
        <w:tc>
          <w:tcPr>
            <w:tcW w:w="1676"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$232,954,970</w:t>
            </w:r>
          </w:p>
        </w:tc>
        <w:tc>
          <w:tcPr>
            <w:tcW w:w="1530"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IT</w:t>
            </w:r>
          </w:p>
        </w:tc>
      </w:tr>
      <w:tr w:rsidR="008A62B2" w:rsidTr="00FB4FFA">
        <w:trPr>
          <w:trHeight w:val="277"/>
        </w:trPr>
        <w:tc>
          <w:tcPr>
            <w:tcW w:w="84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R408</w:t>
            </w:r>
          </w:p>
        </w:tc>
        <w:tc>
          <w:tcPr>
            <w:tcW w:w="683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SUPPORT - PROFESSIONAL: PROGRAM MANAGEMENT/SUPPORT</w:t>
            </w:r>
          </w:p>
        </w:tc>
        <w:tc>
          <w:tcPr>
            <w:tcW w:w="1676"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$504,503,773</w:t>
            </w:r>
          </w:p>
        </w:tc>
        <w:tc>
          <w:tcPr>
            <w:tcW w:w="1530"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Services</w:t>
            </w:r>
          </w:p>
        </w:tc>
      </w:tr>
      <w:tr w:rsidR="008A62B2" w:rsidTr="00FB4FFA">
        <w:trPr>
          <w:trHeight w:val="277"/>
        </w:trPr>
        <w:tc>
          <w:tcPr>
            <w:tcW w:w="84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R413</w:t>
            </w:r>
          </w:p>
        </w:tc>
        <w:tc>
          <w:tcPr>
            <w:tcW w:w="683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SUPPORT - PROFESSIONAL: SPECIFICATIONS DEVELOPMENT</w:t>
            </w:r>
          </w:p>
        </w:tc>
        <w:tc>
          <w:tcPr>
            <w:tcW w:w="1676"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$18,883,747</w:t>
            </w:r>
          </w:p>
        </w:tc>
        <w:tc>
          <w:tcPr>
            <w:tcW w:w="1530"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IT</w:t>
            </w:r>
          </w:p>
        </w:tc>
      </w:tr>
      <w:tr w:rsidR="008A62B2" w:rsidTr="00FB4FFA">
        <w:trPr>
          <w:trHeight w:val="277"/>
        </w:trPr>
        <w:tc>
          <w:tcPr>
            <w:tcW w:w="84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R414</w:t>
            </w:r>
          </w:p>
        </w:tc>
        <w:tc>
          <w:tcPr>
            <w:tcW w:w="683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SYSTEMS ENGINEERING SERVICES</w:t>
            </w:r>
          </w:p>
        </w:tc>
        <w:tc>
          <w:tcPr>
            <w:tcW w:w="1676"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$23,630,865</w:t>
            </w:r>
          </w:p>
        </w:tc>
        <w:tc>
          <w:tcPr>
            <w:tcW w:w="1530"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Professional Services</w:t>
            </w:r>
          </w:p>
        </w:tc>
      </w:tr>
      <w:tr w:rsidR="008A62B2" w:rsidTr="00FB4FFA">
        <w:trPr>
          <w:trHeight w:val="277"/>
        </w:trPr>
        <w:tc>
          <w:tcPr>
            <w:tcW w:w="84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R421</w:t>
            </w:r>
          </w:p>
        </w:tc>
        <w:tc>
          <w:tcPr>
            <w:tcW w:w="683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TECHNICAL ASSISTANCE</w:t>
            </w:r>
          </w:p>
        </w:tc>
        <w:tc>
          <w:tcPr>
            <w:tcW w:w="1676"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$1,207,508</w:t>
            </w:r>
          </w:p>
        </w:tc>
        <w:tc>
          <w:tcPr>
            <w:tcW w:w="1530"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Professional Services</w:t>
            </w:r>
          </w:p>
        </w:tc>
      </w:tr>
      <w:tr w:rsidR="008A62B2" w:rsidTr="00FB4FFA">
        <w:trPr>
          <w:trHeight w:val="277"/>
        </w:trPr>
        <w:tc>
          <w:tcPr>
            <w:tcW w:w="84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R425</w:t>
            </w:r>
          </w:p>
        </w:tc>
        <w:tc>
          <w:tcPr>
            <w:tcW w:w="683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SUPPORT - PROFESSIONAL: ENGINERRING/TECHNICAL</w:t>
            </w:r>
          </w:p>
        </w:tc>
        <w:tc>
          <w:tcPr>
            <w:tcW w:w="1676"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$1,856,506,719</w:t>
            </w:r>
          </w:p>
        </w:tc>
        <w:tc>
          <w:tcPr>
            <w:tcW w:w="1530"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Professional Services</w:t>
            </w:r>
          </w:p>
        </w:tc>
      </w:tr>
      <w:tr w:rsidR="008A62B2" w:rsidTr="00FB4FFA">
        <w:trPr>
          <w:trHeight w:val="277"/>
        </w:trPr>
        <w:tc>
          <w:tcPr>
            <w:tcW w:w="84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R497</w:t>
            </w:r>
          </w:p>
        </w:tc>
        <w:tc>
          <w:tcPr>
            <w:tcW w:w="683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SUPPORT - PROFESSIONAL: PERSONAL SERVICES CONTRACTS</w:t>
            </w:r>
          </w:p>
        </w:tc>
        <w:tc>
          <w:tcPr>
            <w:tcW w:w="1676"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$4,262,716</w:t>
            </w:r>
          </w:p>
        </w:tc>
        <w:tc>
          <w:tcPr>
            <w:tcW w:w="1530"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Services</w:t>
            </w:r>
          </w:p>
        </w:tc>
      </w:tr>
      <w:tr w:rsidR="008A62B2" w:rsidTr="00FB4FFA">
        <w:trPr>
          <w:trHeight w:val="277"/>
        </w:trPr>
        <w:tc>
          <w:tcPr>
            <w:tcW w:w="84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R499</w:t>
            </w:r>
          </w:p>
        </w:tc>
        <w:tc>
          <w:tcPr>
            <w:tcW w:w="683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SUPPORT - PROFESSIONAL: OTHER</w:t>
            </w:r>
          </w:p>
        </w:tc>
        <w:tc>
          <w:tcPr>
            <w:tcW w:w="1676"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$421,972,543</w:t>
            </w:r>
          </w:p>
        </w:tc>
        <w:tc>
          <w:tcPr>
            <w:tcW w:w="1530"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Services</w:t>
            </w:r>
          </w:p>
        </w:tc>
      </w:tr>
      <w:tr w:rsidR="008A62B2" w:rsidTr="00FB4FFA">
        <w:trPr>
          <w:trHeight w:val="277"/>
        </w:trPr>
        <w:tc>
          <w:tcPr>
            <w:tcW w:w="84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R707</w:t>
            </w:r>
          </w:p>
        </w:tc>
        <w:tc>
          <w:tcPr>
            <w:tcW w:w="683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SUPPORT - MANAGEMENT: CONTRACT/PROCUREMENT/ACQUISITION SUPPORT</w:t>
            </w:r>
          </w:p>
        </w:tc>
        <w:tc>
          <w:tcPr>
            <w:tcW w:w="1676"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$37,053,494</w:t>
            </w:r>
          </w:p>
        </w:tc>
        <w:tc>
          <w:tcPr>
            <w:tcW w:w="1530"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Professional Services</w:t>
            </w:r>
          </w:p>
        </w:tc>
      </w:tr>
      <w:tr w:rsidR="008A62B2" w:rsidTr="00FB4FFA">
        <w:trPr>
          <w:trHeight w:val="277"/>
        </w:trPr>
        <w:tc>
          <w:tcPr>
            <w:tcW w:w="847" w:type="dxa"/>
            <w:shd w:val="clear" w:color="auto" w:fill="auto"/>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bCs/>
                <w:color w:val="000000"/>
              </w:rPr>
              <w:t>R710</w:t>
            </w:r>
          </w:p>
        </w:tc>
        <w:tc>
          <w:tcPr>
            <w:tcW w:w="683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bCs/>
                <w:color w:val="000000"/>
              </w:rPr>
              <w:t>SUPPORT - MANAGEMENT: FINANCIAL INCLUDES: CREDIT CARD SERVICES</w:t>
            </w:r>
          </w:p>
        </w:tc>
        <w:tc>
          <w:tcPr>
            <w:tcW w:w="1676"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$70,022,584</w:t>
            </w:r>
          </w:p>
        </w:tc>
        <w:tc>
          <w:tcPr>
            <w:tcW w:w="1530"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bCs/>
                <w:color w:val="000000"/>
              </w:rPr>
              <w:t>Professional Services</w:t>
            </w:r>
          </w:p>
        </w:tc>
      </w:tr>
      <w:tr w:rsidR="008A62B2" w:rsidTr="00FB4FFA">
        <w:trPr>
          <w:trHeight w:val="277"/>
        </w:trPr>
        <w:tc>
          <w:tcPr>
            <w:tcW w:w="847" w:type="dxa"/>
            <w:shd w:val="clear" w:color="auto" w:fill="auto"/>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bCs/>
                <w:color w:val="000000"/>
              </w:rPr>
              <w:t>R799</w:t>
            </w:r>
          </w:p>
        </w:tc>
        <w:tc>
          <w:tcPr>
            <w:tcW w:w="6837"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bCs/>
                <w:color w:val="000000"/>
              </w:rPr>
              <w:t>SUPPORT - MANAGEMENT: OTHER</w:t>
            </w:r>
          </w:p>
        </w:tc>
        <w:tc>
          <w:tcPr>
            <w:tcW w:w="1676"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color w:val="000000"/>
              </w:rPr>
              <w:t>$45,698,910</w:t>
            </w:r>
          </w:p>
        </w:tc>
        <w:tc>
          <w:tcPr>
            <w:tcW w:w="1530" w:type="dxa"/>
            <w:vAlign w:val="bottom"/>
          </w:tcPr>
          <w:p w:rsidR="008A62B2" w:rsidRPr="00FB4FFA" w:rsidRDefault="008A62B2" w:rsidP="008A62B2">
            <w:pPr>
              <w:rPr>
                <w:rFonts w:ascii="Times New Roman" w:hAnsi="Times New Roman" w:cs="Times New Roman"/>
              </w:rPr>
            </w:pPr>
            <w:r w:rsidRPr="00FB4FFA">
              <w:rPr>
                <w:rFonts w:ascii="Times New Roman" w:hAnsi="Times New Roman" w:cs="Times New Roman"/>
                <w:bCs/>
                <w:color w:val="000000"/>
              </w:rPr>
              <w:t>Professional Services</w:t>
            </w:r>
          </w:p>
        </w:tc>
      </w:tr>
      <w:tr w:rsidR="008A62B2" w:rsidTr="00FB4FFA">
        <w:trPr>
          <w:trHeight w:val="277"/>
        </w:trPr>
        <w:tc>
          <w:tcPr>
            <w:tcW w:w="847" w:type="dxa"/>
            <w:vAlign w:val="bottom"/>
          </w:tcPr>
          <w:p w:rsidR="008A62B2" w:rsidRPr="00FB4FFA" w:rsidRDefault="008A62B2" w:rsidP="008A62B2">
            <w:pPr>
              <w:rPr>
                <w:rFonts w:ascii="Times New Roman" w:hAnsi="Times New Roman" w:cs="Times New Roman"/>
                <w:b/>
              </w:rPr>
            </w:pPr>
            <w:r w:rsidRPr="00FB4FFA">
              <w:rPr>
                <w:rFonts w:ascii="Times New Roman" w:hAnsi="Times New Roman" w:cs="Times New Roman"/>
                <w:color w:val="000000"/>
              </w:rPr>
              <w:t> </w:t>
            </w:r>
          </w:p>
        </w:tc>
        <w:tc>
          <w:tcPr>
            <w:tcW w:w="6837" w:type="dxa"/>
            <w:vAlign w:val="bottom"/>
          </w:tcPr>
          <w:p w:rsidR="008A62B2" w:rsidRPr="00FB4FFA" w:rsidRDefault="008A62B2" w:rsidP="008A62B2">
            <w:pPr>
              <w:rPr>
                <w:rFonts w:ascii="Times New Roman" w:hAnsi="Times New Roman" w:cs="Times New Roman"/>
                <w:b/>
              </w:rPr>
            </w:pPr>
            <w:r w:rsidRPr="00FB4FFA">
              <w:rPr>
                <w:rFonts w:ascii="Times New Roman" w:hAnsi="Times New Roman" w:cs="Times New Roman"/>
                <w:b/>
                <w:color w:val="000000"/>
              </w:rPr>
              <w:t>TOTAL</w:t>
            </w:r>
          </w:p>
        </w:tc>
        <w:tc>
          <w:tcPr>
            <w:tcW w:w="1676" w:type="dxa"/>
            <w:vAlign w:val="bottom"/>
          </w:tcPr>
          <w:p w:rsidR="008A62B2" w:rsidRPr="00FB4FFA" w:rsidRDefault="008A62B2" w:rsidP="008A62B2">
            <w:pPr>
              <w:rPr>
                <w:rFonts w:ascii="Times New Roman" w:hAnsi="Times New Roman" w:cs="Times New Roman"/>
                <w:b/>
              </w:rPr>
            </w:pPr>
            <w:r w:rsidRPr="00FB4FFA">
              <w:rPr>
                <w:rFonts w:ascii="Times New Roman" w:hAnsi="Times New Roman" w:cs="Times New Roman"/>
                <w:b/>
                <w:bCs/>
                <w:color w:val="000000"/>
              </w:rPr>
              <w:t>$4,170,204,274</w:t>
            </w:r>
          </w:p>
        </w:tc>
        <w:tc>
          <w:tcPr>
            <w:tcW w:w="1530" w:type="dxa"/>
            <w:vAlign w:val="bottom"/>
          </w:tcPr>
          <w:p w:rsidR="008A62B2" w:rsidRPr="00FB4FFA" w:rsidRDefault="008A62B2" w:rsidP="008A62B2">
            <w:pPr>
              <w:rPr>
                <w:rFonts w:ascii="Times New Roman" w:hAnsi="Times New Roman" w:cs="Times New Roman"/>
                <w:b/>
              </w:rPr>
            </w:pPr>
            <w:r w:rsidRPr="00FB4FFA">
              <w:rPr>
                <w:rFonts w:ascii="Times New Roman" w:hAnsi="Times New Roman" w:cs="Times New Roman"/>
                <w:color w:val="000000"/>
              </w:rPr>
              <w:t> </w:t>
            </w:r>
          </w:p>
        </w:tc>
      </w:tr>
    </w:tbl>
    <w:p w:rsidR="00FB4FFA" w:rsidRDefault="00FB4FFA" w:rsidP="004A502C">
      <w:pPr>
        <w:spacing w:line="240" w:lineRule="auto"/>
        <w:rPr>
          <w:rFonts w:ascii="Times New Roman" w:hAnsi="Times New Roman" w:cs="Times New Roman"/>
          <w:sz w:val="23"/>
          <w:szCs w:val="23"/>
        </w:rPr>
      </w:pPr>
    </w:p>
    <w:p w:rsidR="004A502C" w:rsidRPr="00160973" w:rsidRDefault="004A502C" w:rsidP="004A502C">
      <w:pPr>
        <w:spacing w:line="240" w:lineRule="auto"/>
        <w:rPr>
          <w:rFonts w:ascii="Times New Roman" w:hAnsi="Times New Roman" w:cs="Times New Roman"/>
          <w:sz w:val="23"/>
          <w:szCs w:val="23"/>
        </w:rPr>
      </w:pPr>
      <w:r w:rsidRPr="00160973">
        <w:rPr>
          <w:rFonts w:ascii="Times New Roman" w:hAnsi="Times New Roman" w:cs="Times New Roman"/>
          <w:sz w:val="23"/>
          <w:szCs w:val="23"/>
        </w:rPr>
        <w:t xml:space="preserve">During this review, </w:t>
      </w:r>
      <w:r w:rsidR="00193E92" w:rsidRPr="00160973">
        <w:rPr>
          <w:rFonts w:ascii="Times New Roman" w:hAnsi="Times New Roman" w:cs="Times New Roman"/>
          <w:sz w:val="23"/>
          <w:szCs w:val="23"/>
        </w:rPr>
        <w:t>DOT</w:t>
      </w:r>
      <w:r w:rsidR="00C5733E" w:rsidRPr="00160973">
        <w:rPr>
          <w:rFonts w:ascii="Times New Roman" w:hAnsi="Times New Roman" w:cs="Times New Roman"/>
          <w:sz w:val="23"/>
          <w:szCs w:val="23"/>
        </w:rPr>
        <w:t xml:space="preserve"> </w:t>
      </w:r>
      <w:r w:rsidR="00444A99" w:rsidRPr="00160973">
        <w:rPr>
          <w:rFonts w:ascii="Times New Roman" w:hAnsi="Times New Roman" w:cs="Times New Roman"/>
          <w:sz w:val="23"/>
          <w:szCs w:val="23"/>
        </w:rPr>
        <w:t xml:space="preserve">evaluated the </w:t>
      </w:r>
      <w:r w:rsidRPr="00160973">
        <w:rPr>
          <w:rFonts w:ascii="Times New Roman" w:hAnsi="Times New Roman" w:cs="Times New Roman"/>
          <w:sz w:val="23"/>
          <w:szCs w:val="23"/>
        </w:rPr>
        <w:t xml:space="preserve">following areas in accordance with </w:t>
      </w:r>
      <w:r w:rsidR="00760F04" w:rsidRPr="00160973">
        <w:rPr>
          <w:rFonts w:ascii="Times New Roman" w:hAnsi="Times New Roman" w:cs="Times New Roman"/>
          <w:sz w:val="23"/>
          <w:szCs w:val="23"/>
        </w:rPr>
        <w:t xml:space="preserve">Public Law 111-117, </w:t>
      </w:r>
      <w:r w:rsidR="002E668F" w:rsidRPr="00160973">
        <w:rPr>
          <w:rFonts w:ascii="Times New Roman" w:hAnsi="Times New Roman" w:cs="Times New Roman"/>
          <w:sz w:val="23"/>
          <w:szCs w:val="23"/>
        </w:rPr>
        <w:t>Section 743(e)(2)</w:t>
      </w:r>
      <w:r w:rsidR="002E668F" w:rsidRPr="00160973">
        <w:rPr>
          <w:rStyle w:val="FootnoteReference"/>
          <w:rFonts w:ascii="Times New Roman" w:hAnsi="Times New Roman" w:cs="Times New Roman"/>
          <w:sz w:val="23"/>
          <w:szCs w:val="23"/>
        </w:rPr>
        <w:footnoteReference w:id="4"/>
      </w:r>
      <w:r w:rsidRPr="00160973">
        <w:rPr>
          <w:rFonts w:ascii="Times New Roman" w:hAnsi="Times New Roman" w:cs="Times New Roman"/>
          <w:sz w:val="23"/>
          <w:szCs w:val="23"/>
        </w:rPr>
        <w:t xml:space="preserve"> and DOT objectives:</w:t>
      </w:r>
    </w:p>
    <w:p w:rsidR="0070565D" w:rsidRPr="00160973" w:rsidRDefault="0070565D" w:rsidP="0070565D">
      <w:pPr>
        <w:pStyle w:val="ListParagraph"/>
        <w:numPr>
          <w:ilvl w:val="0"/>
          <w:numId w:val="26"/>
        </w:numPr>
        <w:spacing w:line="240" w:lineRule="auto"/>
        <w:rPr>
          <w:rFonts w:ascii="Times New Roman" w:hAnsi="Times New Roman" w:cs="Times New Roman"/>
          <w:sz w:val="23"/>
          <w:szCs w:val="23"/>
        </w:rPr>
      </w:pPr>
      <w:r w:rsidRPr="00160973">
        <w:rPr>
          <w:rFonts w:ascii="Times New Roman" w:hAnsi="Times New Roman" w:cs="Times New Roman"/>
          <w:sz w:val="23"/>
          <w:szCs w:val="23"/>
        </w:rPr>
        <w:t>Assessment on whether contractors are performing</w:t>
      </w:r>
      <w:r w:rsidR="00A03666" w:rsidRPr="00160973">
        <w:rPr>
          <w:rFonts w:ascii="Times New Roman" w:hAnsi="Times New Roman" w:cs="Times New Roman"/>
          <w:sz w:val="23"/>
          <w:szCs w:val="23"/>
        </w:rPr>
        <w:t xml:space="preserve"> personal services</w:t>
      </w:r>
      <w:r w:rsidR="00087BF4" w:rsidRPr="00160973">
        <w:rPr>
          <w:rStyle w:val="FootnoteReference"/>
          <w:rFonts w:ascii="Times New Roman" w:hAnsi="Times New Roman" w:cs="Times New Roman"/>
          <w:sz w:val="23"/>
          <w:szCs w:val="23"/>
        </w:rPr>
        <w:footnoteReference w:id="5"/>
      </w:r>
      <w:r w:rsidRPr="00160973">
        <w:rPr>
          <w:rFonts w:ascii="Times New Roman" w:hAnsi="Times New Roman" w:cs="Times New Roman"/>
          <w:sz w:val="23"/>
          <w:szCs w:val="23"/>
        </w:rPr>
        <w:t xml:space="preserve">, inherently </w:t>
      </w:r>
      <w:r w:rsidR="00087BF4" w:rsidRPr="00160973">
        <w:rPr>
          <w:rFonts w:ascii="Times New Roman" w:hAnsi="Times New Roman" w:cs="Times New Roman"/>
          <w:sz w:val="23"/>
          <w:szCs w:val="23"/>
        </w:rPr>
        <w:t>g</w:t>
      </w:r>
      <w:r w:rsidRPr="00160973">
        <w:rPr>
          <w:rFonts w:ascii="Times New Roman" w:hAnsi="Times New Roman" w:cs="Times New Roman"/>
          <w:sz w:val="23"/>
          <w:szCs w:val="23"/>
        </w:rPr>
        <w:t>overnmental</w:t>
      </w:r>
      <w:r w:rsidR="00426C83" w:rsidRPr="00160973">
        <w:rPr>
          <w:rStyle w:val="FootnoteReference"/>
          <w:rFonts w:ascii="Times New Roman" w:hAnsi="Times New Roman" w:cs="Times New Roman"/>
          <w:sz w:val="23"/>
          <w:szCs w:val="23"/>
        </w:rPr>
        <w:footnoteReference w:id="6"/>
      </w:r>
      <w:r w:rsidRPr="00160973">
        <w:rPr>
          <w:rFonts w:ascii="Times New Roman" w:hAnsi="Times New Roman" w:cs="Times New Roman"/>
          <w:sz w:val="23"/>
          <w:szCs w:val="23"/>
        </w:rPr>
        <w:t xml:space="preserve">, closely associated to inherently </w:t>
      </w:r>
      <w:r w:rsidR="00426C83" w:rsidRPr="00160973">
        <w:rPr>
          <w:rFonts w:ascii="Times New Roman" w:hAnsi="Times New Roman" w:cs="Times New Roman"/>
          <w:sz w:val="23"/>
          <w:szCs w:val="23"/>
        </w:rPr>
        <w:t>g</w:t>
      </w:r>
      <w:r w:rsidRPr="00160973">
        <w:rPr>
          <w:rFonts w:ascii="Times New Roman" w:hAnsi="Times New Roman" w:cs="Times New Roman"/>
          <w:sz w:val="23"/>
          <w:szCs w:val="23"/>
        </w:rPr>
        <w:t>overnment</w:t>
      </w:r>
      <w:r w:rsidR="00426C83" w:rsidRPr="00160973">
        <w:rPr>
          <w:rFonts w:ascii="Times New Roman" w:hAnsi="Times New Roman" w:cs="Times New Roman"/>
          <w:sz w:val="23"/>
          <w:szCs w:val="23"/>
        </w:rPr>
        <w:t>al</w:t>
      </w:r>
      <w:r w:rsidR="00426C83" w:rsidRPr="00160973">
        <w:rPr>
          <w:rStyle w:val="FootnoteReference"/>
          <w:rFonts w:ascii="Times New Roman" w:hAnsi="Times New Roman" w:cs="Times New Roman"/>
          <w:sz w:val="23"/>
          <w:szCs w:val="23"/>
        </w:rPr>
        <w:footnoteReference w:id="7"/>
      </w:r>
      <w:r w:rsidRPr="00160973">
        <w:rPr>
          <w:rFonts w:ascii="Times New Roman" w:hAnsi="Times New Roman" w:cs="Times New Roman"/>
          <w:sz w:val="23"/>
          <w:szCs w:val="23"/>
        </w:rPr>
        <w:t xml:space="preserve"> or</w:t>
      </w:r>
      <w:r w:rsidR="00A03666" w:rsidRPr="00160973">
        <w:rPr>
          <w:rFonts w:ascii="Times New Roman" w:hAnsi="Times New Roman" w:cs="Times New Roman"/>
          <w:sz w:val="23"/>
          <w:szCs w:val="23"/>
        </w:rPr>
        <w:t xml:space="preserve"> critical</w:t>
      </w:r>
      <w:r w:rsidR="00426C83" w:rsidRPr="00160973">
        <w:rPr>
          <w:rStyle w:val="FootnoteReference"/>
          <w:rFonts w:ascii="Times New Roman" w:hAnsi="Times New Roman" w:cs="Times New Roman"/>
          <w:sz w:val="23"/>
          <w:szCs w:val="23"/>
        </w:rPr>
        <w:footnoteReference w:id="8"/>
      </w:r>
      <w:r w:rsidR="00A03666" w:rsidRPr="00160973">
        <w:rPr>
          <w:rFonts w:ascii="Times New Roman" w:hAnsi="Times New Roman" w:cs="Times New Roman"/>
          <w:sz w:val="23"/>
          <w:szCs w:val="23"/>
        </w:rPr>
        <w:t xml:space="preserve"> functions</w:t>
      </w:r>
      <w:r w:rsidRPr="00160973">
        <w:rPr>
          <w:rFonts w:ascii="Times New Roman" w:hAnsi="Times New Roman" w:cs="Times New Roman"/>
          <w:sz w:val="23"/>
          <w:szCs w:val="23"/>
        </w:rPr>
        <w:t>;</w:t>
      </w:r>
    </w:p>
    <w:p w:rsidR="004A502C" w:rsidRPr="00160973" w:rsidRDefault="0070565D" w:rsidP="00846F44">
      <w:pPr>
        <w:pStyle w:val="ListParagraph"/>
        <w:numPr>
          <w:ilvl w:val="0"/>
          <w:numId w:val="26"/>
        </w:numPr>
        <w:spacing w:line="240" w:lineRule="auto"/>
        <w:rPr>
          <w:rFonts w:ascii="Times New Roman" w:hAnsi="Times New Roman" w:cs="Times New Roman"/>
          <w:sz w:val="23"/>
          <w:szCs w:val="23"/>
        </w:rPr>
      </w:pPr>
      <w:r w:rsidRPr="00160973">
        <w:rPr>
          <w:rFonts w:ascii="Times New Roman" w:hAnsi="Times New Roman" w:cs="Times New Roman"/>
          <w:sz w:val="23"/>
          <w:szCs w:val="23"/>
        </w:rPr>
        <w:t xml:space="preserve">Assessment of the </w:t>
      </w:r>
      <w:r w:rsidR="00087BF4" w:rsidRPr="00160973">
        <w:rPr>
          <w:rFonts w:ascii="Times New Roman" w:hAnsi="Times New Roman" w:cs="Times New Roman"/>
          <w:sz w:val="23"/>
          <w:szCs w:val="23"/>
        </w:rPr>
        <w:t>e</w:t>
      </w:r>
      <w:r w:rsidR="004A502C" w:rsidRPr="00160973">
        <w:rPr>
          <w:rFonts w:ascii="Times New Roman" w:hAnsi="Times New Roman" w:cs="Times New Roman"/>
          <w:sz w:val="23"/>
          <w:szCs w:val="23"/>
        </w:rPr>
        <w:t xml:space="preserve">ffective balancing of contracted and </w:t>
      </w:r>
      <w:r w:rsidR="00087BF4" w:rsidRPr="00160973">
        <w:rPr>
          <w:rFonts w:ascii="Times New Roman" w:hAnsi="Times New Roman" w:cs="Times New Roman"/>
          <w:sz w:val="23"/>
          <w:szCs w:val="23"/>
        </w:rPr>
        <w:t>g</w:t>
      </w:r>
      <w:r w:rsidR="004A502C" w:rsidRPr="00160973">
        <w:rPr>
          <w:rFonts w:ascii="Times New Roman" w:hAnsi="Times New Roman" w:cs="Times New Roman"/>
          <w:sz w:val="23"/>
          <w:szCs w:val="23"/>
        </w:rPr>
        <w:t>overnment resources for these efforts;</w:t>
      </w:r>
      <w:r w:rsidR="002422C3" w:rsidRPr="00160973">
        <w:rPr>
          <w:rFonts w:ascii="Times New Roman" w:hAnsi="Times New Roman" w:cs="Times New Roman"/>
          <w:sz w:val="23"/>
          <w:szCs w:val="23"/>
        </w:rPr>
        <w:t xml:space="preserve"> </w:t>
      </w:r>
    </w:p>
    <w:p w:rsidR="002E668F" w:rsidRPr="00160973" w:rsidRDefault="0057774E" w:rsidP="002422C3">
      <w:pPr>
        <w:pStyle w:val="ListParagraph"/>
        <w:numPr>
          <w:ilvl w:val="0"/>
          <w:numId w:val="26"/>
        </w:numPr>
        <w:spacing w:line="240" w:lineRule="auto"/>
        <w:rPr>
          <w:rFonts w:ascii="Times New Roman" w:hAnsi="Times New Roman" w:cs="Times New Roman"/>
          <w:sz w:val="23"/>
          <w:szCs w:val="23"/>
        </w:rPr>
      </w:pPr>
      <w:r w:rsidRPr="00160973">
        <w:rPr>
          <w:rFonts w:ascii="Times New Roman" w:hAnsi="Times New Roman" w:cs="Times New Roman"/>
          <w:sz w:val="23"/>
          <w:szCs w:val="23"/>
        </w:rPr>
        <w:t>Assessment of t</w:t>
      </w:r>
      <w:r w:rsidR="004A502C" w:rsidRPr="00160973">
        <w:rPr>
          <w:rFonts w:ascii="Times New Roman" w:hAnsi="Times New Roman" w:cs="Times New Roman"/>
          <w:sz w:val="23"/>
          <w:szCs w:val="23"/>
        </w:rPr>
        <w:t xml:space="preserve">he </w:t>
      </w:r>
      <w:r w:rsidR="00444A99" w:rsidRPr="00160973">
        <w:rPr>
          <w:rFonts w:ascii="Times New Roman" w:hAnsi="Times New Roman" w:cs="Times New Roman"/>
          <w:sz w:val="23"/>
          <w:szCs w:val="23"/>
        </w:rPr>
        <w:t>extent to which contract awards within these functions leverage existing Federal or Departmental enterprise contract vehicles or present future opportunities for contract consolidation and reduction of duplicated efforts</w:t>
      </w:r>
      <w:r w:rsidR="002422C3" w:rsidRPr="00160973">
        <w:rPr>
          <w:rFonts w:ascii="Times New Roman" w:hAnsi="Times New Roman" w:cs="Times New Roman"/>
          <w:sz w:val="23"/>
          <w:szCs w:val="23"/>
        </w:rPr>
        <w:t>; and</w:t>
      </w:r>
    </w:p>
    <w:p w:rsidR="002422C3" w:rsidRDefault="002422C3" w:rsidP="002422C3">
      <w:pPr>
        <w:pStyle w:val="ListParagraph"/>
        <w:numPr>
          <w:ilvl w:val="0"/>
          <w:numId w:val="26"/>
        </w:numPr>
        <w:spacing w:line="240" w:lineRule="auto"/>
        <w:rPr>
          <w:rFonts w:ascii="Times New Roman" w:hAnsi="Times New Roman" w:cs="Times New Roman"/>
          <w:sz w:val="23"/>
          <w:szCs w:val="23"/>
        </w:rPr>
      </w:pPr>
      <w:r w:rsidRPr="00160973">
        <w:rPr>
          <w:rFonts w:ascii="Times New Roman" w:hAnsi="Times New Roman" w:cs="Times New Roman"/>
          <w:sz w:val="23"/>
          <w:szCs w:val="23"/>
        </w:rPr>
        <w:t>Overall assessment of the sufficiency of internal agency resources to oversee and effectively manage service contracts.</w:t>
      </w:r>
    </w:p>
    <w:p w:rsidR="00C12EF4" w:rsidRPr="00160973" w:rsidRDefault="00C12EF4" w:rsidP="00C12EF4">
      <w:pPr>
        <w:pStyle w:val="ListParagraph"/>
        <w:spacing w:line="240" w:lineRule="auto"/>
        <w:rPr>
          <w:rFonts w:ascii="Times New Roman" w:hAnsi="Times New Roman" w:cs="Times New Roman"/>
          <w:sz w:val="23"/>
          <w:szCs w:val="23"/>
        </w:rPr>
      </w:pPr>
    </w:p>
    <w:p w:rsidR="00A105D4" w:rsidRPr="00160973" w:rsidRDefault="001A67A4" w:rsidP="009924E0">
      <w:pPr>
        <w:pStyle w:val="Heading1"/>
        <w:numPr>
          <w:ilvl w:val="0"/>
          <w:numId w:val="0"/>
        </w:numPr>
        <w:spacing w:before="200" w:after="200"/>
        <w:ind w:left="720" w:hanging="720"/>
      </w:pPr>
      <w:bookmarkStart w:id="6" w:name="_Toc3887236"/>
      <w:r w:rsidRPr="00160973">
        <w:t xml:space="preserve">3.0 – </w:t>
      </w:r>
      <w:r w:rsidR="00A105D4" w:rsidRPr="00160973">
        <w:t>Methodology</w:t>
      </w:r>
      <w:bookmarkEnd w:id="6"/>
    </w:p>
    <w:p w:rsidR="008D3B03" w:rsidRPr="00160973" w:rsidRDefault="00166376" w:rsidP="00645F91">
      <w:pPr>
        <w:spacing w:after="120" w:line="240" w:lineRule="auto"/>
        <w:rPr>
          <w:rFonts w:ascii="Times New Roman" w:hAnsi="Times New Roman" w:cs="Times New Roman"/>
          <w:sz w:val="23"/>
          <w:szCs w:val="23"/>
        </w:rPr>
      </w:pPr>
      <w:r w:rsidRPr="00160973">
        <w:rPr>
          <w:rFonts w:ascii="Times New Roman" w:hAnsi="Times New Roman" w:cs="Times New Roman"/>
          <w:sz w:val="23"/>
          <w:szCs w:val="23"/>
        </w:rPr>
        <w:t xml:space="preserve">The </w:t>
      </w:r>
      <w:bookmarkStart w:id="7" w:name="_Hlk1424709"/>
      <w:r w:rsidR="00D80668" w:rsidRPr="00160973">
        <w:rPr>
          <w:rFonts w:ascii="Times New Roman" w:hAnsi="Times New Roman" w:cs="Times New Roman"/>
          <w:sz w:val="23"/>
          <w:szCs w:val="23"/>
        </w:rPr>
        <w:t xml:space="preserve">OSPE developed a </w:t>
      </w:r>
      <w:r w:rsidRPr="00160973">
        <w:rPr>
          <w:rFonts w:ascii="Times New Roman" w:hAnsi="Times New Roman" w:cs="Times New Roman"/>
          <w:sz w:val="23"/>
          <w:szCs w:val="23"/>
        </w:rPr>
        <w:t xml:space="preserve">FY 2017 SCI analysis spreadsheet </w:t>
      </w:r>
      <w:bookmarkEnd w:id="7"/>
      <w:r w:rsidR="00A105D4" w:rsidRPr="00160973">
        <w:rPr>
          <w:rFonts w:ascii="Times New Roman" w:hAnsi="Times New Roman" w:cs="Times New Roman"/>
          <w:sz w:val="23"/>
          <w:szCs w:val="23"/>
        </w:rPr>
        <w:t xml:space="preserve">pre-populated with basic contract award </w:t>
      </w:r>
      <w:r w:rsidRPr="00160973">
        <w:rPr>
          <w:rFonts w:ascii="Times New Roman" w:hAnsi="Times New Roman" w:cs="Times New Roman"/>
          <w:sz w:val="23"/>
          <w:szCs w:val="23"/>
        </w:rPr>
        <w:t xml:space="preserve">information </w:t>
      </w:r>
      <w:r w:rsidR="00A105D4" w:rsidRPr="00160973">
        <w:rPr>
          <w:rFonts w:ascii="Times New Roman" w:hAnsi="Times New Roman" w:cs="Times New Roman"/>
          <w:sz w:val="23"/>
          <w:szCs w:val="23"/>
        </w:rPr>
        <w:t xml:space="preserve">available in FPDS-NG for selected PSCs with obligations exceeding the Simplified Acquisition </w:t>
      </w:r>
      <w:r w:rsidR="008D3B03" w:rsidRPr="00160973">
        <w:rPr>
          <w:rFonts w:ascii="Times New Roman" w:hAnsi="Times New Roman" w:cs="Times New Roman"/>
          <w:sz w:val="23"/>
          <w:szCs w:val="23"/>
        </w:rPr>
        <w:t>T</w:t>
      </w:r>
      <w:r w:rsidR="00A105D4" w:rsidRPr="00160973">
        <w:rPr>
          <w:rFonts w:ascii="Times New Roman" w:hAnsi="Times New Roman" w:cs="Times New Roman"/>
          <w:sz w:val="23"/>
          <w:szCs w:val="23"/>
        </w:rPr>
        <w:t>hreshold</w:t>
      </w:r>
      <w:r w:rsidR="008D3B03" w:rsidRPr="00160973">
        <w:rPr>
          <w:rFonts w:ascii="Times New Roman" w:hAnsi="Times New Roman" w:cs="Times New Roman"/>
          <w:sz w:val="23"/>
          <w:szCs w:val="23"/>
        </w:rPr>
        <w:t xml:space="preserve"> (SAT)</w:t>
      </w:r>
      <w:r w:rsidR="004A502C" w:rsidRPr="00160973">
        <w:rPr>
          <w:rStyle w:val="FootnoteReference"/>
          <w:rFonts w:ascii="Times New Roman" w:hAnsi="Times New Roman" w:cs="Times New Roman"/>
          <w:sz w:val="23"/>
          <w:szCs w:val="23"/>
        </w:rPr>
        <w:footnoteReference w:id="9"/>
      </w:r>
      <w:r w:rsidR="002E668F" w:rsidRPr="00160973">
        <w:rPr>
          <w:rFonts w:ascii="Times New Roman" w:hAnsi="Times New Roman" w:cs="Times New Roman"/>
          <w:sz w:val="23"/>
          <w:szCs w:val="23"/>
        </w:rPr>
        <w:t xml:space="preserve"> (see Attachment No. 2 – DOT SCI Analysis Spreadsheet Template).</w:t>
      </w:r>
      <w:r w:rsidR="00A105D4" w:rsidRPr="00160973">
        <w:rPr>
          <w:rFonts w:ascii="Times New Roman" w:hAnsi="Times New Roman" w:cs="Times New Roman"/>
          <w:sz w:val="23"/>
          <w:szCs w:val="23"/>
        </w:rPr>
        <w:t xml:space="preserve">  T</w:t>
      </w:r>
      <w:r w:rsidRPr="00160973">
        <w:rPr>
          <w:rFonts w:ascii="Times New Roman" w:hAnsi="Times New Roman" w:cs="Times New Roman"/>
          <w:sz w:val="23"/>
          <w:szCs w:val="23"/>
        </w:rPr>
        <w:t>he spreadsheet was organized by</w:t>
      </w:r>
      <w:r w:rsidR="008D3B03" w:rsidRPr="00160973">
        <w:rPr>
          <w:rFonts w:ascii="Times New Roman" w:hAnsi="Times New Roman" w:cs="Times New Roman"/>
          <w:sz w:val="23"/>
          <w:szCs w:val="23"/>
        </w:rPr>
        <w:t xml:space="preserve"> DOT </w:t>
      </w:r>
      <w:r w:rsidRPr="00160973">
        <w:rPr>
          <w:rFonts w:ascii="Times New Roman" w:hAnsi="Times New Roman" w:cs="Times New Roman"/>
          <w:sz w:val="23"/>
          <w:szCs w:val="23"/>
        </w:rPr>
        <w:t>O</w:t>
      </w:r>
      <w:r w:rsidR="00A105D4" w:rsidRPr="00160973">
        <w:rPr>
          <w:rFonts w:ascii="Times New Roman" w:hAnsi="Times New Roman" w:cs="Times New Roman"/>
          <w:sz w:val="23"/>
          <w:szCs w:val="23"/>
        </w:rPr>
        <w:t>perating Administration (OA)</w:t>
      </w:r>
      <w:r w:rsidR="00FB7713" w:rsidRPr="00160973">
        <w:rPr>
          <w:rStyle w:val="FootnoteReference"/>
          <w:rFonts w:ascii="Times New Roman" w:hAnsi="Times New Roman" w:cs="Times New Roman"/>
          <w:sz w:val="23"/>
          <w:szCs w:val="23"/>
        </w:rPr>
        <w:footnoteReference w:id="10"/>
      </w:r>
      <w:r w:rsidRPr="00160973">
        <w:rPr>
          <w:rFonts w:ascii="Times New Roman" w:hAnsi="Times New Roman" w:cs="Times New Roman"/>
          <w:sz w:val="23"/>
          <w:szCs w:val="23"/>
        </w:rPr>
        <w:t xml:space="preserve"> and listed all FY 2017 award</w:t>
      </w:r>
      <w:r w:rsidR="00BF1A6D">
        <w:rPr>
          <w:rFonts w:ascii="Times New Roman" w:hAnsi="Times New Roman" w:cs="Times New Roman"/>
          <w:sz w:val="23"/>
          <w:szCs w:val="23"/>
        </w:rPr>
        <w:t xml:space="preserve"> </w:t>
      </w:r>
      <w:r w:rsidR="00C14602">
        <w:rPr>
          <w:rFonts w:ascii="Times New Roman" w:hAnsi="Times New Roman" w:cs="Times New Roman"/>
          <w:sz w:val="23"/>
          <w:szCs w:val="23"/>
        </w:rPr>
        <w:t>obligatio</w:t>
      </w:r>
      <w:r w:rsidR="00C14602" w:rsidRPr="00160973">
        <w:rPr>
          <w:rFonts w:ascii="Times New Roman" w:hAnsi="Times New Roman" w:cs="Times New Roman"/>
          <w:sz w:val="23"/>
          <w:szCs w:val="23"/>
        </w:rPr>
        <w:t>ns</w:t>
      </w:r>
      <w:r w:rsidRPr="00160973">
        <w:rPr>
          <w:rFonts w:ascii="Times New Roman" w:hAnsi="Times New Roman" w:cs="Times New Roman"/>
          <w:sz w:val="23"/>
          <w:szCs w:val="23"/>
        </w:rPr>
        <w:t xml:space="preserve"> within the scope of th</w:t>
      </w:r>
      <w:r w:rsidR="00573BFA" w:rsidRPr="00160973">
        <w:rPr>
          <w:rFonts w:ascii="Times New Roman" w:hAnsi="Times New Roman" w:cs="Times New Roman"/>
          <w:sz w:val="23"/>
          <w:szCs w:val="23"/>
        </w:rPr>
        <w:t>is</w:t>
      </w:r>
      <w:r w:rsidRPr="00160973">
        <w:rPr>
          <w:rFonts w:ascii="Times New Roman" w:hAnsi="Times New Roman" w:cs="Times New Roman"/>
          <w:sz w:val="23"/>
          <w:szCs w:val="23"/>
        </w:rPr>
        <w:t xml:space="preserve"> analysis. </w:t>
      </w:r>
      <w:r w:rsidR="002E668F" w:rsidRPr="00160973">
        <w:rPr>
          <w:rFonts w:ascii="Times New Roman" w:hAnsi="Times New Roman" w:cs="Times New Roman"/>
          <w:sz w:val="23"/>
          <w:szCs w:val="23"/>
        </w:rPr>
        <w:t>For the purposes of this review, e</w:t>
      </w:r>
      <w:r w:rsidR="00EF0321" w:rsidRPr="00160973">
        <w:rPr>
          <w:rFonts w:ascii="Times New Roman" w:hAnsi="Times New Roman" w:cs="Times New Roman"/>
          <w:sz w:val="23"/>
          <w:szCs w:val="23"/>
        </w:rPr>
        <w:t>ach OA was instructed to:</w:t>
      </w:r>
    </w:p>
    <w:p w:rsidR="00EF0321" w:rsidRPr="00160973" w:rsidRDefault="00EF0321" w:rsidP="002E668F">
      <w:pPr>
        <w:pStyle w:val="ListParagraph"/>
        <w:numPr>
          <w:ilvl w:val="0"/>
          <w:numId w:val="27"/>
        </w:numPr>
        <w:spacing w:after="120" w:line="240" w:lineRule="auto"/>
        <w:rPr>
          <w:rFonts w:ascii="Times New Roman" w:hAnsi="Times New Roman" w:cs="Times New Roman"/>
          <w:sz w:val="23"/>
          <w:szCs w:val="23"/>
        </w:rPr>
      </w:pPr>
      <w:r w:rsidRPr="00160973">
        <w:rPr>
          <w:rFonts w:ascii="Times New Roman" w:hAnsi="Times New Roman" w:cs="Times New Roman"/>
          <w:sz w:val="23"/>
          <w:szCs w:val="23"/>
        </w:rPr>
        <w:t xml:space="preserve">Select and review a minimum of </w:t>
      </w:r>
      <w:r w:rsidRPr="00160973">
        <w:rPr>
          <w:rFonts w:ascii="Times New Roman" w:hAnsi="Times New Roman" w:cs="Times New Roman"/>
          <w:bCs/>
          <w:sz w:val="23"/>
          <w:szCs w:val="23"/>
        </w:rPr>
        <w:t>50%</w:t>
      </w:r>
      <w:r w:rsidRPr="00160973">
        <w:rPr>
          <w:rFonts w:ascii="Times New Roman" w:hAnsi="Times New Roman" w:cs="Times New Roman"/>
          <w:sz w:val="23"/>
          <w:szCs w:val="23"/>
        </w:rPr>
        <w:t xml:space="preserve"> of the total obligations </w:t>
      </w:r>
      <w:r w:rsidR="005610B1" w:rsidRPr="00160973">
        <w:rPr>
          <w:rFonts w:ascii="Times New Roman" w:hAnsi="Times New Roman" w:cs="Times New Roman"/>
          <w:sz w:val="23"/>
          <w:szCs w:val="23"/>
        </w:rPr>
        <w:t xml:space="preserve">provided in </w:t>
      </w:r>
      <w:r w:rsidR="002E668F" w:rsidRPr="00160973">
        <w:rPr>
          <w:rFonts w:ascii="Times New Roman" w:hAnsi="Times New Roman" w:cs="Times New Roman"/>
          <w:sz w:val="23"/>
          <w:szCs w:val="23"/>
        </w:rPr>
        <w:t>the OA’s</w:t>
      </w:r>
      <w:r w:rsidR="00E01B26" w:rsidRPr="00160973">
        <w:rPr>
          <w:rFonts w:ascii="Times New Roman" w:hAnsi="Times New Roman" w:cs="Times New Roman"/>
          <w:sz w:val="23"/>
          <w:szCs w:val="23"/>
        </w:rPr>
        <w:t xml:space="preserve"> spreadsheet </w:t>
      </w:r>
      <w:r w:rsidRPr="00160973">
        <w:rPr>
          <w:rFonts w:ascii="Times New Roman" w:hAnsi="Times New Roman" w:cs="Times New Roman"/>
          <w:sz w:val="23"/>
          <w:szCs w:val="23"/>
        </w:rPr>
        <w:t xml:space="preserve">and/or </w:t>
      </w:r>
      <w:r w:rsidR="002E668F" w:rsidRPr="00160973">
        <w:rPr>
          <w:rFonts w:ascii="Times New Roman" w:hAnsi="Times New Roman" w:cs="Times New Roman"/>
          <w:bCs/>
          <w:sz w:val="23"/>
          <w:szCs w:val="23"/>
        </w:rPr>
        <w:t>ten</w:t>
      </w:r>
      <w:r w:rsidRPr="00160973">
        <w:rPr>
          <w:rFonts w:ascii="Times New Roman" w:hAnsi="Times New Roman" w:cs="Times New Roman"/>
          <w:bCs/>
          <w:sz w:val="23"/>
          <w:szCs w:val="23"/>
        </w:rPr>
        <w:t xml:space="preserve"> </w:t>
      </w:r>
      <w:r w:rsidR="00CF4142" w:rsidRPr="00160973">
        <w:rPr>
          <w:rFonts w:ascii="Times New Roman" w:hAnsi="Times New Roman" w:cs="Times New Roman"/>
          <w:sz w:val="23"/>
          <w:szCs w:val="23"/>
        </w:rPr>
        <w:t>contract actions</w:t>
      </w:r>
      <w:r w:rsidR="00E01B26" w:rsidRPr="00160973">
        <w:rPr>
          <w:rFonts w:ascii="Times New Roman" w:hAnsi="Times New Roman" w:cs="Times New Roman"/>
          <w:sz w:val="23"/>
          <w:szCs w:val="23"/>
        </w:rPr>
        <w:t>,</w:t>
      </w:r>
      <w:r w:rsidRPr="00160973">
        <w:rPr>
          <w:rFonts w:ascii="Times New Roman" w:hAnsi="Times New Roman" w:cs="Times New Roman"/>
          <w:sz w:val="23"/>
          <w:szCs w:val="23"/>
        </w:rPr>
        <w:t xml:space="preserve"> whichever</w:t>
      </w:r>
      <w:r w:rsidR="00E01B26" w:rsidRPr="00160973">
        <w:rPr>
          <w:rFonts w:ascii="Times New Roman" w:hAnsi="Times New Roman" w:cs="Times New Roman"/>
          <w:sz w:val="23"/>
          <w:szCs w:val="23"/>
        </w:rPr>
        <w:t xml:space="preserve"> was</w:t>
      </w:r>
      <w:r w:rsidR="002E668F" w:rsidRPr="00160973">
        <w:rPr>
          <w:rFonts w:ascii="Times New Roman" w:hAnsi="Times New Roman" w:cs="Times New Roman"/>
          <w:sz w:val="23"/>
          <w:szCs w:val="23"/>
        </w:rPr>
        <w:t xml:space="preserve"> greater</w:t>
      </w:r>
      <w:r w:rsidR="00384682" w:rsidRPr="00160973">
        <w:rPr>
          <w:rFonts w:ascii="Times New Roman" w:hAnsi="Times New Roman" w:cs="Times New Roman"/>
          <w:sz w:val="23"/>
          <w:szCs w:val="23"/>
        </w:rPr>
        <w:t>;</w:t>
      </w:r>
    </w:p>
    <w:p w:rsidR="00A81D63" w:rsidRPr="00160973" w:rsidRDefault="00A81D63" w:rsidP="002E668F">
      <w:pPr>
        <w:pStyle w:val="ListParagraph"/>
        <w:numPr>
          <w:ilvl w:val="0"/>
          <w:numId w:val="27"/>
        </w:numPr>
        <w:spacing w:after="120" w:line="240" w:lineRule="auto"/>
        <w:rPr>
          <w:rFonts w:ascii="Times New Roman" w:hAnsi="Times New Roman" w:cs="Times New Roman"/>
          <w:sz w:val="23"/>
          <w:szCs w:val="23"/>
        </w:rPr>
      </w:pPr>
      <w:r w:rsidRPr="00160973">
        <w:rPr>
          <w:rFonts w:ascii="Times New Roman" w:hAnsi="Times New Roman" w:cs="Times New Roman"/>
          <w:sz w:val="23"/>
          <w:szCs w:val="23"/>
        </w:rPr>
        <w:t xml:space="preserve">Ensure </w:t>
      </w:r>
      <w:r w:rsidR="00384682" w:rsidRPr="00160973">
        <w:rPr>
          <w:rFonts w:ascii="Times New Roman" w:hAnsi="Times New Roman" w:cs="Times New Roman"/>
          <w:sz w:val="23"/>
          <w:szCs w:val="23"/>
        </w:rPr>
        <w:t xml:space="preserve">a comprehensive review by </w:t>
      </w:r>
      <w:r w:rsidRPr="00160973">
        <w:rPr>
          <w:rFonts w:ascii="Times New Roman" w:hAnsi="Times New Roman" w:cs="Times New Roman"/>
          <w:sz w:val="23"/>
          <w:szCs w:val="23"/>
        </w:rPr>
        <w:t>select</w:t>
      </w:r>
      <w:r w:rsidR="00384682" w:rsidRPr="00160973">
        <w:rPr>
          <w:rFonts w:ascii="Times New Roman" w:hAnsi="Times New Roman" w:cs="Times New Roman"/>
          <w:sz w:val="23"/>
          <w:szCs w:val="23"/>
        </w:rPr>
        <w:t xml:space="preserve">ing and </w:t>
      </w:r>
      <w:r w:rsidRPr="00160973">
        <w:rPr>
          <w:rFonts w:ascii="Times New Roman" w:hAnsi="Times New Roman" w:cs="Times New Roman"/>
          <w:sz w:val="23"/>
          <w:szCs w:val="23"/>
        </w:rPr>
        <w:t>review</w:t>
      </w:r>
      <w:r w:rsidR="00384682" w:rsidRPr="00160973">
        <w:rPr>
          <w:rFonts w:ascii="Times New Roman" w:hAnsi="Times New Roman" w:cs="Times New Roman"/>
          <w:sz w:val="23"/>
          <w:szCs w:val="23"/>
        </w:rPr>
        <w:t xml:space="preserve">ing </w:t>
      </w:r>
      <w:proofErr w:type="spellStart"/>
      <w:r w:rsidR="00B46BEE">
        <w:rPr>
          <w:rFonts w:ascii="Times New Roman" w:hAnsi="Times New Roman" w:cs="Times New Roman"/>
          <w:sz w:val="23"/>
          <w:szCs w:val="23"/>
        </w:rPr>
        <w:t>mutiple</w:t>
      </w:r>
      <w:proofErr w:type="spellEnd"/>
      <w:r w:rsidR="00384682" w:rsidRPr="00160973">
        <w:rPr>
          <w:rFonts w:ascii="Times New Roman" w:hAnsi="Times New Roman" w:cs="Times New Roman"/>
          <w:sz w:val="23"/>
          <w:szCs w:val="23"/>
        </w:rPr>
        <w:t xml:space="preserve"> contract types (i.e., Firm-Fixed-Price (FFP), Time and Material (T&amp;M), Cost Reimbursable (CR), etc.);</w:t>
      </w:r>
    </w:p>
    <w:p w:rsidR="00EF0321" w:rsidRPr="00160973" w:rsidRDefault="00EF0321" w:rsidP="002E668F">
      <w:pPr>
        <w:pStyle w:val="ListParagraph"/>
        <w:numPr>
          <w:ilvl w:val="0"/>
          <w:numId w:val="27"/>
        </w:numPr>
        <w:spacing w:after="120" w:line="240" w:lineRule="auto"/>
        <w:rPr>
          <w:rFonts w:ascii="Times New Roman" w:hAnsi="Times New Roman" w:cs="Times New Roman"/>
          <w:sz w:val="23"/>
          <w:szCs w:val="23"/>
        </w:rPr>
      </w:pPr>
      <w:bookmarkStart w:id="8" w:name="_Hlk1433886"/>
      <w:r w:rsidRPr="00160973">
        <w:rPr>
          <w:rFonts w:ascii="Times New Roman" w:hAnsi="Times New Roman" w:cs="Times New Roman"/>
          <w:sz w:val="23"/>
          <w:szCs w:val="23"/>
        </w:rPr>
        <w:t xml:space="preserve">Select and review </w:t>
      </w:r>
      <w:r w:rsidRPr="00160973">
        <w:rPr>
          <w:rFonts w:ascii="Times New Roman" w:hAnsi="Times New Roman" w:cs="Times New Roman"/>
          <w:bCs/>
          <w:sz w:val="23"/>
          <w:szCs w:val="23"/>
        </w:rPr>
        <w:t>all</w:t>
      </w:r>
      <w:r w:rsidR="002C2E0B" w:rsidRPr="00160973">
        <w:rPr>
          <w:rFonts w:ascii="Times New Roman" w:hAnsi="Times New Roman" w:cs="Times New Roman"/>
          <w:sz w:val="23"/>
          <w:szCs w:val="23"/>
        </w:rPr>
        <w:t xml:space="preserve"> </w:t>
      </w:r>
      <w:r w:rsidRPr="00160973">
        <w:rPr>
          <w:rFonts w:ascii="Times New Roman" w:hAnsi="Times New Roman" w:cs="Times New Roman"/>
          <w:sz w:val="23"/>
          <w:szCs w:val="23"/>
        </w:rPr>
        <w:t>PSC R497</w:t>
      </w:r>
      <w:r w:rsidR="002C2E0B" w:rsidRPr="00160973">
        <w:rPr>
          <w:rFonts w:ascii="Times New Roman" w:hAnsi="Times New Roman" w:cs="Times New Roman"/>
          <w:sz w:val="23"/>
          <w:szCs w:val="23"/>
        </w:rPr>
        <w:t xml:space="preserve"> – Personal Services Contracts </w:t>
      </w:r>
      <w:r w:rsidRPr="00160973">
        <w:rPr>
          <w:rFonts w:ascii="Times New Roman" w:hAnsi="Times New Roman" w:cs="Times New Roman"/>
          <w:sz w:val="23"/>
          <w:szCs w:val="23"/>
        </w:rPr>
        <w:t>listed on the FY</w:t>
      </w:r>
      <w:r w:rsidR="00384682" w:rsidRPr="00160973">
        <w:rPr>
          <w:rFonts w:ascii="Times New Roman" w:hAnsi="Times New Roman" w:cs="Times New Roman"/>
          <w:sz w:val="23"/>
          <w:szCs w:val="23"/>
        </w:rPr>
        <w:t xml:space="preserve"> 20</w:t>
      </w:r>
      <w:r w:rsidRPr="00160973">
        <w:rPr>
          <w:rFonts w:ascii="Times New Roman" w:hAnsi="Times New Roman" w:cs="Times New Roman"/>
          <w:sz w:val="23"/>
          <w:szCs w:val="23"/>
        </w:rPr>
        <w:t>17 master spreadsheet</w:t>
      </w:r>
      <w:bookmarkEnd w:id="8"/>
      <w:r w:rsidR="00384682" w:rsidRPr="00160973">
        <w:rPr>
          <w:rFonts w:ascii="Times New Roman" w:hAnsi="Times New Roman" w:cs="Times New Roman"/>
          <w:sz w:val="23"/>
          <w:szCs w:val="23"/>
        </w:rPr>
        <w:t>;</w:t>
      </w:r>
    </w:p>
    <w:p w:rsidR="008D2AF9" w:rsidRPr="00160973" w:rsidRDefault="00384682" w:rsidP="00760F04">
      <w:pPr>
        <w:pStyle w:val="ListParagraph"/>
        <w:numPr>
          <w:ilvl w:val="0"/>
          <w:numId w:val="27"/>
        </w:numPr>
        <w:spacing w:after="120" w:line="240" w:lineRule="auto"/>
        <w:rPr>
          <w:rFonts w:ascii="Times New Roman" w:hAnsi="Times New Roman" w:cs="Times New Roman"/>
          <w:sz w:val="23"/>
          <w:szCs w:val="23"/>
        </w:rPr>
      </w:pPr>
      <w:r w:rsidRPr="00160973">
        <w:rPr>
          <w:rFonts w:ascii="Times New Roman" w:hAnsi="Times New Roman" w:cs="Times New Roman"/>
          <w:sz w:val="23"/>
          <w:szCs w:val="23"/>
        </w:rPr>
        <w:t xml:space="preserve">Provide answers to highlighted </w:t>
      </w:r>
      <w:r w:rsidR="008D2AF9" w:rsidRPr="00160973">
        <w:rPr>
          <w:rFonts w:ascii="Times New Roman" w:hAnsi="Times New Roman" w:cs="Times New Roman"/>
          <w:sz w:val="23"/>
          <w:szCs w:val="23"/>
        </w:rPr>
        <w:t>columns</w:t>
      </w:r>
      <w:r w:rsidRPr="00160973">
        <w:rPr>
          <w:rFonts w:ascii="Times New Roman" w:hAnsi="Times New Roman" w:cs="Times New Roman"/>
          <w:sz w:val="23"/>
          <w:szCs w:val="23"/>
        </w:rPr>
        <w:t xml:space="preserve"> to contribute to </w:t>
      </w:r>
      <w:r w:rsidR="008D2AF9" w:rsidRPr="00160973">
        <w:rPr>
          <w:rFonts w:ascii="Times New Roman" w:hAnsi="Times New Roman" w:cs="Times New Roman"/>
          <w:sz w:val="23"/>
          <w:szCs w:val="23"/>
        </w:rPr>
        <w:t xml:space="preserve">the </w:t>
      </w:r>
      <w:r w:rsidRPr="00160973">
        <w:rPr>
          <w:rFonts w:ascii="Times New Roman" w:hAnsi="Times New Roman" w:cs="Times New Roman"/>
          <w:sz w:val="23"/>
          <w:szCs w:val="23"/>
        </w:rPr>
        <w:t>analysis</w:t>
      </w:r>
      <w:r w:rsidR="002E668F" w:rsidRPr="00160973">
        <w:rPr>
          <w:rFonts w:ascii="Times New Roman" w:hAnsi="Times New Roman" w:cs="Times New Roman"/>
          <w:sz w:val="23"/>
          <w:szCs w:val="23"/>
        </w:rPr>
        <w:t>;</w:t>
      </w:r>
      <w:r w:rsidR="008D2AF9" w:rsidRPr="00160973">
        <w:rPr>
          <w:rFonts w:ascii="Times New Roman" w:hAnsi="Times New Roman" w:cs="Times New Roman"/>
          <w:sz w:val="23"/>
          <w:szCs w:val="23"/>
        </w:rPr>
        <w:t xml:space="preserve"> and</w:t>
      </w:r>
    </w:p>
    <w:p w:rsidR="00A81D63" w:rsidRPr="00160973" w:rsidRDefault="008D2AF9" w:rsidP="002E668F">
      <w:pPr>
        <w:pStyle w:val="ListParagraph"/>
        <w:numPr>
          <w:ilvl w:val="0"/>
          <w:numId w:val="27"/>
        </w:numPr>
        <w:spacing w:after="120" w:line="240" w:lineRule="auto"/>
        <w:rPr>
          <w:rFonts w:ascii="Times New Roman" w:hAnsi="Times New Roman" w:cs="Times New Roman"/>
          <w:sz w:val="23"/>
          <w:szCs w:val="23"/>
        </w:rPr>
      </w:pPr>
      <w:r w:rsidRPr="00160973">
        <w:rPr>
          <w:rFonts w:ascii="Times New Roman" w:hAnsi="Times New Roman" w:cs="Times New Roman"/>
          <w:sz w:val="23"/>
          <w:szCs w:val="23"/>
        </w:rPr>
        <w:t>C</w:t>
      </w:r>
      <w:r w:rsidR="00A81D63" w:rsidRPr="00160973">
        <w:rPr>
          <w:rFonts w:ascii="Times New Roman" w:hAnsi="Times New Roman" w:cs="Times New Roman"/>
          <w:sz w:val="23"/>
          <w:szCs w:val="23"/>
        </w:rPr>
        <w:t xml:space="preserve">ertify </w:t>
      </w:r>
      <w:r w:rsidRPr="00160973">
        <w:rPr>
          <w:rFonts w:ascii="Times New Roman" w:hAnsi="Times New Roman" w:cs="Times New Roman"/>
          <w:sz w:val="23"/>
          <w:szCs w:val="23"/>
        </w:rPr>
        <w:t xml:space="preserve">accuracy and </w:t>
      </w:r>
      <w:r w:rsidR="00A81D63" w:rsidRPr="00160973">
        <w:rPr>
          <w:rFonts w:ascii="Times New Roman" w:hAnsi="Times New Roman" w:cs="Times New Roman"/>
          <w:sz w:val="23"/>
          <w:szCs w:val="23"/>
        </w:rPr>
        <w:t xml:space="preserve">completion </w:t>
      </w:r>
      <w:r w:rsidRPr="00160973">
        <w:rPr>
          <w:rFonts w:ascii="Times New Roman" w:hAnsi="Times New Roman" w:cs="Times New Roman"/>
          <w:sz w:val="23"/>
          <w:szCs w:val="23"/>
        </w:rPr>
        <w:t>of the submission</w:t>
      </w:r>
      <w:r w:rsidR="00A81D63" w:rsidRPr="00160973">
        <w:rPr>
          <w:rFonts w:ascii="Times New Roman" w:hAnsi="Times New Roman" w:cs="Times New Roman"/>
          <w:sz w:val="23"/>
          <w:szCs w:val="23"/>
        </w:rPr>
        <w:t>.</w:t>
      </w:r>
    </w:p>
    <w:p w:rsidR="00EF0321" w:rsidRPr="00160973" w:rsidRDefault="00384682" w:rsidP="00B11F3D">
      <w:pPr>
        <w:spacing w:after="0" w:line="240" w:lineRule="auto"/>
        <w:rPr>
          <w:rFonts w:ascii="Times New Roman" w:hAnsi="Times New Roman" w:cs="Times New Roman"/>
          <w:i/>
          <w:sz w:val="23"/>
          <w:szCs w:val="23"/>
        </w:rPr>
      </w:pPr>
      <w:r w:rsidRPr="00160973">
        <w:rPr>
          <w:rFonts w:ascii="Times New Roman" w:hAnsi="Times New Roman" w:cs="Times New Roman"/>
          <w:sz w:val="23"/>
          <w:szCs w:val="23"/>
        </w:rPr>
        <w:br/>
      </w:r>
      <w:bookmarkStart w:id="9" w:name="_Hlk2810953"/>
      <w:r w:rsidR="00EF0321" w:rsidRPr="00160973">
        <w:rPr>
          <w:rFonts w:ascii="Times New Roman" w:hAnsi="Times New Roman" w:cs="Times New Roman"/>
          <w:sz w:val="23"/>
          <w:szCs w:val="23"/>
        </w:rPr>
        <w:t xml:space="preserve">To complete the analysis, </w:t>
      </w:r>
      <w:r w:rsidR="002E668F" w:rsidRPr="00160973">
        <w:rPr>
          <w:rFonts w:ascii="Times New Roman" w:hAnsi="Times New Roman" w:cs="Times New Roman"/>
          <w:sz w:val="23"/>
          <w:szCs w:val="23"/>
        </w:rPr>
        <w:t>each</w:t>
      </w:r>
      <w:r w:rsidR="00EF0321" w:rsidRPr="00160973">
        <w:rPr>
          <w:rFonts w:ascii="Times New Roman" w:hAnsi="Times New Roman" w:cs="Times New Roman"/>
          <w:sz w:val="23"/>
          <w:szCs w:val="23"/>
        </w:rPr>
        <w:t xml:space="preserve"> OA reviewed the </w:t>
      </w:r>
      <w:r w:rsidR="002E668F" w:rsidRPr="00160973">
        <w:rPr>
          <w:rFonts w:ascii="Times New Roman" w:hAnsi="Times New Roman" w:cs="Times New Roman"/>
          <w:sz w:val="23"/>
          <w:szCs w:val="23"/>
        </w:rPr>
        <w:t xml:space="preserve">identified </w:t>
      </w:r>
      <w:r w:rsidR="00EF0321" w:rsidRPr="00160973">
        <w:rPr>
          <w:rFonts w:ascii="Times New Roman" w:hAnsi="Times New Roman" w:cs="Times New Roman"/>
          <w:sz w:val="23"/>
          <w:szCs w:val="23"/>
        </w:rPr>
        <w:t>contract file</w:t>
      </w:r>
      <w:r w:rsidR="002E668F" w:rsidRPr="00160973">
        <w:rPr>
          <w:rFonts w:ascii="Times New Roman" w:hAnsi="Times New Roman" w:cs="Times New Roman"/>
          <w:sz w:val="23"/>
          <w:szCs w:val="23"/>
        </w:rPr>
        <w:t>s</w:t>
      </w:r>
      <w:r w:rsidR="00EF0321" w:rsidRPr="00160973">
        <w:rPr>
          <w:rFonts w:ascii="Times New Roman" w:hAnsi="Times New Roman" w:cs="Times New Roman"/>
          <w:sz w:val="23"/>
          <w:szCs w:val="23"/>
        </w:rPr>
        <w:t xml:space="preserve"> and, as necessary, conducted interviews with the relevant </w:t>
      </w:r>
      <w:r w:rsidR="0043756B" w:rsidRPr="00160973">
        <w:rPr>
          <w:rFonts w:ascii="Times New Roman" w:hAnsi="Times New Roman" w:cs="Times New Roman"/>
          <w:sz w:val="23"/>
          <w:szCs w:val="23"/>
        </w:rPr>
        <w:t>officials.</w:t>
      </w:r>
      <w:r w:rsidR="00FB7713" w:rsidRPr="00160973">
        <w:rPr>
          <w:rFonts w:ascii="Times New Roman" w:hAnsi="Times New Roman" w:cs="Times New Roman"/>
          <w:sz w:val="23"/>
          <w:szCs w:val="23"/>
        </w:rPr>
        <w:t xml:space="preserve"> </w:t>
      </w:r>
      <w:bookmarkStart w:id="10" w:name="_Hlk3412925"/>
      <w:r w:rsidR="00FB7713" w:rsidRPr="00160973">
        <w:rPr>
          <w:rFonts w:ascii="Times New Roman" w:hAnsi="Times New Roman" w:cs="Times New Roman"/>
          <w:sz w:val="23"/>
          <w:szCs w:val="23"/>
        </w:rPr>
        <w:t xml:space="preserve">Table </w:t>
      </w:r>
      <w:r w:rsidR="0070565D" w:rsidRPr="00160973">
        <w:rPr>
          <w:rFonts w:ascii="Times New Roman" w:hAnsi="Times New Roman" w:cs="Times New Roman"/>
          <w:sz w:val="23"/>
          <w:szCs w:val="23"/>
        </w:rPr>
        <w:t>3</w:t>
      </w:r>
      <w:r w:rsidR="00FB7713" w:rsidRPr="00160973">
        <w:rPr>
          <w:rFonts w:ascii="Times New Roman" w:hAnsi="Times New Roman" w:cs="Times New Roman"/>
          <w:sz w:val="23"/>
          <w:szCs w:val="23"/>
        </w:rPr>
        <w:t xml:space="preserve"> below outlines number of contracts and amount of obligations reviewed by DOT OA.</w:t>
      </w:r>
    </w:p>
    <w:bookmarkEnd w:id="10"/>
    <w:p w:rsidR="00C062E5" w:rsidRPr="00160973" w:rsidRDefault="00C062E5" w:rsidP="00B11F3D">
      <w:pPr>
        <w:spacing w:after="0" w:line="240" w:lineRule="auto"/>
        <w:ind w:left="-180"/>
        <w:rPr>
          <w:rFonts w:ascii="Times New Roman" w:hAnsi="Times New Roman" w:cs="Times New Roman"/>
          <w:sz w:val="23"/>
          <w:szCs w:val="23"/>
        </w:rPr>
      </w:pPr>
    </w:p>
    <w:p w:rsidR="00BD5EBB" w:rsidRPr="00160973" w:rsidRDefault="00A00E2F" w:rsidP="00C42A92">
      <w:pPr>
        <w:spacing w:after="120" w:line="240" w:lineRule="auto"/>
        <w:ind w:left="-180"/>
        <w:rPr>
          <w:rFonts w:ascii="Times New Roman" w:hAnsi="Times New Roman" w:cs="Times New Roman"/>
          <w:b/>
          <w:color w:val="FF0000"/>
          <w:sz w:val="23"/>
          <w:szCs w:val="23"/>
        </w:rPr>
      </w:pPr>
      <w:r w:rsidRPr="00160973">
        <w:rPr>
          <w:rFonts w:ascii="Times New Roman" w:hAnsi="Times New Roman" w:cs="Times New Roman"/>
          <w:sz w:val="23"/>
          <w:szCs w:val="23"/>
        </w:rPr>
        <w:t xml:space="preserve"> </w:t>
      </w:r>
      <w:r w:rsidRPr="00160973">
        <w:rPr>
          <w:rFonts w:ascii="Times New Roman" w:hAnsi="Times New Roman" w:cs="Times New Roman"/>
          <w:b/>
          <w:sz w:val="23"/>
          <w:szCs w:val="23"/>
        </w:rPr>
        <w:t xml:space="preserve"> </w:t>
      </w:r>
      <w:r w:rsidR="00C062E5" w:rsidRPr="00160973">
        <w:rPr>
          <w:rFonts w:ascii="Times New Roman" w:hAnsi="Times New Roman" w:cs="Times New Roman"/>
          <w:b/>
          <w:sz w:val="23"/>
          <w:szCs w:val="23"/>
        </w:rPr>
        <w:t>Table 3 – Number of contract</w:t>
      </w:r>
      <w:r w:rsidR="00E67747">
        <w:rPr>
          <w:rFonts w:ascii="Times New Roman" w:hAnsi="Times New Roman" w:cs="Times New Roman"/>
          <w:b/>
          <w:sz w:val="23"/>
          <w:szCs w:val="23"/>
        </w:rPr>
        <w:t xml:space="preserve"> action</w:t>
      </w:r>
      <w:r w:rsidR="00C062E5" w:rsidRPr="00160973">
        <w:rPr>
          <w:rFonts w:ascii="Times New Roman" w:hAnsi="Times New Roman" w:cs="Times New Roman"/>
          <w:b/>
          <w:sz w:val="23"/>
          <w:szCs w:val="23"/>
        </w:rPr>
        <w:t>s and amount of obligations reviewed by DOT OA</w:t>
      </w:r>
    </w:p>
    <w:tbl>
      <w:tblPr>
        <w:tblW w:w="9203" w:type="dxa"/>
        <w:tblLook w:val="04A0" w:firstRow="1" w:lastRow="0" w:firstColumn="1" w:lastColumn="0" w:noHBand="0" w:noVBand="1"/>
      </w:tblPr>
      <w:tblGrid>
        <w:gridCol w:w="3055"/>
        <w:gridCol w:w="3857"/>
        <w:gridCol w:w="2291"/>
      </w:tblGrid>
      <w:tr w:rsidR="00BD5EBB" w:rsidRPr="00160973" w:rsidTr="00920D27">
        <w:trPr>
          <w:trHeight w:val="269"/>
        </w:trPr>
        <w:tc>
          <w:tcPr>
            <w:tcW w:w="3055" w:type="dxa"/>
            <w:vMerge w:val="restart"/>
            <w:tcBorders>
              <w:top w:val="single" w:sz="4" w:space="0" w:color="auto"/>
              <w:left w:val="single" w:sz="4" w:space="0" w:color="auto"/>
              <w:bottom w:val="single" w:sz="4" w:space="0" w:color="000000"/>
              <w:right w:val="single" w:sz="4" w:space="0" w:color="auto"/>
            </w:tcBorders>
            <w:shd w:val="clear" w:color="000000" w:fill="95B3D7" w:themeFill="accent1" w:themeFillTint="99"/>
            <w:vAlign w:val="center"/>
            <w:hideMark/>
          </w:tcPr>
          <w:p w:rsidR="00BD5EBB" w:rsidRPr="00160973" w:rsidRDefault="00BD5EBB" w:rsidP="00BD5EBB">
            <w:pPr>
              <w:spacing w:after="0" w:line="240" w:lineRule="auto"/>
              <w:jc w:val="center"/>
              <w:rPr>
                <w:rFonts w:ascii="Times New Roman" w:eastAsia="Times New Roman" w:hAnsi="Times New Roman" w:cs="Times New Roman"/>
                <w:b/>
                <w:sz w:val="23"/>
                <w:szCs w:val="23"/>
              </w:rPr>
            </w:pPr>
            <w:r w:rsidRPr="00160973">
              <w:rPr>
                <w:rFonts w:ascii="Times New Roman" w:eastAsia="Times New Roman" w:hAnsi="Times New Roman" w:cs="Times New Roman"/>
                <w:b/>
                <w:sz w:val="23"/>
                <w:szCs w:val="23"/>
              </w:rPr>
              <w:t>Operating Administration</w:t>
            </w:r>
          </w:p>
        </w:tc>
        <w:tc>
          <w:tcPr>
            <w:tcW w:w="3857" w:type="dxa"/>
            <w:vMerge w:val="restart"/>
            <w:tcBorders>
              <w:top w:val="single" w:sz="4" w:space="0" w:color="auto"/>
              <w:left w:val="single" w:sz="4" w:space="0" w:color="auto"/>
              <w:bottom w:val="single" w:sz="4" w:space="0" w:color="000000"/>
              <w:right w:val="single" w:sz="4" w:space="0" w:color="auto"/>
            </w:tcBorders>
            <w:shd w:val="clear" w:color="000000" w:fill="95B3D7" w:themeFill="accent1" w:themeFillTint="99"/>
            <w:vAlign w:val="center"/>
            <w:hideMark/>
          </w:tcPr>
          <w:p w:rsidR="00BD5EBB" w:rsidRPr="00160973" w:rsidRDefault="00BD5EBB" w:rsidP="00BD5EBB">
            <w:pPr>
              <w:spacing w:after="0" w:line="240" w:lineRule="auto"/>
              <w:jc w:val="center"/>
              <w:rPr>
                <w:rFonts w:ascii="Times New Roman" w:eastAsia="Times New Roman" w:hAnsi="Times New Roman" w:cs="Times New Roman"/>
                <w:b/>
                <w:sz w:val="23"/>
                <w:szCs w:val="23"/>
              </w:rPr>
            </w:pPr>
            <w:r w:rsidRPr="00160973">
              <w:rPr>
                <w:rFonts w:ascii="Times New Roman" w:eastAsia="Times New Roman" w:hAnsi="Times New Roman" w:cs="Times New Roman"/>
                <w:b/>
                <w:sz w:val="23"/>
                <w:szCs w:val="23"/>
              </w:rPr>
              <w:t>FY2017 Action Obligations Reviewed</w:t>
            </w:r>
          </w:p>
        </w:tc>
        <w:tc>
          <w:tcPr>
            <w:tcW w:w="2291" w:type="dxa"/>
            <w:vMerge w:val="restart"/>
            <w:tcBorders>
              <w:top w:val="single" w:sz="4" w:space="0" w:color="auto"/>
              <w:left w:val="single" w:sz="4" w:space="0" w:color="auto"/>
              <w:bottom w:val="single" w:sz="4" w:space="0" w:color="000000"/>
              <w:right w:val="single" w:sz="4" w:space="0" w:color="auto"/>
            </w:tcBorders>
            <w:shd w:val="clear" w:color="000000" w:fill="95B3D7" w:themeFill="accent1" w:themeFillTint="99"/>
            <w:vAlign w:val="center"/>
            <w:hideMark/>
          </w:tcPr>
          <w:p w:rsidR="00BD5EBB" w:rsidRPr="00160973" w:rsidRDefault="00E67747" w:rsidP="00BD5EBB">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Number of Contract Actions </w:t>
            </w:r>
            <w:r w:rsidR="00BD5EBB" w:rsidRPr="00160973">
              <w:rPr>
                <w:rFonts w:ascii="Times New Roman" w:eastAsia="Times New Roman" w:hAnsi="Times New Roman" w:cs="Times New Roman"/>
                <w:b/>
                <w:sz w:val="23"/>
                <w:szCs w:val="23"/>
              </w:rPr>
              <w:t>Reviewed</w:t>
            </w:r>
          </w:p>
        </w:tc>
      </w:tr>
      <w:tr w:rsidR="00BD5EBB" w:rsidRPr="00160973" w:rsidTr="00920D27">
        <w:trPr>
          <w:trHeight w:val="790"/>
        </w:trPr>
        <w:tc>
          <w:tcPr>
            <w:tcW w:w="3055" w:type="dxa"/>
            <w:vMerge/>
            <w:tcBorders>
              <w:top w:val="single" w:sz="4" w:space="0" w:color="auto"/>
              <w:left w:val="single" w:sz="4" w:space="0" w:color="auto"/>
              <w:bottom w:val="single" w:sz="4" w:space="0" w:color="000000"/>
              <w:right w:val="single" w:sz="4" w:space="0" w:color="auto"/>
            </w:tcBorders>
            <w:shd w:val="clear" w:color="000000" w:fill="95B3D7" w:themeFill="accent1" w:themeFillTint="99"/>
            <w:vAlign w:val="center"/>
            <w:hideMark/>
          </w:tcPr>
          <w:p w:rsidR="00BD5EBB" w:rsidRPr="00160973" w:rsidRDefault="00BD5EBB" w:rsidP="00BD5EBB">
            <w:pPr>
              <w:spacing w:after="0" w:line="240" w:lineRule="auto"/>
              <w:rPr>
                <w:rFonts w:ascii="Times New Roman" w:eastAsia="Times New Roman" w:hAnsi="Times New Roman" w:cs="Times New Roman"/>
                <w:sz w:val="23"/>
                <w:szCs w:val="23"/>
              </w:rPr>
            </w:pPr>
          </w:p>
        </w:tc>
        <w:tc>
          <w:tcPr>
            <w:tcW w:w="3857" w:type="dxa"/>
            <w:vMerge/>
            <w:tcBorders>
              <w:top w:val="single" w:sz="4" w:space="0" w:color="auto"/>
              <w:left w:val="single" w:sz="4" w:space="0" w:color="auto"/>
              <w:bottom w:val="single" w:sz="4" w:space="0" w:color="000000"/>
              <w:right w:val="single" w:sz="4" w:space="0" w:color="auto"/>
            </w:tcBorders>
            <w:shd w:val="clear" w:color="000000" w:fill="95B3D7" w:themeFill="accent1" w:themeFillTint="99"/>
            <w:vAlign w:val="center"/>
            <w:hideMark/>
          </w:tcPr>
          <w:p w:rsidR="00BD5EBB" w:rsidRPr="00160973" w:rsidRDefault="00BD5EBB" w:rsidP="00BD5EBB">
            <w:pPr>
              <w:spacing w:after="0" w:line="240" w:lineRule="auto"/>
              <w:rPr>
                <w:rFonts w:ascii="Times New Roman" w:eastAsia="Times New Roman" w:hAnsi="Times New Roman" w:cs="Times New Roman"/>
                <w:sz w:val="23"/>
                <w:szCs w:val="23"/>
              </w:rPr>
            </w:pPr>
          </w:p>
        </w:tc>
        <w:tc>
          <w:tcPr>
            <w:tcW w:w="2291" w:type="dxa"/>
            <w:vMerge/>
            <w:tcBorders>
              <w:top w:val="single" w:sz="4" w:space="0" w:color="auto"/>
              <w:left w:val="single" w:sz="4" w:space="0" w:color="auto"/>
              <w:bottom w:val="single" w:sz="4" w:space="0" w:color="000000"/>
              <w:right w:val="single" w:sz="4" w:space="0" w:color="auto"/>
            </w:tcBorders>
            <w:shd w:val="clear" w:color="000000" w:fill="95B3D7" w:themeFill="accent1" w:themeFillTint="99"/>
            <w:vAlign w:val="center"/>
            <w:hideMark/>
          </w:tcPr>
          <w:p w:rsidR="00BD5EBB" w:rsidRPr="00160973" w:rsidRDefault="00BD5EBB" w:rsidP="00BD5EBB">
            <w:pPr>
              <w:spacing w:after="0" w:line="240" w:lineRule="auto"/>
              <w:rPr>
                <w:rFonts w:ascii="Times New Roman" w:eastAsia="Times New Roman" w:hAnsi="Times New Roman" w:cs="Times New Roman"/>
                <w:sz w:val="23"/>
                <w:szCs w:val="23"/>
              </w:rPr>
            </w:pPr>
          </w:p>
        </w:tc>
      </w:tr>
      <w:tr w:rsidR="00BD5EBB" w:rsidRPr="00160973" w:rsidTr="00160973">
        <w:trPr>
          <w:trHeight w:val="197"/>
        </w:trPr>
        <w:tc>
          <w:tcPr>
            <w:tcW w:w="3055" w:type="dxa"/>
            <w:tcBorders>
              <w:top w:val="nil"/>
              <w:left w:val="single" w:sz="4" w:space="0" w:color="auto"/>
              <w:bottom w:val="single" w:sz="4" w:space="0" w:color="auto"/>
              <w:right w:val="single" w:sz="4" w:space="0" w:color="auto"/>
            </w:tcBorders>
            <w:shd w:val="clear" w:color="auto" w:fill="auto"/>
            <w:vAlign w:val="bottom"/>
            <w:hideMark/>
          </w:tcPr>
          <w:p w:rsidR="00BD5EBB" w:rsidRPr="00160973" w:rsidRDefault="00BD5EBB" w:rsidP="00BD5EBB">
            <w:pPr>
              <w:spacing w:after="0" w:line="240" w:lineRule="auto"/>
              <w:rPr>
                <w:rFonts w:ascii="Times New Roman" w:eastAsia="Times New Roman" w:hAnsi="Times New Roman" w:cs="Times New Roman"/>
                <w:b/>
                <w:bCs/>
                <w:color w:val="000000"/>
                <w:sz w:val="23"/>
                <w:szCs w:val="23"/>
              </w:rPr>
            </w:pPr>
            <w:r w:rsidRPr="00160973">
              <w:rPr>
                <w:rFonts w:ascii="Times New Roman" w:eastAsia="Times New Roman" w:hAnsi="Times New Roman" w:cs="Times New Roman"/>
                <w:b/>
                <w:bCs/>
                <w:color w:val="000000"/>
                <w:sz w:val="23"/>
                <w:szCs w:val="23"/>
              </w:rPr>
              <w:t>FAA</w:t>
            </w:r>
          </w:p>
        </w:tc>
        <w:tc>
          <w:tcPr>
            <w:tcW w:w="3857" w:type="dxa"/>
            <w:tcBorders>
              <w:top w:val="nil"/>
              <w:left w:val="nil"/>
              <w:bottom w:val="single" w:sz="4" w:space="0" w:color="auto"/>
              <w:right w:val="single" w:sz="4" w:space="0" w:color="auto"/>
            </w:tcBorders>
            <w:shd w:val="clear" w:color="auto" w:fill="auto"/>
            <w:vAlign w:val="bottom"/>
            <w:hideMark/>
          </w:tcPr>
          <w:p w:rsidR="00BD5EBB" w:rsidRPr="00160973" w:rsidRDefault="00BD5EBB" w:rsidP="00BD5EBB">
            <w:pPr>
              <w:spacing w:after="0" w:line="240" w:lineRule="auto"/>
              <w:rPr>
                <w:rFonts w:ascii="Times New Roman" w:eastAsia="Times New Roman" w:hAnsi="Times New Roman" w:cs="Times New Roman"/>
                <w:color w:val="000000"/>
                <w:sz w:val="23"/>
                <w:szCs w:val="23"/>
              </w:rPr>
            </w:pPr>
            <w:r w:rsidRPr="00160973">
              <w:rPr>
                <w:rFonts w:ascii="Times New Roman" w:eastAsia="Times New Roman" w:hAnsi="Times New Roman" w:cs="Times New Roman"/>
                <w:color w:val="000000"/>
                <w:sz w:val="23"/>
                <w:szCs w:val="23"/>
              </w:rPr>
              <w:t xml:space="preserve"> $        2,055,475,398 </w:t>
            </w:r>
          </w:p>
        </w:tc>
        <w:tc>
          <w:tcPr>
            <w:tcW w:w="2291" w:type="dxa"/>
            <w:tcBorders>
              <w:top w:val="nil"/>
              <w:left w:val="nil"/>
              <w:bottom w:val="single" w:sz="4" w:space="0" w:color="auto"/>
              <w:right w:val="single" w:sz="4" w:space="0" w:color="auto"/>
            </w:tcBorders>
            <w:shd w:val="clear" w:color="auto" w:fill="auto"/>
            <w:vAlign w:val="bottom"/>
            <w:hideMark/>
          </w:tcPr>
          <w:p w:rsidR="00BD5EBB" w:rsidRPr="00160973" w:rsidRDefault="00126A3A" w:rsidP="00BD5EBB">
            <w:pP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178</w:t>
            </w:r>
          </w:p>
        </w:tc>
      </w:tr>
      <w:tr w:rsidR="00BD5EBB" w:rsidRPr="00160973" w:rsidTr="00160973">
        <w:trPr>
          <w:trHeight w:val="197"/>
        </w:trPr>
        <w:tc>
          <w:tcPr>
            <w:tcW w:w="3055" w:type="dxa"/>
            <w:tcBorders>
              <w:top w:val="nil"/>
              <w:left w:val="single" w:sz="4" w:space="0" w:color="auto"/>
              <w:bottom w:val="single" w:sz="4" w:space="0" w:color="auto"/>
              <w:right w:val="single" w:sz="4" w:space="0" w:color="auto"/>
            </w:tcBorders>
            <w:shd w:val="clear" w:color="auto" w:fill="auto"/>
            <w:vAlign w:val="bottom"/>
            <w:hideMark/>
          </w:tcPr>
          <w:p w:rsidR="00BD5EBB" w:rsidRPr="00160973" w:rsidRDefault="00BD5EBB" w:rsidP="00BD5EBB">
            <w:pPr>
              <w:spacing w:after="0" w:line="240" w:lineRule="auto"/>
              <w:rPr>
                <w:rFonts w:ascii="Times New Roman" w:eastAsia="Times New Roman" w:hAnsi="Times New Roman" w:cs="Times New Roman"/>
                <w:b/>
                <w:bCs/>
                <w:color w:val="000000"/>
                <w:sz w:val="23"/>
                <w:szCs w:val="23"/>
              </w:rPr>
            </w:pPr>
            <w:r w:rsidRPr="00160973">
              <w:rPr>
                <w:rFonts w:ascii="Times New Roman" w:eastAsia="Times New Roman" w:hAnsi="Times New Roman" w:cs="Times New Roman"/>
                <w:b/>
                <w:bCs/>
                <w:color w:val="000000"/>
                <w:sz w:val="23"/>
                <w:szCs w:val="23"/>
              </w:rPr>
              <w:t>FMCSA</w:t>
            </w:r>
          </w:p>
        </w:tc>
        <w:tc>
          <w:tcPr>
            <w:tcW w:w="3857" w:type="dxa"/>
            <w:tcBorders>
              <w:top w:val="nil"/>
              <w:left w:val="nil"/>
              <w:bottom w:val="single" w:sz="4" w:space="0" w:color="auto"/>
              <w:right w:val="single" w:sz="4" w:space="0" w:color="auto"/>
            </w:tcBorders>
            <w:shd w:val="clear" w:color="auto" w:fill="auto"/>
            <w:vAlign w:val="bottom"/>
            <w:hideMark/>
          </w:tcPr>
          <w:p w:rsidR="00BD5EBB" w:rsidRPr="00160973" w:rsidRDefault="00E67747" w:rsidP="00BD5EBB">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             </w:t>
            </w:r>
            <w:r w:rsidR="00BD5EBB" w:rsidRPr="00160973">
              <w:rPr>
                <w:rFonts w:ascii="Times New Roman" w:eastAsia="Times New Roman" w:hAnsi="Times New Roman" w:cs="Times New Roman"/>
                <w:color w:val="000000"/>
                <w:sz w:val="23"/>
                <w:szCs w:val="23"/>
              </w:rPr>
              <w:t xml:space="preserve">75,438,045 </w:t>
            </w:r>
          </w:p>
        </w:tc>
        <w:tc>
          <w:tcPr>
            <w:tcW w:w="2291" w:type="dxa"/>
            <w:tcBorders>
              <w:top w:val="nil"/>
              <w:left w:val="nil"/>
              <w:bottom w:val="single" w:sz="4" w:space="0" w:color="auto"/>
              <w:right w:val="single" w:sz="4" w:space="0" w:color="auto"/>
            </w:tcBorders>
            <w:shd w:val="clear" w:color="auto" w:fill="auto"/>
            <w:vAlign w:val="bottom"/>
            <w:hideMark/>
          </w:tcPr>
          <w:p w:rsidR="00BD5EBB" w:rsidRPr="00160973" w:rsidRDefault="00126A3A" w:rsidP="00BD5EBB">
            <w:pP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r>
      <w:tr w:rsidR="00BD5EBB" w:rsidRPr="00160973" w:rsidTr="00160973">
        <w:trPr>
          <w:trHeight w:val="197"/>
        </w:trPr>
        <w:tc>
          <w:tcPr>
            <w:tcW w:w="3055" w:type="dxa"/>
            <w:tcBorders>
              <w:top w:val="nil"/>
              <w:left w:val="single" w:sz="4" w:space="0" w:color="auto"/>
              <w:bottom w:val="single" w:sz="4" w:space="0" w:color="auto"/>
              <w:right w:val="single" w:sz="4" w:space="0" w:color="auto"/>
            </w:tcBorders>
            <w:shd w:val="clear" w:color="auto" w:fill="auto"/>
            <w:vAlign w:val="bottom"/>
            <w:hideMark/>
          </w:tcPr>
          <w:p w:rsidR="00BD5EBB" w:rsidRPr="00160973" w:rsidRDefault="00BD5EBB" w:rsidP="00BD5EBB">
            <w:pPr>
              <w:spacing w:after="0" w:line="240" w:lineRule="auto"/>
              <w:rPr>
                <w:rFonts w:ascii="Times New Roman" w:eastAsia="Times New Roman" w:hAnsi="Times New Roman" w:cs="Times New Roman"/>
                <w:b/>
                <w:bCs/>
                <w:color w:val="000000"/>
                <w:sz w:val="23"/>
                <w:szCs w:val="23"/>
              </w:rPr>
            </w:pPr>
            <w:r w:rsidRPr="00160973">
              <w:rPr>
                <w:rFonts w:ascii="Times New Roman" w:eastAsia="Times New Roman" w:hAnsi="Times New Roman" w:cs="Times New Roman"/>
                <w:b/>
                <w:bCs/>
                <w:color w:val="000000"/>
                <w:sz w:val="23"/>
                <w:szCs w:val="23"/>
              </w:rPr>
              <w:t>FRA</w:t>
            </w:r>
          </w:p>
        </w:tc>
        <w:tc>
          <w:tcPr>
            <w:tcW w:w="3857" w:type="dxa"/>
            <w:tcBorders>
              <w:top w:val="nil"/>
              <w:left w:val="nil"/>
              <w:bottom w:val="single" w:sz="4" w:space="0" w:color="auto"/>
              <w:right w:val="single" w:sz="4" w:space="0" w:color="auto"/>
            </w:tcBorders>
            <w:shd w:val="clear" w:color="auto" w:fill="auto"/>
            <w:vAlign w:val="bottom"/>
            <w:hideMark/>
          </w:tcPr>
          <w:p w:rsidR="00BD5EBB" w:rsidRPr="00160973" w:rsidRDefault="00BD5EBB" w:rsidP="00BD5EBB">
            <w:pPr>
              <w:spacing w:after="0" w:line="240" w:lineRule="auto"/>
              <w:rPr>
                <w:rFonts w:ascii="Times New Roman" w:eastAsia="Times New Roman" w:hAnsi="Times New Roman" w:cs="Times New Roman"/>
                <w:color w:val="000000"/>
                <w:sz w:val="23"/>
                <w:szCs w:val="23"/>
              </w:rPr>
            </w:pPr>
            <w:r w:rsidRPr="00160973">
              <w:rPr>
                <w:rFonts w:ascii="Times New Roman" w:eastAsia="Times New Roman" w:hAnsi="Times New Roman" w:cs="Times New Roman"/>
                <w:color w:val="000000"/>
                <w:sz w:val="23"/>
                <w:szCs w:val="23"/>
              </w:rPr>
              <w:t xml:space="preserve"> $           109,453,395 </w:t>
            </w:r>
          </w:p>
        </w:tc>
        <w:tc>
          <w:tcPr>
            <w:tcW w:w="2291" w:type="dxa"/>
            <w:tcBorders>
              <w:top w:val="nil"/>
              <w:left w:val="nil"/>
              <w:bottom w:val="single" w:sz="4" w:space="0" w:color="auto"/>
              <w:right w:val="single" w:sz="4" w:space="0" w:color="auto"/>
            </w:tcBorders>
            <w:shd w:val="clear" w:color="auto" w:fill="auto"/>
            <w:vAlign w:val="bottom"/>
            <w:hideMark/>
          </w:tcPr>
          <w:p w:rsidR="00BD5EBB" w:rsidRPr="00160973" w:rsidRDefault="00126A3A" w:rsidP="00BD5EBB">
            <w:pP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182</w:t>
            </w:r>
          </w:p>
        </w:tc>
      </w:tr>
      <w:tr w:rsidR="00BD5EBB" w:rsidRPr="00160973" w:rsidTr="00160973">
        <w:trPr>
          <w:trHeight w:val="197"/>
        </w:trPr>
        <w:tc>
          <w:tcPr>
            <w:tcW w:w="3055" w:type="dxa"/>
            <w:tcBorders>
              <w:top w:val="nil"/>
              <w:left w:val="single" w:sz="4" w:space="0" w:color="auto"/>
              <w:bottom w:val="single" w:sz="4" w:space="0" w:color="auto"/>
              <w:right w:val="single" w:sz="4" w:space="0" w:color="auto"/>
            </w:tcBorders>
            <w:shd w:val="clear" w:color="auto" w:fill="auto"/>
            <w:vAlign w:val="bottom"/>
            <w:hideMark/>
          </w:tcPr>
          <w:p w:rsidR="00BD5EBB" w:rsidRPr="00160973" w:rsidRDefault="00BD5EBB" w:rsidP="00BD5EBB">
            <w:pPr>
              <w:spacing w:after="0" w:line="240" w:lineRule="auto"/>
              <w:rPr>
                <w:rFonts w:ascii="Times New Roman" w:eastAsia="Times New Roman" w:hAnsi="Times New Roman" w:cs="Times New Roman"/>
                <w:b/>
                <w:bCs/>
                <w:color w:val="000000"/>
                <w:sz w:val="23"/>
                <w:szCs w:val="23"/>
              </w:rPr>
            </w:pPr>
            <w:r w:rsidRPr="00160973">
              <w:rPr>
                <w:rFonts w:ascii="Times New Roman" w:eastAsia="Times New Roman" w:hAnsi="Times New Roman" w:cs="Times New Roman"/>
                <w:b/>
                <w:bCs/>
                <w:color w:val="000000"/>
                <w:sz w:val="23"/>
                <w:szCs w:val="23"/>
              </w:rPr>
              <w:t>FTA</w:t>
            </w:r>
          </w:p>
        </w:tc>
        <w:tc>
          <w:tcPr>
            <w:tcW w:w="3857" w:type="dxa"/>
            <w:tcBorders>
              <w:top w:val="nil"/>
              <w:left w:val="nil"/>
              <w:bottom w:val="single" w:sz="4" w:space="0" w:color="auto"/>
              <w:right w:val="single" w:sz="4" w:space="0" w:color="auto"/>
            </w:tcBorders>
            <w:shd w:val="clear" w:color="auto" w:fill="auto"/>
            <w:vAlign w:val="bottom"/>
            <w:hideMark/>
          </w:tcPr>
          <w:p w:rsidR="00BD5EBB" w:rsidRPr="00160973" w:rsidRDefault="00BD5EBB" w:rsidP="00BD5EBB">
            <w:pPr>
              <w:spacing w:after="0" w:line="240" w:lineRule="auto"/>
              <w:rPr>
                <w:rFonts w:ascii="Times New Roman" w:eastAsia="Times New Roman" w:hAnsi="Times New Roman" w:cs="Times New Roman"/>
                <w:color w:val="000000"/>
                <w:sz w:val="23"/>
                <w:szCs w:val="23"/>
              </w:rPr>
            </w:pPr>
            <w:r w:rsidRPr="00160973">
              <w:rPr>
                <w:rFonts w:ascii="Times New Roman" w:eastAsia="Times New Roman" w:hAnsi="Times New Roman" w:cs="Times New Roman"/>
                <w:color w:val="000000"/>
                <w:sz w:val="23"/>
                <w:szCs w:val="23"/>
              </w:rPr>
              <w:t xml:space="preserve"> $           174,091,954 </w:t>
            </w:r>
          </w:p>
        </w:tc>
        <w:tc>
          <w:tcPr>
            <w:tcW w:w="2291" w:type="dxa"/>
            <w:tcBorders>
              <w:top w:val="nil"/>
              <w:left w:val="nil"/>
              <w:bottom w:val="single" w:sz="4" w:space="0" w:color="auto"/>
              <w:right w:val="single" w:sz="4" w:space="0" w:color="auto"/>
            </w:tcBorders>
            <w:shd w:val="clear" w:color="auto" w:fill="auto"/>
            <w:vAlign w:val="center"/>
            <w:hideMark/>
          </w:tcPr>
          <w:p w:rsidR="00BD5EBB" w:rsidRPr="00160973" w:rsidRDefault="00126A3A" w:rsidP="00BD5EBB">
            <w:pP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125</w:t>
            </w:r>
          </w:p>
        </w:tc>
      </w:tr>
      <w:tr w:rsidR="00BD5EBB" w:rsidRPr="00160973" w:rsidTr="00160973">
        <w:trPr>
          <w:trHeight w:val="197"/>
        </w:trPr>
        <w:tc>
          <w:tcPr>
            <w:tcW w:w="3055" w:type="dxa"/>
            <w:tcBorders>
              <w:top w:val="nil"/>
              <w:left w:val="single" w:sz="4" w:space="0" w:color="auto"/>
              <w:bottom w:val="single" w:sz="4" w:space="0" w:color="auto"/>
              <w:right w:val="single" w:sz="4" w:space="0" w:color="auto"/>
            </w:tcBorders>
            <w:shd w:val="clear" w:color="auto" w:fill="auto"/>
            <w:vAlign w:val="bottom"/>
            <w:hideMark/>
          </w:tcPr>
          <w:p w:rsidR="00BD5EBB" w:rsidRPr="00160973" w:rsidRDefault="00BD5EBB" w:rsidP="00BD5EBB">
            <w:pPr>
              <w:spacing w:after="0" w:line="240" w:lineRule="auto"/>
              <w:rPr>
                <w:rFonts w:ascii="Times New Roman" w:eastAsia="Times New Roman" w:hAnsi="Times New Roman" w:cs="Times New Roman"/>
                <w:b/>
                <w:bCs/>
                <w:color w:val="000000"/>
                <w:sz w:val="23"/>
                <w:szCs w:val="23"/>
              </w:rPr>
            </w:pPr>
            <w:r w:rsidRPr="00160973">
              <w:rPr>
                <w:rFonts w:ascii="Times New Roman" w:eastAsia="Times New Roman" w:hAnsi="Times New Roman" w:cs="Times New Roman"/>
                <w:b/>
                <w:bCs/>
                <w:color w:val="000000"/>
                <w:sz w:val="23"/>
                <w:szCs w:val="23"/>
              </w:rPr>
              <w:t>FHWA</w:t>
            </w:r>
          </w:p>
        </w:tc>
        <w:tc>
          <w:tcPr>
            <w:tcW w:w="3857" w:type="dxa"/>
            <w:tcBorders>
              <w:top w:val="nil"/>
              <w:left w:val="nil"/>
              <w:bottom w:val="single" w:sz="4" w:space="0" w:color="auto"/>
              <w:right w:val="single" w:sz="4" w:space="0" w:color="auto"/>
            </w:tcBorders>
            <w:shd w:val="clear" w:color="auto" w:fill="auto"/>
            <w:vAlign w:val="bottom"/>
            <w:hideMark/>
          </w:tcPr>
          <w:p w:rsidR="00BD5EBB" w:rsidRPr="00160973" w:rsidRDefault="00BD5EBB" w:rsidP="00BD5EBB">
            <w:pPr>
              <w:spacing w:after="0" w:line="240" w:lineRule="auto"/>
              <w:rPr>
                <w:rFonts w:ascii="Times New Roman" w:eastAsia="Times New Roman" w:hAnsi="Times New Roman" w:cs="Times New Roman"/>
                <w:color w:val="000000"/>
                <w:sz w:val="23"/>
                <w:szCs w:val="23"/>
              </w:rPr>
            </w:pPr>
            <w:r w:rsidRPr="00160973">
              <w:rPr>
                <w:rFonts w:ascii="Times New Roman" w:eastAsia="Times New Roman" w:hAnsi="Times New Roman" w:cs="Times New Roman"/>
                <w:color w:val="000000"/>
                <w:sz w:val="23"/>
                <w:szCs w:val="23"/>
              </w:rPr>
              <w:t xml:space="preserve"> $           140,509,522 </w:t>
            </w:r>
          </w:p>
        </w:tc>
        <w:tc>
          <w:tcPr>
            <w:tcW w:w="2291" w:type="dxa"/>
            <w:tcBorders>
              <w:top w:val="nil"/>
              <w:left w:val="nil"/>
              <w:bottom w:val="single" w:sz="4" w:space="0" w:color="auto"/>
              <w:right w:val="single" w:sz="4" w:space="0" w:color="auto"/>
            </w:tcBorders>
            <w:shd w:val="clear" w:color="auto" w:fill="auto"/>
            <w:vAlign w:val="bottom"/>
            <w:hideMark/>
          </w:tcPr>
          <w:p w:rsidR="00BD5EBB" w:rsidRPr="00160973" w:rsidRDefault="00126A3A" w:rsidP="00BD5EBB">
            <w:pP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61</w:t>
            </w:r>
          </w:p>
        </w:tc>
      </w:tr>
      <w:tr w:rsidR="00BD5EBB" w:rsidRPr="00160973" w:rsidTr="00160973">
        <w:trPr>
          <w:trHeight w:val="197"/>
        </w:trPr>
        <w:tc>
          <w:tcPr>
            <w:tcW w:w="3055" w:type="dxa"/>
            <w:tcBorders>
              <w:top w:val="nil"/>
              <w:left w:val="single" w:sz="4" w:space="0" w:color="auto"/>
              <w:bottom w:val="single" w:sz="4" w:space="0" w:color="auto"/>
              <w:right w:val="single" w:sz="4" w:space="0" w:color="auto"/>
            </w:tcBorders>
            <w:shd w:val="clear" w:color="auto" w:fill="auto"/>
            <w:vAlign w:val="bottom"/>
            <w:hideMark/>
          </w:tcPr>
          <w:p w:rsidR="00BD5EBB" w:rsidRPr="00160973" w:rsidRDefault="00BD5EBB" w:rsidP="00BD5EBB">
            <w:pPr>
              <w:spacing w:after="0" w:line="240" w:lineRule="auto"/>
              <w:rPr>
                <w:rFonts w:ascii="Times New Roman" w:eastAsia="Times New Roman" w:hAnsi="Times New Roman" w:cs="Times New Roman"/>
                <w:b/>
                <w:bCs/>
                <w:color w:val="000000"/>
                <w:sz w:val="23"/>
                <w:szCs w:val="23"/>
              </w:rPr>
            </w:pPr>
            <w:r w:rsidRPr="00160973">
              <w:rPr>
                <w:rFonts w:ascii="Times New Roman" w:eastAsia="Times New Roman" w:hAnsi="Times New Roman" w:cs="Times New Roman"/>
                <w:b/>
                <w:bCs/>
                <w:color w:val="000000"/>
                <w:sz w:val="23"/>
                <w:szCs w:val="23"/>
              </w:rPr>
              <w:t>MARAD</w:t>
            </w:r>
          </w:p>
        </w:tc>
        <w:tc>
          <w:tcPr>
            <w:tcW w:w="3857" w:type="dxa"/>
            <w:tcBorders>
              <w:top w:val="nil"/>
              <w:left w:val="nil"/>
              <w:bottom w:val="single" w:sz="4" w:space="0" w:color="auto"/>
              <w:right w:val="single" w:sz="4" w:space="0" w:color="auto"/>
            </w:tcBorders>
            <w:shd w:val="clear" w:color="auto" w:fill="auto"/>
            <w:vAlign w:val="bottom"/>
            <w:hideMark/>
          </w:tcPr>
          <w:p w:rsidR="00BD5EBB" w:rsidRPr="00160973" w:rsidRDefault="00E67747" w:rsidP="00BD5EBB">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             </w:t>
            </w:r>
            <w:r w:rsidR="00BD5EBB" w:rsidRPr="00160973">
              <w:rPr>
                <w:rFonts w:ascii="Times New Roman" w:eastAsia="Times New Roman" w:hAnsi="Times New Roman" w:cs="Times New Roman"/>
                <w:color w:val="000000"/>
                <w:sz w:val="23"/>
                <w:szCs w:val="23"/>
              </w:rPr>
              <w:t xml:space="preserve">18,425,234 </w:t>
            </w:r>
          </w:p>
        </w:tc>
        <w:tc>
          <w:tcPr>
            <w:tcW w:w="2291" w:type="dxa"/>
            <w:tcBorders>
              <w:top w:val="nil"/>
              <w:left w:val="nil"/>
              <w:bottom w:val="single" w:sz="4" w:space="0" w:color="auto"/>
              <w:right w:val="single" w:sz="4" w:space="0" w:color="auto"/>
            </w:tcBorders>
            <w:shd w:val="clear" w:color="auto" w:fill="auto"/>
            <w:vAlign w:val="bottom"/>
            <w:hideMark/>
          </w:tcPr>
          <w:p w:rsidR="00BD5EBB" w:rsidRPr="00160973" w:rsidRDefault="00126A3A" w:rsidP="00BD5EBB">
            <w:pP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w:t>
            </w:r>
          </w:p>
        </w:tc>
      </w:tr>
      <w:tr w:rsidR="00BD5EBB" w:rsidRPr="00160973" w:rsidTr="00160973">
        <w:trPr>
          <w:trHeight w:val="197"/>
        </w:trPr>
        <w:tc>
          <w:tcPr>
            <w:tcW w:w="3055" w:type="dxa"/>
            <w:tcBorders>
              <w:top w:val="nil"/>
              <w:left w:val="single" w:sz="4" w:space="0" w:color="auto"/>
              <w:bottom w:val="single" w:sz="4" w:space="0" w:color="auto"/>
              <w:right w:val="single" w:sz="4" w:space="0" w:color="auto"/>
            </w:tcBorders>
            <w:shd w:val="clear" w:color="auto" w:fill="auto"/>
            <w:vAlign w:val="bottom"/>
            <w:hideMark/>
          </w:tcPr>
          <w:p w:rsidR="00BD5EBB" w:rsidRPr="00160973" w:rsidRDefault="00BD5EBB" w:rsidP="00BD5EBB">
            <w:pPr>
              <w:spacing w:after="0" w:line="240" w:lineRule="auto"/>
              <w:rPr>
                <w:rFonts w:ascii="Times New Roman" w:eastAsia="Times New Roman" w:hAnsi="Times New Roman" w:cs="Times New Roman"/>
                <w:b/>
                <w:bCs/>
                <w:color w:val="000000"/>
                <w:sz w:val="23"/>
                <w:szCs w:val="23"/>
              </w:rPr>
            </w:pPr>
            <w:r w:rsidRPr="00160973">
              <w:rPr>
                <w:rFonts w:ascii="Times New Roman" w:eastAsia="Times New Roman" w:hAnsi="Times New Roman" w:cs="Times New Roman"/>
                <w:b/>
                <w:bCs/>
                <w:color w:val="000000"/>
                <w:sz w:val="23"/>
                <w:szCs w:val="23"/>
              </w:rPr>
              <w:t>NHTSA</w:t>
            </w:r>
          </w:p>
        </w:tc>
        <w:tc>
          <w:tcPr>
            <w:tcW w:w="3857" w:type="dxa"/>
            <w:tcBorders>
              <w:top w:val="nil"/>
              <w:left w:val="nil"/>
              <w:bottom w:val="single" w:sz="4" w:space="0" w:color="auto"/>
              <w:right w:val="single" w:sz="4" w:space="0" w:color="auto"/>
            </w:tcBorders>
            <w:shd w:val="clear" w:color="000000" w:fill="FFFFFF"/>
            <w:vAlign w:val="bottom"/>
            <w:hideMark/>
          </w:tcPr>
          <w:p w:rsidR="00BD5EBB" w:rsidRPr="00160973" w:rsidRDefault="00BD5EBB" w:rsidP="00BD5EBB">
            <w:pPr>
              <w:spacing w:after="0" w:line="240" w:lineRule="auto"/>
              <w:rPr>
                <w:rFonts w:ascii="Times New Roman" w:eastAsia="Times New Roman" w:hAnsi="Times New Roman" w:cs="Times New Roman"/>
                <w:color w:val="000000"/>
                <w:sz w:val="23"/>
                <w:szCs w:val="23"/>
              </w:rPr>
            </w:pPr>
            <w:r w:rsidRPr="00160973">
              <w:rPr>
                <w:rFonts w:ascii="Times New Roman" w:eastAsia="Times New Roman" w:hAnsi="Times New Roman" w:cs="Times New Roman"/>
                <w:color w:val="000000"/>
                <w:sz w:val="23"/>
                <w:szCs w:val="23"/>
              </w:rPr>
              <w:t xml:space="preserve"> $           196,096,520 </w:t>
            </w:r>
          </w:p>
        </w:tc>
        <w:tc>
          <w:tcPr>
            <w:tcW w:w="2291" w:type="dxa"/>
            <w:tcBorders>
              <w:top w:val="nil"/>
              <w:left w:val="nil"/>
              <w:bottom w:val="single" w:sz="4" w:space="0" w:color="auto"/>
              <w:right w:val="single" w:sz="4" w:space="0" w:color="auto"/>
            </w:tcBorders>
            <w:shd w:val="clear" w:color="000000" w:fill="FFFFFF"/>
            <w:vAlign w:val="bottom"/>
            <w:hideMark/>
          </w:tcPr>
          <w:p w:rsidR="00BD5EBB" w:rsidRPr="00160973" w:rsidRDefault="00126A3A" w:rsidP="00BD5EBB">
            <w:pP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41</w:t>
            </w:r>
          </w:p>
        </w:tc>
      </w:tr>
      <w:tr w:rsidR="00BD5EBB" w:rsidRPr="00160973" w:rsidTr="00160973">
        <w:trPr>
          <w:trHeight w:val="197"/>
        </w:trPr>
        <w:tc>
          <w:tcPr>
            <w:tcW w:w="3055" w:type="dxa"/>
            <w:tcBorders>
              <w:top w:val="nil"/>
              <w:left w:val="single" w:sz="4" w:space="0" w:color="auto"/>
              <w:bottom w:val="single" w:sz="4" w:space="0" w:color="auto"/>
              <w:right w:val="single" w:sz="4" w:space="0" w:color="auto"/>
            </w:tcBorders>
            <w:shd w:val="clear" w:color="auto" w:fill="auto"/>
            <w:vAlign w:val="bottom"/>
            <w:hideMark/>
          </w:tcPr>
          <w:p w:rsidR="00BD5EBB" w:rsidRPr="00160973" w:rsidRDefault="00BD5EBB" w:rsidP="00BD5EBB">
            <w:pPr>
              <w:spacing w:after="0" w:line="240" w:lineRule="auto"/>
              <w:rPr>
                <w:rFonts w:ascii="Times New Roman" w:eastAsia="Times New Roman" w:hAnsi="Times New Roman" w:cs="Times New Roman"/>
                <w:b/>
                <w:bCs/>
                <w:color w:val="000000"/>
                <w:sz w:val="23"/>
                <w:szCs w:val="23"/>
              </w:rPr>
            </w:pPr>
            <w:r w:rsidRPr="00160973">
              <w:rPr>
                <w:rFonts w:ascii="Times New Roman" w:eastAsia="Times New Roman" w:hAnsi="Times New Roman" w:cs="Times New Roman"/>
                <w:b/>
                <w:bCs/>
                <w:color w:val="000000"/>
                <w:sz w:val="23"/>
                <w:szCs w:val="23"/>
              </w:rPr>
              <w:t>OST</w:t>
            </w:r>
          </w:p>
        </w:tc>
        <w:tc>
          <w:tcPr>
            <w:tcW w:w="3857" w:type="dxa"/>
            <w:tcBorders>
              <w:top w:val="nil"/>
              <w:left w:val="nil"/>
              <w:bottom w:val="single" w:sz="4" w:space="0" w:color="auto"/>
              <w:right w:val="single" w:sz="4" w:space="0" w:color="auto"/>
            </w:tcBorders>
            <w:shd w:val="clear" w:color="auto" w:fill="auto"/>
            <w:vAlign w:val="bottom"/>
            <w:hideMark/>
          </w:tcPr>
          <w:p w:rsidR="00BD5EBB" w:rsidRPr="00160973" w:rsidRDefault="00E67747" w:rsidP="00BD5EBB">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               </w:t>
            </w:r>
            <w:r w:rsidR="00BD5EBB" w:rsidRPr="00160973">
              <w:rPr>
                <w:rFonts w:ascii="Times New Roman" w:eastAsia="Times New Roman" w:hAnsi="Times New Roman" w:cs="Times New Roman"/>
                <w:color w:val="000000"/>
                <w:sz w:val="23"/>
                <w:szCs w:val="23"/>
              </w:rPr>
              <w:t xml:space="preserve">4,651,168 </w:t>
            </w:r>
          </w:p>
        </w:tc>
        <w:tc>
          <w:tcPr>
            <w:tcW w:w="2291" w:type="dxa"/>
            <w:tcBorders>
              <w:top w:val="nil"/>
              <w:left w:val="nil"/>
              <w:bottom w:val="single" w:sz="4" w:space="0" w:color="auto"/>
              <w:right w:val="single" w:sz="4" w:space="0" w:color="auto"/>
            </w:tcBorders>
            <w:shd w:val="clear" w:color="auto" w:fill="auto"/>
            <w:vAlign w:val="bottom"/>
            <w:hideMark/>
          </w:tcPr>
          <w:p w:rsidR="00BD5EBB" w:rsidRPr="00160973" w:rsidRDefault="00126A3A" w:rsidP="00BD5EBB">
            <w:pP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w:t>
            </w:r>
          </w:p>
        </w:tc>
      </w:tr>
      <w:tr w:rsidR="00BD5EBB" w:rsidRPr="00160973" w:rsidTr="00160973">
        <w:trPr>
          <w:trHeight w:val="197"/>
        </w:trPr>
        <w:tc>
          <w:tcPr>
            <w:tcW w:w="3055" w:type="dxa"/>
            <w:tcBorders>
              <w:top w:val="nil"/>
              <w:left w:val="single" w:sz="4" w:space="0" w:color="auto"/>
              <w:bottom w:val="single" w:sz="4" w:space="0" w:color="auto"/>
              <w:right w:val="single" w:sz="4" w:space="0" w:color="auto"/>
            </w:tcBorders>
            <w:shd w:val="clear" w:color="auto" w:fill="auto"/>
            <w:vAlign w:val="bottom"/>
            <w:hideMark/>
          </w:tcPr>
          <w:p w:rsidR="00BD5EBB" w:rsidRPr="00160973" w:rsidRDefault="00BD5EBB" w:rsidP="00BD5EBB">
            <w:pPr>
              <w:spacing w:after="0" w:line="240" w:lineRule="auto"/>
              <w:rPr>
                <w:rFonts w:ascii="Times New Roman" w:eastAsia="Times New Roman" w:hAnsi="Times New Roman" w:cs="Times New Roman"/>
                <w:b/>
                <w:bCs/>
                <w:color w:val="000000"/>
                <w:sz w:val="23"/>
                <w:szCs w:val="23"/>
              </w:rPr>
            </w:pPr>
            <w:r w:rsidRPr="00160973">
              <w:rPr>
                <w:rFonts w:ascii="Times New Roman" w:eastAsia="Times New Roman" w:hAnsi="Times New Roman" w:cs="Times New Roman"/>
                <w:b/>
                <w:bCs/>
                <w:color w:val="000000"/>
                <w:sz w:val="23"/>
                <w:szCs w:val="23"/>
              </w:rPr>
              <w:t>PHMSA</w:t>
            </w:r>
          </w:p>
        </w:tc>
        <w:tc>
          <w:tcPr>
            <w:tcW w:w="3857" w:type="dxa"/>
            <w:tcBorders>
              <w:top w:val="nil"/>
              <w:left w:val="nil"/>
              <w:bottom w:val="single" w:sz="4" w:space="0" w:color="auto"/>
              <w:right w:val="single" w:sz="4" w:space="0" w:color="auto"/>
            </w:tcBorders>
            <w:shd w:val="clear" w:color="auto" w:fill="auto"/>
            <w:vAlign w:val="bottom"/>
            <w:hideMark/>
          </w:tcPr>
          <w:p w:rsidR="00BD5EBB" w:rsidRPr="00160973" w:rsidRDefault="00E67747" w:rsidP="00BD5EBB">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             </w:t>
            </w:r>
            <w:r w:rsidR="00BD5EBB" w:rsidRPr="00160973">
              <w:rPr>
                <w:rFonts w:ascii="Times New Roman" w:eastAsia="Times New Roman" w:hAnsi="Times New Roman" w:cs="Times New Roman"/>
                <w:color w:val="000000"/>
                <w:sz w:val="23"/>
                <w:szCs w:val="23"/>
              </w:rPr>
              <w:t xml:space="preserve">38,792,664 </w:t>
            </w:r>
          </w:p>
        </w:tc>
        <w:tc>
          <w:tcPr>
            <w:tcW w:w="2291" w:type="dxa"/>
            <w:tcBorders>
              <w:top w:val="nil"/>
              <w:left w:val="nil"/>
              <w:bottom w:val="single" w:sz="4" w:space="0" w:color="auto"/>
              <w:right w:val="single" w:sz="4" w:space="0" w:color="auto"/>
            </w:tcBorders>
            <w:shd w:val="clear" w:color="auto" w:fill="auto"/>
            <w:vAlign w:val="bottom"/>
            <w:hideMark/>
          </w:tcPr>
          <w:p w:rsidR="00BD5EBB" w:rsidRPr="00160973" w:rsidRDefault="00126A3A" w:rsidP="00BD5EBB">
            <w:pP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10</w:t>
            </w:r>
          </w:p>
        </w:tc>
      </w:tr>
      <w:tr w:rsidR="00BD5EBB" w:rsidRPr="00160973" w:rsidTr="00160973">
        <w:trPr>
          <w:trHeight w:val="197"/>
        </w:trPr>
        <w:tc>
          <w:tcPr>
            <w:tcW w:w="3055" w:type="dxa"/>
            <w:tcBorders>
              <w:top w:val="nil"/>
              <w:left w:val="single" w:sz="4" w:space="0" w:color="auto"/>
              <w:bottom w:val="single" w:sz="4" w:space="0" w:color="auto"/>
              <w:right w:val="single" w:sz="4" w:space="0" w:color="auto"/>
            </w:tcBorders>
            <w:shd w:val="clear" w:color="auto" w:fill="auto"/>
            <w:vAlign w:val="bottom"/>
            <w:hideMark/>
          </w:tcPr>
          <w:p w:rsidR="00BD5EBB" w:rsidRPr="00160973" w:rsidRDefault="00BD5EBB" w:rsidP="00BD5EBB">
            <w:pPr>
              <w:spacing w:after="0" w:line="240" w:lineRule="auto"/>
              <w:rPr>
                <w:rFonts w:ascii="Times New Roman" w:eastAsia="Times New Roman" w:hAnsi="Times New Roman" w:cs="Times New Roman"/>
                <w:b/>
                <w:bCs/>
                <w:color w:val="000000"/>
                <w:sz w:val="23"/>
                <w:szCs w:val="23"/>
              </w:rPr>
            </w:pPr>
            <w:r w:rsidRPr="00160973">
              <w:rPr>
                <w:rFonts w:ascii="Times New Roman" w:eastAsia="Times New Roman" w:hAnsi="Times New Roman" w:cs="Times New Roman"/>
                <w:b/>
                <w:bCs/>
                <w:color w:val="000000"/>
                <w:sz w:val="23"/>
                <w:szCs w:val="23"/>
              </w:rPr>
              <w:t>Volpe</w:t>
            </w:r>
          </w:p>
        </w:tc>
        <w:tc>
          <w:tcPr>
            <w:tcW w:w="3857" w:type="dxa"/>
            <w:tcBorders>
              <w:top w:val="nil"/>
              <w:left w:val="nil"/>
              <w:bottom w:val="nil"/>
              <w:right w:val="nil"/>
            </w:tcBorders>
            <w:shd w:val="clear" w:color="auto" w:fill="auto"/>
            <w:noWrap/>
            <w:vAlign w:val="bottom"/>
            <w:hideMark/>
          </w:tcPr>
          <w:p w:rsidR="00BD5EBB" w:rsidRPr="00160973" w:rsidRDefault="00E67747" w:rsidP="00BD5EBB">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             </w:t>
            </w:r>
            <w:r w:rsidR="00BD5EBB" w:rsidRPr="00160973">
              <w:rPr>
                <w:rFonts w:ascii="Times New Roman" w:eastAsia="Times New Roman" w:hAnsi="Times New Roman" w:cs="Times New Roman"/>
                <w:color w:val="000000"/>
                <w:sz w:val="23"/>
                <w:szCs w:val="23"/>
              </w:rPr>
              <w:t xml:space="preserve">82,849,216 </w:t>
            </w:r>
          </w:p>
        </w:tc>
        <w:tc>
          <w:tcPr>
            <w:tcW w:w="2291" w:type="dxa"/>
            <w:tcBorders>
              <w:top w:val="nil"/>
              <w:left w:val="single" w:sz="4" w:space="0" w:color="auto"/>
              <w:bottom w:val="single" w:sz="4" w:space="0" w:color="auto"/>
              <w:right w:val="single" w:sz="4" w:space="0" w:color="auto"/>
            </w:tcBorders>
            <w:shd w:val="clear" w:color="auto" w:fill="auto"/>
            <w:noWrap/>
            <w:vAlign w:val="bottom"/>
            <w:hideMark/>
          </w:tcPr>
          <w:p w:rsidR="00126A3A" w:rsidRPr="00160973" w:rsidRDefault="00126A3A" w:rsidP="00126A3A">
            <w:pP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47</w:t>
            </w:r>
          </w:p>
        </w:tc>
      </w:tr>
      <w:tr w:rsidR="00BD5EBB" w:rsidRPr="00160973" w:rsidTr="00160973">
        <w:trPr>
          <w:trHeight w:val="197"/>
        </w:trPr>
        <w:tc>
          <w:tcPr>
            <w:tcW w:w="3055" w:type="dxa"/>
            <w:tcBorders>
              <w:top w:val="nil"/>
              <w:left w:val="single" w:sz="4" w:space="0" w:color="auto"/>
              <w:bottom w:val="single" w:sz="4" w:space="0" w:color="auto"/>
              <w:right w:val="single" w:sz="4" w:space="0" w:color="auto"/>
            </w:tcBorders>
            <w:shd w:val="clear" w:color="auto" w:fill="auto"/>
            <w:vAlign w:val="bottom"/>
            <w:hideMark/>
          </w:tcPr>
          <w:p w:rsidR="00BD5EBB" w:rsidRPr="00160973" w:rsidRDefault="00BD5EBB" w:rsidP="00BD5EBB">
            <w:pPr>
              <w:spacing w:after="0" w:line="240" w:lineRule="auto"/>
              <w:rPr>
                <w:rFonts w:ascii="Times New Roman" w:eastAsia="Times New Roman" w:hAnsi="Times New Roman" w:cs="Times New Roman"/>
                <w:b/>
                <w:bCs/>
                <w:color w:val="000000"/>
                <w:sz w:val="23"/>
                <w:szCs w:val="23"/>
              </w:rPr>
            </w:pPr>
            <w:r w:rsidRPr="00160973">
              <w:rPr>
                <w:rFonts w:ascii="Times New Roman" w:eastAsia="Times New Roman" w:hAnsi="Times New Roman" w:cs="Times New Roman"/>
                <w:b/>
                <w:bCs/>
                <w:color w:val="000000"/>
                <w:sz w:val="23"/>
                <w:szCs w:val="23"/>
              </w:rPr>
              <w:t>SLSDC</w:t>
            </w:r>
          </w:p>
        </w:tc>
        <w:tc>
          <w:tcPr>
            <w:tcW w:w="3857" w:type="dxa"/>
            <w:tcBorders>
              <w:top w:val="single" w:sz="4" w:space="0" w:color="auto"/>
              <w:left w:val="nil"/>
              <w:bottom w:val="single" w:sz="4" w:space="0" w:color="auto"/>
              <w:right w:val="single" w:sz="4" w:space="0" w:color="auto"/>
            </w:tcBorders>
            <w:shd w:val="clear" w:color="auto" w:fill="auto"/>
            <w:vAlign w:val="bottom"/>
            <w:hideMark/>
          </w:tcPr>
          <w:p w:rsidR="00BD5EBB" w:rsidRPr="00160973" w:rsidRDefault="00E67747" w:rsidP="00BD5EBB">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               </w:t>
            </w:r>
            <w:r w:rsidR="00BD5EBB" w:rsidRPr="00160973">
              <w:rPr>
                <w:rFonts w:ascii="Times New Roman" w:eastAsia="Times New Roman" w:hAnsi="Times New Roman" w:cs="Times New Roman"/>
                <w:color w:val="000000"/>
                <w:sz w:val="23"/>
                <w:szCs w:val="23"/>
              </w:rPr>
              <w:t xml:space="preserve">7,778,402 </w:t>
            </w:r>
          </w:p>
        </w:tc>
        <w:tc>
          <w:tcPr>
            <w:tcW w:w="2291" w:type="dxa"/>
            <w:tcBorders>
              <w:top w:val="nil"/>
              <w:left w:val="nil"/>
              <w:bottom w:val="single" w:sz="4" w:space="0" w:color="auto"/>
              <w:right w:val="single" w:sz="4" w:space="0" w:color="auto"/>
            </w:tcBorders>
            <w:shd w:val="clear" w:color="auto" w:fill="auto"/>
            <w:vAlign w:val="bottom"/>
            <w:hideMark/>
          </w:tcPr>
          <w:p w:rsidR="00BD5EBB" w:rsidRPr="00160973" w:rsidRDefault="00126A3A" w:rsidP="00BD5EBB">
            <w:pP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3</w:t>
            </w:r>
          </w:p>
        </w:tc>
      </w:tr>
      <w:tr w:rsidR="00BD5EBB" w:rsidRPr="00160973" w:rsidTr="00160973">
        <w:trPr>
          <w:trHeight w:val="197"/>
        </w:trPr>
        <w:tc>
          <w:tcPr>
            <w:tcW w:w="3055" w:type="dxa"/>
            <w:tcBorders>
              <w:top w:val="nil"/>
              <w:left w:val="single" w:sz="4" w:space="0" w:color="auto"/>
              <w:bottom w:val="single" w:sz="4" w:space="0" w:color="auto"/>
              <w:right w:val="single" w:sz="4" w:space="0" w:color="auto"/>
            </w:tcBorders>
            <w:shd w:val="clear" w:color="auto" w:fill="auto"/>
            <w:vAlign w:val="bottom"/>
            <w:hideMark/>
          </w:tcPr>
          <w:p w:rsidR="00BD5EBB" w:rsidRPr="00160973" w:rsidRDefault="00BD5EBB" w:rsidP="00BD5EBB">
            <w:pPr>
              <w:spacing w:after="0" w:line="240" w:lineRule="auto"/>
              <w:rPr>
                <w:rFonts w:ascii="Times New Roman" w:eastAsia="Times New Roman" w:hAnsi="Times New Roman" w:cs="Times New Roman"/>
                <w:b/>
                <w:bCs/>
                <w:color w:val="000000"/>
                <w:sz w:val="23"/>
                <w:szCs w:val="23"/>
              </w:rPr>
            </w:pPr>
            <w:r w:rsidRPr="00160973">
              <w:rPr>
                <w:rFonts w:ascii="Times New Roman" w:eastAsia="Times New Roman" w:hAnsi="Times New Roman" w:cs="Times New Roman"/>
                <w:b/>
                <w:bCs/>
                <w:color w:val="000000"/>
                <w:sz w:val="23"/>
                <w:szCs w:val="23"/>
              </w:rPr>
              <w:t>Total</w:t>
            </w:r>
          </w:p>
        </w:tc>
        <w:tc>
          <w:tcPr>
            <w:tcW w:w="3857" w:type="dxa"/>
            <w:tcBorders>
              <w:top w:val="nil"/>
              <w:left w:val="nil"/>
              <w:bottom w:val="single" w:sz="4" w:space="0" w:color="auto"/>
              <w:right w:val="single" w:sz="4" w:space="0" w:color="auto"/>
            </w:tcBorders>
            <w:shd w:val="clear" w:color="auto" w:fill="auto"/>
            <w:vAlign w:val="bottom"/>
            <w:hideMark/>
          </w:tcPr>
          <w:p w:rsidR="00BD5EBB" w:rsidRPr="00160973" w:rsidRDefault="00BD5EBB" w:rsidP="00BD5EBB">
            <w:pPr>
              <w:spacing w:after="0" w:line="240" w:lineRule="auto"/>
              <w:rPr>
                <w:rFonts w:ascii="Times New Roman" w:eastAsia="Times New Roman" w:hAnsi="Times New Roman" w:cs="Times New Roman"/>
                <w:b/>
                <w:color w:val="000000"/>
                <w:sz w:val="23"/>
                <w:szCs w:val="23"/>
              </w:rPr>
            </w:pPr>
            <w:r w:rsidRPr="00160973">
              <w:rPr>
                <w:rFonts w:ascii="Times New Roman" w:eastAsia="Times New Roman" w:hAnsi="Times New Roman" w:cs="Times New Roman"/>
                <w:b/>
                <w:color w:val="000000"/>
                <w:sz w:val="23"/>
                <w:szCs w:val="23"/>
              </w:rPr>
              <w:t xml:space="preserve"> $        </w:t>
            </w:r>
            <w:r w:rsidRPr="008A62B2">
              <w:rPr>
                <w:rFonts w:ascii="Times New Roman" w:eastAsia="Times New Roman" w:hAnsi="Times New Roman" w:cs="Times New Roman"/>
                <w:b/>
                <w:color w:val="000000"/>
                <w:sz w:val="23"/>
                <w:szCs w:val="23"/>
              </w:rPr>
              <w:t>2,</w:t>
            </w:r>
            <w:r w:rsidR="00126A3A" w:rsidRPr="008A62B2">
              <w:rPr>
                <w:rFonts w:ascii="Times New Roman" w:eastAsia="Times New Roman" w:hAnsi="Times New Roman" w:cs="Times New Roman"/>
                <w:b/>
                <w:color w:val="000000"/>
                <w:sz w:val="23"/>
                <w:szCs w:val="23"/>
              </w:rPr>
              <w:t>820,712,302</w:t>
            </w:r>
            <w:r w:rsidRPr="00160973">
              <w:rPr>
                <w:rFonts w:ascii="Times New Roman" w:eastAsia="Times New Roman" w:hAnsi="Times New Roman" w:cs="Times New Roman"/>
                <w:b/>
                <w:color w:val="000000"/>
                <w:sz w:val="23"/>
                <w:szCs w:val="23"/>
              </w:rPr>
              <w:t xml:space="preserve"> </w:t>
            </w:r>
          </w:p>
        </w:tc>
        <w:tc>
          <w:tcPr>
            <w:tcW w:w="2291" w:type="dxa"/>
            <w:tcBorders>
              <w:top w:val="nil"/>
              <w:left w:val="nil"/>
              <w:bottom w:val="single" w:sz="4" w:space="0" w:color="auto"/>
              <w:right w:val="single" w:sz="4" w:space="0" w:color="auto"/>
            </w:tcBorders>
            <w:shd w:val="clear" w:color="auto" w:fill="auto"/>
            <w:noWrap/>
            <w:vAlign w:val="bottom"/>
            <w:hideMark/>
          </w:tcPr>
          <w:p w:rsidR="00BD5EBB" w:rsidRPr="00160973" w:rsidRDefault="00281BC2" w:rsidP="00BD5EBB">
            <w:pPr>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668</w:t>
            </w:r>
          </w:p>
        </w:tc>
      </w:tr>
    </w:tbl>
    <w:p w:rsidR="00760F04" w:rsidRPr="00160973" w:rsidRDefault="00760F04" w:rsidP="009924E0">
      <w:pPr>
        <w:spacing w:after="0" w:line="240" w:lineRule="auto"/>
        <w:rPr>
          <w:rFonts w:ascii="Times New Roman" w:hAnsi="Times New Roman" w:cs="Times New Roman"/>
          <w:color w:val="FF0000"/>
          <w:sz w:val="23"/>
          <w:szCs w:val="23"/>
        </w:rPr>
      </w:pPr>
    </w:p>
    <w:p w:rsidR="00160973" w:rsidRDefault="00CF4142" w:rsidP="009924E0">
      <w:pPr>
        <w:spacing w:after="0"/>
        <w:rPr>
          <w:rFonts w:ascii="Times New Roman" w:hAnsi="Times New Roman" w:cs="Times New Roman"/>
          <w:b/>
          <w:sz w:val="23"/>
          <w:szCs w:val="23"/>
        </w:rPr>
      </w:pPr>
      <w:r w:rsidRPr="00160973">
        <w:rPr>
          <w:rFonts w:ascii="Times New Roman" w:eastAsia="Times New Roman" w:hAnsi="Times New Roman" w:cs="Times New Roman"/>
          <w:color w:val="000000"/>
          <w:sz w:val="23"/>
          <w:szCs w:val="23"/>
        </w:rPr>
        <w:t>A</w:t>
      </w:r>
      <w:r w:rsidR="00573D60" w:rsidRPr="00160973">
        <w:rPr>
          <w:rFonts w:ascii="Times New Roman" w:eastAsia="Times New Roman" w:hAnsi="Times New Roman" w:cs="Times New Roman"/>
          <w:color w:val="000000"/>
          <w:sz w:val="23"/>
          <w:szCs w:val="23"/>
        </w:rPr>
        <w:t>s illustrated in the above table, t</w:t>
      </w:r>
      <w:r w:rsidR="00A95E16" w:rsidRPr="00160973">
        <w:rPr>
          <w:rFonts w:ascii="Times New Roman" w:eastAsia="Times New Roman" w:hAnsi="Times New Roman" w:cs="Times New Roman"/>
          <w:color w:val="000000"/>
          <w:sz w:val="23"/>
          <w:szCs w:val="23"/>
        </w:rPr>
        <w:t xml:space="preserve">he </w:t>
      </w:r>
      <w:r w:rsidR="00BD2857" w:rsidRPr="00160973">
        <w:rPr>
          <w:rFonts w:ascii="Times New Roman" w:eastAsia="Times New Roman" w:hAnsi="Times New Roman" w:cs="Times New Roman"/>
          <w:color w:val="000000"/>
          <w:sz w:val="23"/>
          <w:szCs w:val="23"/>
        </w:rPr>
        <w:t>Federal Aviation Administration (</w:t>
      </w:r>
      <w:r w:rsidR="00A95E16" w:rsidRPr="00160973">
        <w:rPr>
          <w:rFonts w:ascii="Times New Roman" w:eastAsia="Times New Roman" w:hAnsi="Times New Roman" w:cs="Times New Roman"/>
          <w:color w:val="000000"/>
          <w:sz w:val="23"/>
          <w:szCs w:val="23"/>
        </w:rPr>
        <w:t>FAA</w:t>
      </w:r>
      <w:r w:rsidR="00BD2857" w:rsidRPr="00160973">
        <w:rPr>
          <w:rFonts w:ascii="Times New Roman" w:eastAsia="Times New Roman" w:hAnsi="Times New Roman" w:cs="Times New Roman"/>
          <w:color w:val="000000"/>
          <w:sz w:val="23"/>
          <w:szCs w:val="23"/>
        </w:rPr>
        <w:t>)</w:t>
      </w:r>
      <w:r w:rsidR="00A95E16" w:rsidRPr="00160973">
        <w:rPr>
          <w:rFonts w:ascii="Times New Roman" w:eastAsia="Times New Roman" w:hAnsi="Times New Roman" w:cs="Times New Roman"/>
          <w:color w:val="000000"/>
          <w:sz w:val="23"/>
          <w:szCs w:val="23"/>
        </w:rPr>
        <w:t xml:space="preserve"> is the largest OA within the Department</w:t>
      </w:r>
      <w:r w:rsidR="00603C12" w:rsidRPr="00160973">
        <w:rPr>
          <w:rFonts w:ascii="Times New Roman" w:eastAsia="Times New Roman" w:hAnsi="Times New Roman" w:cs="Times New Roman"/>
          <w:color w:val="000000"/>
          <w:sz w:val="23"/>
          <w:szCs w:val="23"/>
        </w:rPr>
        <w:t xml:space="preserve"> </w:t>
      </w:r>
      <w:r w:rsidR="00726FD0" w:rsidRPr="00160973">
        <w:rPr>
          <w:rFonts w:ascii="Times New Roman" w:eastAsia="Times New Roman" w:hAnsi="Times New Roman" w:cs="Times New Roman"/>
          <w:color w:val="000000"/>
          <w:sz w:val="23"/>
          <w:szCs w:val="23"/>
        </w:rPr>
        <w:t>and</w:t>
      </w:r>
      <w:r w:rsidR="00603C12" w:rsidRPr="00160973">
        <w:rPr>
          <w:rFonts w:ascii="Times New Roman" w:eastAsia="Times New Roman" w:hAnsi="Times New Roman" w:cs="Times New Roman"/>
          <w:color w:val="000000"/>
          <w:sz w:val="23"/>
          <w:szCs w:val="23"/>
        </w:rPr>
        <w:t xml:space="preserve"> </w:t>
      </w:r>
      <w:r w:rsidR="00573D60" w:rsidRPr="00160973">
        <w:rPr>
          <w:rFonts w:ascii="Times New Roman" w:eastAsia="Times New Roman" w:hAnsi="Times New Roman" w:cs="Times New Roman"/>
          <w:color w:val="000000"/>
          <w:sz w:val="23"/>
          <w:szCs w:val="23"/>
        </w:rPr>
        <w:t xml:space="preserve">has the highest amount of </w:t>
      </w:r>
      <w:r w:rsidR="00603C12" w:rsidRPr="00160973">
        <w:rPr>
          <w:rFonts w:ascii="Times New Roman" w:eastAsia="Times New Roman" w:hAnsi="Times New Roman" w:cs="Times New Roman"/>
          <w:color w:val="000000"/>
          <w:sz w:val="23"/>
          <w:szCs w:val="23"/>
        </w:rPr>
        <w:t>spend</w:t>
      </w:r>
      <w:r w:rsidR="00573D60" w:rsidRPr="00160973">
        <w:rPr>
          <w:rFonts w:ascii="Times New Roman" w:eastAsia="Times New Roman" w:hAnsi="Times New Roman" w:cs="Times New Roman"/>
          <w:color w:val="000000"/>
          <w:sz w:val="23"/>
          <w:szCs w:val="23"/>
        </w:rPr>
        <w:t xml:space="preserve"> analyzed for the purpose of this review</w:t>
      </w:r>
      <w:r w:rsidR="00A95E16" w:rsidRPr="00160973">
        <w:rPr>
          <w:rFonts w:ascii="Times New Roman" w:eastAsia="Times New Roman" w:hAnsi="Times New Roman" w:cs="Times New Roman"/>
          <w:color w:val="000000"/>
          <w:sz w:val="23"/>
          <w:szCs w:val="23"/>
        </w:rPr>
        <w:t xml:space="preserve">. </w:t>
      </w:r>
      <w:r w:rsidR="00C22B3C" w:rsidRPr="00160973">
        <w:rPr>
          <w:rFonts w:ascii="Times New Roman" w:eastAsia="Times New Roman" w:hAnsi="Times New Roman" w:cs="Times New Roman"/>
          <w:color w:val="000000"/>
          <w:sz w:val="23"/>
          <w:szCs w:val="23"/>
        </w:rPr>
        <w:t xml:space="preserve">In </w:t>
      </w:r>
      <w:r w:rsidR="00A95E16" w:rsidRPr="00160973">
        <w:rPr>
          <w:rFonts w:ascii="Times New Roman" w:eastAsia="Times New Roman" w:hAnsi="Times New Roman" w:cs="Times New Roman"/>
          <w:color w:val="000000"/>
          <w:sz w:val="23"/>
          <w:szCs w:val="23"/>
        </w:rPr>
        <w:t>FY 2017</w:t>
      </w:r>
      <w:r w:rsidR="00573D60" w:rsidRPr="00160973">
        <w:rPr>
          <w:rFonts w:ascii="Times New Roman" w:eastAsia="Times New Roman" w:hAnsi="Times New Roman" w:cs="Times New Roman"/>
          <w:color w:val="000000"/>
          <w:sz w:val="23"/>
          <w:szCs w:val="23"/>
        </w:rPr>
        <w:t>,</w:t>
      </w:r>
      <w:r w:rsidR="00A95E16" w:rsidRPr="00160973">
        <w:rPr>
          <w:rFonts w:ascii="Times New Roman" w:eastAsia="Times New Roman" w:hAnsi="Times New Roman" w:cs="Times New Roman"/>
          <w:color w:val="000000"/>
          <w:sz w:val="23"/>
          <w:szCs w:val="23"/>
        </w:rPr>
        <w:t xml:space="preserve"> </w:t>
      </w:r>
      <w:r w:rsidR="00C22B3C" w:rsidRPr="00160973">
        <w:rPr>
          <w:rFonts w:ascii="Times New Roman" w:eastAsia="Times New Roman" w:hAnsi="Times New Roman" w:cs="Times New Roman"/>
          <w:color w:val="000000"/>
          <w:sz w:val="23"/>
          <w:szCs w:val="23"/>
        </w:rPr>
        <w:t xml:space="preserve">the DOT </w:t>
      </w:r>
      <w:r w:rsidR="00BD2857" w:rsidRPr="00160973">
        <w:rPr>
          <w:rFonts w:ascii="Times New Roman" w:eastAsia="Times New Roman" w:hAnsi="Times New Roman" w:cs="Times New Roman"/>
          <w:color w:val="000000"/>
          <w:sz w:val="23"/>
          <w:szCs w:val="23"/>
        </w:rPr>
        <w:t>total</w:t>
      </w:r>
      <w:r w:rsidR="00C22B3C" w:rsidRPr="00160973">
        <w:rPr>
          <w:rFonts w:ascii="Times New Roman" w:eastAsia="Times New Roman" w:hAnsi="Times New Roman" w:cs="Times New Roman"/>
          <w:color w:val="000000"/>
          <w:sz w:val="23"/>
          <w:szCs w:val="23"/>
        </w:rPr>
        <w:t xml:space="preserve"> </w:t>
      </w:r>
      <w:r w:rsidR="005B3674" w:rsidRPr="00160973">
        <w:rPr>
          <w:rFonts w:ascii="Times New Roman" w:eastAsia="Times New Roman" w:hAnsi="Times New Roman" w:cs="Times New Roman"/>
          <w:color w:val="000000"/>
          <w:sz w:val="23"/>
          <w:szCs w:val="23"/>
        </w:rPr>
        <w:t>c</w:t>
      </w:r>
      <w:r w:rsidR="00C22B3C" w:rsidRPr="00160973">
        <w:rPr>
          <w:rFonts w:ascii="Times New Roman" w:eastAsia="Times New Roman" w:hAnsi="Times New Roman" w:cs="Times New Roman"/>
          <w:color w:val="000000"/>
          <w:sz w:val="23"/>
          <w:szCs w:val="23"/>
        </w:rPr>
        <w:t xml:space="preserve">ontract </w:t>
      </w:r>
      <w:r w:rsidR="005B3674" w:rsidRPr="00160973">
        <w:rPr>
          <w:rFonts w:ascii="Times New Roman" w:eastAsia="Times New Roman" w:hAnsi="Times New Roman" w:cs="Times New Roman"/>
          <w:color w:val="000000"/>
          <w:sz w:val="23"/>
          <w:szCs w:val="23"/>
        </w:rPr>
        <w:t>s</w:t>
      </w:r>
      <w:r w:rsidR="00C22B3C" w:rsidRPr="00160973">
        <w:rPr>
          <w:rFonts w:ascii="Times New Roman" w:eastAsia="Times New Roman" w:hAnsi="Times New Roman" w:cs="Times New Roman"/>
          <w:color w:val="000000"/>
          <w:sz w:val="23"/>
          <w:szCs w:val="23"/>
        </w:rPr>
        <w:t xml:space="preserve">pending was </w:t>
      </w:r>
      <w:r w:rsidR="00A95E16" w:rsidRPr="00160973">
        <w:rPr>
          <w:rFonts w:ascii="Times New Roman" w:eastAsia="Times New Roman" w:hAnsi="Times New Roman" w:cs="Times New Roman"/>
          <w:color w:val="000000"/>
          <w:sz w:val="23"/>
          <w:szCs w:val="23"/>
        </w:rPr>
        <w:t>$6</w:t>
      </w:r>
      <w:r w:rsidR="00BD2857" w:rsidRPr="00160973">
        <w:rPr>
          <w:rFonts w:ascii="Times New Roman" w:eastAsia="Times New Roman" w:hAnsi="Times New Roman" w:cs="Times New Roman"/>
          <w:color w:val="000000"/>
          <w:sz w:val="23"/>
          <w:szCs w:val="23"/>
        </w:rPr>
        <w:t>.</w:t>
      </w:r>
      <w:r w:rsidR="00A95E16" w:rsidRPr="00160973">
        <w:rPr>
          <w:rFonts w:ascii="Times New Roman" w:eastAsia="Times New Roman" w:hAnsi="Times New Roman" w:cs="Times New Roman"/>
          <w:color w:val="000000"/>
          <w:sz w:val="23"/>
          <w:szCs w:val="23"/>
        </w:rPr>
        <w:t>367</w:t>
      </w:r>
      <w:r w:rsidR="00BD2857" w:rsidRPr="00160973">
        <w:rPr>
          <w:rFonts w:ascii="Times New Roman" w:eastAsia="Times New Roman" w:hAnsi="Times New Roman" w:cs="Times New Roman"/>
          <w:color w:val="000000"/>
          <w:sz w:val="23"/>
          <w:szCs w:val="23"/>
        </w:rPr>
        <w:t xml:space="preserve"> billion;</w:t>
      </w:r>
      <w:r w:rsidR="00A95E16" w:rsidRPr="00160973">
        <w:rPr>
          <w:rFonts w:ascii="Times New Roman" w:eastAsia="Times New Roman" w:hAnsi="Times New Roman" w:cs="Times New Roman"/>
          <w:color w:val="000000"/>
          <w:sz w:val="23"/>
          <w:szCs w:val="23"/>
        </w:rPr>
        <w:t xml:space="preserve"> </w:t>
      </w:r>
      <w:r w:rsidR="005B3674" w:rsidRPr="00160973">
        <w:rPr>
          <w:rFonts w:ascii="Times New Roman" w:eastAsia="Times New Roman" w:hAnsi="Times New Roman" w:cs="Times New Roman"/>
          <w:color w:val="000000"/>
          <w:sz w:val="23"/>
          <w:szCs w:val="23"/>
        </w:rPr>
        <w:t>of that</w:t>
      </w:r>
      <w:r w:rsidR="00BD2857" w:rsidRPr="00160973">
        <w:rPr>
          <w:rFonts w:ascii="Times New Roman" w:eastAsia="Times New Roman" w:hAnsi="Times New Roman" w:cs="Times New Roman"/>
          <w:color w:val="000000"/>
          <w:sz w:val="23"/>
          <w:szCs w:val="23"/>
        </w:rPr>
        <w:t xml:space="preserve"> amount,</w:t>
      </w:r>
      <w:r w:rsidR="005B3674" w:rsidRPr="00160973">
        <w:rPr>
          <w:rFonts w:ascii="Times New Roman" w:eastAsia="Times New Roman" w:hAnsi="Times New Roman" w:cs="Times New Roman"/>
          <w:color w:val="000000"/>
          <w:sz w:val="23"/>
          <w:szCs w:val="23"/>
        </w:rPr>
        <w:t xml:space="preserve"> </w:t>
      </w:r>
      <w:r w:rsidR="00A95E16" w:rsidRPr="00160973">
        <w:rPr>
          <w:rFonts w:ascii="Times New Roman" w:eastAsia="Times New Roman" w:hAnsi="Times New Roman" w:cs="Times New Roman"/>
          <w:color w:val="000000"/>
          <w:sz w:val="23"/>
          <w:szCs w:val="23"/>
        </w:rPr>
        <w:t xml:space="preserve">FAA </w:t>
      </w:r>
      <w:r w:rsidR="00BD2857" w:rsidRPr="00160973">
        <w:rPr>
          <w:rFonts w:ascii="Times New Roman" w:eastAsia="Times New Roman" w:hAnsi="Times New Roman" w:cs="Times New Roman"/>
          <w:color w:val="000000"/>
          <w:sz w:val="23"/>
          <w:szCs w:val="23"/>
        </w:rPr>
        <w:t>obligated</w:t>
      </w:r>
      <w:r w:rsidR="00A95E16" w:rsidRPr="00160973">
        <w:rPr>
          <w:rFonts w:ascii="Times New Roman" w:eastAsia="Times New Roman" w:hAnsi="Times New Roman" w:cs="Times New Roman"/>
          <w:color w:val="000000"/>
          <w:sz w:val="23"/>
          <w:szCs w:val="23"/>
        </w:rPr>
        <w:t xml:space="preserve"> </w:t>
      </w:r>
      <w:r w:rsidR="00C22B3C" w:rsidRPr="00160973">
        <w:rPr>
          <w:rFonts w:ascii="Times New Roman" w:eastAsia="Times New Roman" w:hAnsi="Times New Roman" w:cs="Times New Roman"/>
          <w:color w:val="000000"/>
          <w:sz w:val="23"/>
          <w:szCs w:val="23"/>
        </w:rPr>
        <w:t>$</w:t>
      </w:r>
      <w:r w:rsidR="00A95E16" w:rsidRPr="00160973">
        <w:rPr>
          <w:rFonts w:ascii="Times New Roman" w:eastAsia="Times New Roman" w:hAnsi="Times New Roman" w:cs="Times New Roman"/>
          <w:color w:val="000000"/>
          <w:sz w:val="23"/>
          <w:szCs w:val="23"/>
        </w:rPr>
        <w:t>4</w:t>
      </w:r>
      <w:r w:rsidR="00BD2857" w:rsidRPr="00160973">
        <w:rPr>
          <w:rFonts w:ascii="Times New Roman" w:eastAsia="Times New Roman" w:hAnsi="Times New Roman" w:cs="Times New Roman"/>
          <w:color w:val="000000"/>
          <w:sz w:val="23"/>
          <w:szCs w:val="23"/>
        </w:rPr>
        <w:t>.</w:t>
      </w:r>
      <w:r w:rsidR="00A95E16" w:rsidRPr="00160973">
        <w:rPr>
          <w:rFonts w:ascii="Times New Roman" w:eastAsia="Times New Roman" w:hAnsi="Times New Roman" w:cs="Times New Roman"/>
          <w:color w:val="000000"/>
          <w:sz w:val="23"/>
          <w:szCs w:val="23"/>
        </w:rPr>
        <w:t>275</w:t>
      </w:r>
      <w:r w:rsidR="00BD2857" w:rsidRPr="00160973">
        <w:rPr>
          <w:rFonts w:ascii="Times New Roman" w:eastAsia="Times New Roman" w:hAnsi="Times New Roman" w:cs="Times New Roman"/>
          <w:color w:val="000000"/>
          <w:sz w:val="23"/>
          <w:szCs w:val="23"/>
        </w:rPr>
        <w:t xml:space="preserve"> billion</w:t>
      </w:r>
      <w:r w:rsidR="00A95E16" w:rsidRPr="00160973">
        <w:rPr>
          <w:rFonts w:ascii="Times New Roman" w:eastAsia="Times New Roman" w:hAnsi="Times New Roman" w:cs="Times New Roman"/>
          <w:color w:val="000000"/>
          <w:sz w:val="23"/>
          <w:szCs w:val="23"/>
        </w:rPr>
        <w:t xml:space="preserve"> </w:t>
      </w:r>
      <w:r w:rsidR="00BD2857" w:rsidRPr="00160973">
        <w:rPr>
          <w:rFonts w:ascii="Times New Roman" w:eastAsia="Times New Roman" w:hAnsi="Times New Roman" w:cs="Times New Roman"/>
          <w:color w:val="000000"/>
          <w:sz w:val="23"/>
          <w:szCs w:val="23"/>
        </w:rPr>
        <w:t xml:space="preserve">or approximately </w:t>
      </w:r>
      <w:r w:rsidR="00573D60" w:rsidRPr="00160973">
        <w:rPr>
          <w:rFonts w:ascii="Times New Roman" w:eastAsia="Times New Roman" w:hAnsi="Times New Roman" w:cs="Times New Roman"/>
          <w:color w:val="000000"/>
          <w:sz w:val="23"/>
          <w:szCs w:val="23"/>
        </w:rPr>
        <w:t>67</w:t>
      </w:r>
      <w:r w:rsidR="00A95E16" w:rsidRPr="00160973">
        <w:rPr>
          <w:rFonts w:ascii="Times New Roman" w:eastAsia="Times New Roman" w:hAnsi="Times New Roman" w:cs="Times New Roman"/>
          <w:color w:val="000000"/>
          <w:sz w:val="23"/>
          <w:szCs w:val="23"/>
        </w:rPr>
        <w:t>% of the total obligations</w:t>
      </w:r>
      <w:r w:rsidR="00573D60" w:rsidRPr="00160973">
        <w:rPr>
          <w:rFonts w:ascii="Times New Roman" w:eastAsia="Times New Roman" w:hAnsi="Times New Roman" w:cs="Times New Roman"/>
          <w:color w:val="000000"/>
          <w:sz w:val="23"/>
          <w:szCs w:val="23"/>
        </w:rPr>
        <w:t>. Due to its unique mission, t</w:t>
      </w:r>
      <w:r w:rsidR="00C22B3C" w:rsidRPr="00160973">
        <w:rPr>
          <w:rFonts w:ascii="Times New Roman" w:eastAsia="Times New Roman" w:hAnsi="Times New Roman" w:cs="Times New Roman"/>
          <w:sz w:val="23"/>
          <w:szCs w:val="23"/>
        </w:rPr>
        <w:t>he FAA is not required to comply with the Federal Acquisition Regulation</w:t>
      </w:r>
      <w:r w:rsidR="0091424A" w:rsidRPr="00160973">
        <w:rPr>
          <w:rFonts w:ascii="Times New Roman" w:eastAsia="Times New Roman" w:hAnsi="Times New Roman" w:cs="Times New Roman"/>
          <w:sz w:val="23"/>
          <w:szCs w:val="23"/>
        </w:rPr>
        <w:t xml:space="preserve"> </w:t>
      </w:r>
      <w:r w:rsidR="00BD2857" w:rsidRPr="00160973">
        <w:rPr>
          <w:rFonts w:ascii="Times New Roman" w:eastAsia="Times New Roman" w:hAnsi="Times New Roman" w:cs="Times New Roman"/>
          <w:sz w:val="23"/>
          <w:szCs w:val="23"/>
        </w:rPr>
        <w:t>(FAR)</w:t>
      </w:r>
      <w:r w:rsidR="00573D60" w:rsidRPr="00160973">
        <w:rPr>
          <w:rFonts w:ascii="Times New Roman" w:eastAsia="Times New Roman" w:hAnsi="Times New Roman" w:cs="Times New Roman"/>
          <w:sz w:val="23"/>
          <w:szCs w:val="23"/>
        </w:rPr>
        <w:t xml:space="preserve">, but follows the </w:t>
      </w:r>
      <w:r w:rsidR="0091424A" w:rsidRPr="00160973">
        <w:rPr>
          <w:rFonts w:ascii="Times New Roman" w:eastAsia="Times New Roman" w:hAnsi="Times New Roman" w:cs="Times New Roman"/>
          <w:sz w:val="23"/>
          <w:szCs w:val="23"/>
        </w:rPr>
        <w:t>Acquisition Management System (AMS)</w:t>
      </w:r>
      <w:r w:rsidR="00573D60" w:rsidRPr="00160973">
        <w:rPr>
          <w:rFonts w:ascii="Times New Roman" w:eastAsia="Times New Roman" w:hAnsi="Times New Roman" w:cs="Times New Roman"/>
          <w:sz w:val="23"/>
          <w:szCs w:val="23"/>
        </w:rPr>
        <w:t>, which is unique to FAA</w:t>
      </w:r>
      <w:r w:rsidR="0091424A" w:rsidRPr="00160973">
        <w:rPr>
          <w:rFonts w:ascii="Times New Roman" w:eastAsia="Times New Roman" w:hAnsi="Times New Roman" w:cs="Times New Roman"/>
          <w:sz w:val="23"/>
          <w:szCs w:val="23"/>
        </w:rPr>
        <w:t>.</w:t>
      </w:r>
      <w:r w:rsidR="00535C53" w:rsidRPr="00160973">
        <w:rPr>
          <w:rFonts w:ascii="Times New Roman" w:eastAsia="Times New Roman" w:hAnsi="Times New Roman" w:cs="Times New Roman"/>
          <w:sz w:val="23"/>
          <w:szCs w:val="23"/>
        </w:rPr>
        <w:t xml:space="preserve">  The AMS was developed in response to Section 348 of Public Law 104-50.</w:t>
      </w:r>
      <w:r w:rsidR="00BD2857" w:rsidRPr="00160973">
        <w:rPr>
          <w:rFonts w:ascii="Times New Roman" w:eastAsia="Times New Roman" w:hAnsi="Times New Roman" w:cs="Times New Roman"/>
          <w:color w:val="FF0000"/>
          <w:sz w:val="23"/>
          <w:szCs w:val="23"/>
        </w:rPr>
        <w:t xml:space="preserve"> </w:t>
      </w:r>
      <w:r w:rsidR="00BD2857" w:rsidRPr="00160973">
        <w:rPr>
          <w:rFonts w:ascii="Times New Roman" w:eastAsia="Times New Roman" w:hAnsi="Times New Roman" w:cs="Times New Roman"/>
          <w:sz w:val="23"/>
          <w:szCs w:val="23"/>
        </w:rPr>
        <w:t xml:space="preserve">Because of FAA’s unique situation, many requirements that apply to other DOT OAs do not apply to FAA. </w:t>
      </w:r>
      <w:r w:rsidR="00573D60" w:rsidRPr="00160973">
        <w:rPr>
          <w:rFonts w:ascii="Times New Roman" w:eastAsia="Times New Roman" w:hAnsi="Times New Roman" w:cs="Times New Roman"/>
          <w:sz w:val="23"/>
          <w:szCs w:val="23"/>
        </w:rPr>
        <w:t>In those instances, DOT has noted where FAA has unique authority in its findings below.</w:t>
      </w:r>
      <w:bookmarkEnd w:id="9"/>
    </w:p>
    <w:p w:rsidR="00BB32BB" w:rsidRPr="00160973" w:rsidRDefault="001A67A4" w:rsidP="005E1F70">
      <w:pPr>
        <w:pStyle w:val="Heading1"/>
        <w:numPr>
          <w:ilvl w:val="0"/>
          <w:numId w:val="0"/>
        </w:numPr>
        <w:spacing w:before="200" w:after="200"/>
        <w:ind w:left="720" w:hanging="720"/>
      </w:pPr>
      <w:bookmarkStart w:id="11" w:name="_Toc3887237"/>
      <w:r w:rsidRPr="00160973">
        <w:t xml:space="preserve">4.0 – </w:t>
      </w:r>
      <w:r w:rsidR="002605B3" w:rsidRPr="00160973">
        <w:t>Agency</w:t>
      </w:r>
      <w:r w:rsidR="00582677" w:rsidRPr="00160973">
        <w:t xml:space="preserve"> </w:t>
      </w:r>
      <w:r w:rsidR="006131FF" w:rsidRPr="00160973">
        <w:t>Findings</w:t>
      </w:r>
      <w:bookmarkEnd w:id="11"/>
    </w:p>
    <w:p w:rsidR="009F6326" w:rsidRPr="00160973" w:rsidRDefault="009F6326" w:rsidP="009F6326">
      <w:pPr>
        <w:spacing w:after="0" w:line="240" w:lineRule="auto"/>
        <w:contextualSpacing/>
        <w:rPr>
          <w:rFonts w:ascii="Times New Roman" w:hAnsi="Times New Roman" w:cs="Times New Roman"/>
          <w:sz w:val="23"/>
          <w:szCs w:val="23"/>
          <w:u w:val="single"/>
        </w:rPr>
      </w:pPr>
      <w:r w:rsidRPr="00160973">
        <w:rPr>
          <w:rFonts w:ascii="Times New Roman" w:hAnsi="Times New Roman" w:cs="Times New Roman"/>
          <w:sz w:val="23"/>
          <w:szCs w:val="23"/>
          <w:u w:val="single"/>
        </w:rPr>
        <w:t>Use of personal services contracts</w:t>
      </w:r>
      <w:r w:rsidRPr="00160973">
        <w:rPr>
          <w:rStyle w:val="FootnoteReference"/>
          <w:rFonts w:ascii="Times New Roman" w:hAnsi="Times New Roman" w:cs="Times New Roman"/>
          <w:sz w:val="23"/>
          <w:szCs w:val="23"/>
          <w:u w:val="single"/>
        </w:rPr>
        <w:footnoteReference w:id="11"/>
      </w:r>
    </w:p>
    <w:p w:rsidR="009F6326" w:rsidRPr="00160973" w:rsidRDefault="009F6326" w:rsidP="009F6326">
      <w:pPr>
        <w:spacing w:after="0" w:line="240" w:lineRule="auto"/>
        <w:contextualSpacing/>
        <w:rPr>
          <w:rFonts w:ascii="Times New Roman" w:hAnsi="Times New Roman" w:cs="Times New Roman"/>
          <w:sz w:val="23"/>
          <w:szCs w:val="23"/>
          <w:u w:val="single"/>
        </w:rPr>
      </w:pPr>
    </w:p>
    <w:p w:rsidR="009F6326" w:rsidRPr="00160973" w:rsidRDefault="009F6326" w:rsidP="009F6326">
      <w:pPr>
        <w:rPr>
          <w:rFonts w:ascii="Times New Roman" w:hAnsi="Times New Roman" w:cs="Times New Roman"/>
          <w:sz w:val="23"/>
          <w:szCs w:val="23"/>
        </w:rPr>
      </w:pPr>
      <w:r w:rsidRPr="00160973">
        <w:rPr>
          <w:rFonts w:ascii="Times New Roman" w:hAnsi="Times New Roman" w:cs="Times New Roman"/>
          <w:color w:val="000000"/>
          <w:sz w:val="23"/>
          <w:szCs w:val="23"/>
        </w:rPr>
        <w:t xml:space="preserve">DOT’s FY 2017 SCI analysis revealed that FAA had </w:t>
      </w:r>
      <w:r w:rsidR="00573D60" w:rsidRPr="00160973">
        <w:rPr>
          <w:rFonts w:ascii="Times New Roman" w:hAnsi="Times New Roman" w:cs="Times New Roman"/>
          <w:color w:val="000000"/>
          <w:sz w:val="23"/>
          <w:szCs w:val="23"/>
        </w:rPr>
        <w:t>four</w:t>
      </w:r>
      <w:r w:rsidRPr="00160973">
        <w:rPr>
          <w:rFonts w:ascii="Times New Roman" w:hAnsi="Times New Roman" w:cs="Times New Roman"/>
          <w:color w:val="000000"/>
          <w:sz w:val="23"/>
          <w:szCs w:val="23"/>
        </w:rPr>
        <w:t xml:space="preserve"> personal services contract</w:t>
      </w:r>
      <w:r w:rsidR="00573D60" w:rsidRPr="00160973">
        <w:rPr>
          <w:rFonts w:ascii="Times New Roman" w:hAnsi="Times New Roman" w:cs="Times New Roman"/>
          <w:color w:val="000000"/>
          <w:sz w:val="23"/>
          <w:szCs w:val="23"/>
        </w:rPr>
        <w:t>s</w:t>
      </w:r>
      <w:r w:rsidRPr="00160973">
        <w:rPr>
          <w:rFonts w:ascii="Times New Roman" w:hAnsi="Times New Roman" w:cs="Times New Roman"/>
          <w:color w:val="000000"/>
          <w:sz w:val="23"/>
          <w:szCs w:val="23"/>
        </w:rPr>
        <w:t>.</w:t>
      </w:r>
      <w:r w:rsidRPr="00160973">
        <w:rPr>
          <w:rFonts w:ascii="Times New Roman" w:eastAsia="Times New Roman" w:hAnsi="Times New Roman" w:cs="Times New Roman"/>
          <w:sz w:val="23"/>
          <w:szCs w:val="23"/>
        </w:rPr>
        <w:t xml:space="preserve"> </w:t>
      </w:r>
      <w:r w:rsidR="00573D60" w:rsidRPr="00160973">
        <w:rPr>
          <w:rFonts w:ascii="Times New Roman" w:eastAsia="Times New Roman" w:hAnsi="Times New Roman" w:cs="Times New Roman"/>
          <w:sz w:val="23"/>
          <w:szCs w:val="23"/>
        </w:rPr>
        <w:t xml:space="preserve">As noted above, </w:t>
      </w:r>
      <w:r w:rsidRPr="00160973">
        <w:rPr>
          <w:rFonts w:ascii="Times New Roman" w:eastAsia="Times New Roman" w:hAnsi="Times New Roman" w:cs="Times New Roman"/>
          <w:sz w:val="23"/>
          <w:szCs w:val="23"/>
        </w:rPr>
        <w:t xml:space="preserve">FAA is one of a few executive agencies that is not required to comply with the FAR.  FAA policy and procedures that authorize FAA’s use of personal services contracts can be found in the </w:t>
      </w:r>
      <w:hyperlink r:id="rId14" w:history="1">
        <w:r w:rsidR="00573D60" w:rsidRPr="00160973">
          <w:rPr>
            <w:rStyle w:val="Hyperlink"/>
            <w:rFonts w:ascii="Times New Roman" w:hAnsi="Times New Roman" w:cs="Times New Roman"/>
            <w:sz w:val="23"/>
            <w:szCs w:val="23"/>
          </w:rPr>
          <w:t>AMS Section 3.8.2.3</w:t>
        </w:r>
      </w:hyperlink>
      <w:r w:rsidR="00573D60" w:rsidRPr="00160973">
        <w:rPr>
          <w:rFonts w:ascii="Times New Roman" w:hAnsi="Times New Roman" w:cs="Times New Roman"/>
          <w:color w:val="1F497D"/>
          <w:sz w:val="23"/>
          <w:szCs w:val="23"/>
        </w:rPr>
        <w:t xml:space="preserve">. </w:t>
      </w:r>
      <w:r w:rsidR="00573D60" w:rsidRPr="00160973">
        <w:rPr>
          <w:rFonts w:ascii="Times New Roman" w:hAnsi="Times New Roman" w:cs="Times New Roman"/>
          <w:sz w:val="23"/>
          <w:szCs w:val="23"/>
        </w:rPr>
        <w:t xml:space="preserve">The determination required by AMS Section 3.8.2.3.2 was completed for each of the FAA personal services contract awards included in this review and were sufficiently justified. </w:t>
      </w:r>
    </w:p>
    <w:p w:rsidR="00CD1D3D" w:rsidRPr="00160973" w:rsidRDefault="00CD1D3D" w:rsidP="009F6326">
      <w:pPr>
        <w:rPr>
          <w:rFonts w:ascii="Times New Roman" w:eastAsia="Times New Roman" w:hAnsi="Times New Roman" w:cs="Times New Roman"/>
          <w:sz w:val="23"/>
          <w:szCs w:val="23"/>
        </w:rPr>
      </w:pPr>
      <w:r w:rsidRPr="00160973">
        <w:rPr>
          <w:rFonts w:ascii="Times New Roman" w:hAnsi="Times New Roman" w:cs="Times New Roman"/>
          <w:sz w:val="23"/>
          <w:szCs w:val="23"/>
        </w:rPr>
        <w:t xml:space="preserve">Based on DOT’s review of the dataset pulled from FPDS-NG for </w:t>
      </w:r>
      <w:r w:rsidR="002C2E0B" w:rsidRPr="00160973">
        <w:rPr>
          <w:rFonts w:ascii="Times New Roman" w:hAnsi="Times New Roman" w:cs="Times New Roman"/>
          <w:sz w:val="23"/>
          <w:szCs w:val="23"/>
        </w:rPr>
        <w:t>PSC R497 – Personal Services Contracts for</w:t>
      </w:r>
      <w:r w:rsidRPr="00160973">
        <w:rPr>
          <w:rFonts w:ascii="Times New Roman" w:hAnsi="Times New Roman" w:cs="Times New Roman"/>
          <w:sz w:val="23"/>
          <w:szCs w:val="23"/>
        </w:rPr>
        <w:t xml:space="preserve"> </w:t>
      </w:r>
      <w:r w:rsidR="002C2E0B" w:rsidRPr="00160973">
        <w:rPr>
          <w:rFonts w:ascii="Times New Roman" w:hAnsi="Times New Roman" w:cs="Times New Roman"/>
          <w:sz w:val="23"/>
          <w:szCs w:val="23"/>
        </w:rPr>
        <w:t xml:space="preserve">the </w:t>
      </w:r>
      <w:r w:rsidRPr="00160973">
        <w:rPr>
          <w:rFonts w:ascii="Times New Roman" w:hAnsi="Times New Roman" w:cs="Times New Roman"/>
          <w:sz w:val="23"/>
          <w:szCs w:val="23"/>
        </w:rPr>
        <w:t xml:space="preserve">FY 2017 SCI, it is also noted that both FRA and FMCSA reported having personal services contracts. However, </w:t>
      </w:r>
      <w:r w:rsidR="002C2E0B" w:rsidRPr="00160973">
        <w:rPr>
          <w:rFonts w:ascii="Times New Roman" w:hAnsi="Times New Roman" w:cs="Times New Roman"/>
          <w:sz w:val="23"/>
          <w:szCs w:val="23"/>
        </w:rPr>
        <w:t>upon further investigation, it was found that</w:t>
      </w:r>
      <w:r w:rsidR="005A53D4" w:rsidRPr="00160973">
        <w:rPr>
          <w:rFonts w:ascii="Times New Roman" w:hAnsi="Times New Roman" w:cs="Times New Roman"/>
          <w:sz w:val="23"/>
          <w:szCs w:val="23"/>
        </w:rPr>
        <w:t xml:space="preserve"> the awards being reported were coding errors and OSPE has followed up with the OAs to request correction of the FPDS records. No other DOT OAs reported or were found to have personal services contract awards.</w:t>
      </w:r>
    </w:p>
    <w:p w:rsidR="009F6326" w:rsidRPr="00160973" w:rsidRDefault="009F6326" w:rsidP="009F6326">
      <w:pPr>
        <w:spacing w:after="0" w:line="240" w:lineRule="auto"/>
        <w:ind w:firstLine="36"/>
        <w:contextualSpacing/>
        <w:rPr>
          <w:rFonts w:ascii="Times New Roman" w:hAnsi="Times New Roman" w:cs="Times New Roman"/>
          <w:bCs/>
          <w:color w:val="000000"/>
          <w:sz w:val="23"/>
          <w:szCs w:val="23"/>
          <w:u w:val="single"/>
        </w:rPr>
      </w:pPr>
      <w:r w:rsidRPr="00160973">
        <w:rPr>
          <w:rFonts w:ascii="Times New Roman" w:hAnsi="Times New Roman" w:cs="Times New Roman"/>
          <w:bCs/>
          <w:color w:val="000000"/>
          <w:sz w:val="23"/>
          <w:szCs w:val="23"/>
          <w:u w:val="single"/>
        </w:rPr>
        <w:t>Use of contractors to perform inherently governmental functions or functions closely associated with inherently governmental functions</w:t>
      </w:r>
      <w:r w:rsidRPr="00160973">
        <w:rPr>
          <w:rFonts w:ascii="Times New Roman" w:hAnsi="Times New Roman" w:cs="Times New Roman"/>
          <w:bCs/>
          <w:color w:val="000000"/>
          <w:sz w:val="23"/>
          <w:szCs w:val="23"/>
          <w:u w:val="single"/>
          <w:vertAlign w:val="superscript"/>
        </w:rPr>
        <w:footnoteReference w:id="12"/>
      </w:r>
    </w:p>
    <w:p w:rsidR="009F6326" w:rsidRPr="00160973" w:rsidRDefault="009F6326" w:rsidP="009F6326">
      <w:pPr>
        <w:spacing w:after="0" w:line="240" w:lineRule="auto"/>
        <w:ind w:firstLine="36"/>
        <w:contextualSpacing/>
        <w:rPr>
          <w:rFonts w:ascii="Times New Roman" w:hAnsi="Times New Roman" w:cs="Times New Roman"/>
          <w:bCs/>
          <w:color w:val="000000"/>
          <w:sz w:val="23"/>
          <w:szCs w:val="23"/>
          <w:u w:val="single"/>
        </w:rPr>
      </w:pPr>
    </w:p>
    <w:p w:rsidR="009F6326" w:rsidRPr="00160973" w:rsidRDefault="005A53D4" w:rsidP="009F6326">
      <w:pPr>
        <w:spacing w:after="0" w:line="240" w:lineRule="auto"/>
        <w:ind w:firstLine="36"/>
        <w:contextualSpacing/>
        <w:rPr>
          <w:rFonts w:ascii="Times New Roman" w:hAnsi="Times New Roman" w:cs="Times New Roman"/>
          <w:bCs/>
          <w:color w:val="000000"/>
          <w:sz w:val="23"/>
          <w:szCs w:val="23"/>
        </w:rPr>
      </w:pPr>
      <w:r w:rsidRPr="00160973">
        <w:rPr>
          <w:rFonts w:ascii="Times New Roman" w:hAnsi="Times New Roman" w:cs="Times New Roman"/>
          <w:color w:val="000000"/>
          <w:sz w:val="23"/>
          <w:szCs w:val="23"/>
        </w:rPr>
        <w:t>DOT’s analysis</w:t>
      </w:r>
      <w:r w:rsidRPr="00160973">
        <w:rPr>
          <w:rFonts w:ascii="Times New Roman" w:hAnsi="Times New Roman" w:cs="Times New Roman"/>
          <w:bCs/>
          <w:color w:val="000000"/>
          <w:sz w:val="23"/>
          <w:szCs w:val="23"/>
        </w:rPr>
        <w:t xml:space="preserve"> </w:t>
      </w:r>
      <w:r w:rsidR="0032182C" w:rsidRPr="00160973">
        <w:rPr>
          <w:rFonts w:ascii="Times New Roman" w:hAnsi="Times New Roman" w:cs="Times New Roman"/>
          <w:bCs/>
          <w:color w:val="000000"/>
          <w:sz w:val="23"/>
          <w:szCs w:val="23"/>
        </w:rPr>
        <w:t xml:space="preserve">confirmed that DOT’s FY 2017 SCI did not include any awards that are inherently governmental or closely associated to inherently governmental functions. </w:t>
      </w:r>
    </w:p>
    <w:p w:rsidR="00A03666" w:rsidRPr="00160973" w:rsidRDefault="00A03666" w:rsidP="009F6326">
      <w:pPr>
        <w:spacing w:after="0" w:line="240" w:lineRule="auto"/>
        <w:ind w:firstLine="36"/>
        <w:contextualSpacing/>
        <w:rPr>
          <w:rFonts w:ascii="Times New Roman" w:hAnsi="Times New Roman" w:cs="Times New Roman"/>
          <w:sz w:val="23"/>
          <w:szCs w:val="23"/>
        </w:rPr>
      </w:pPr>
    </w:p>
    <w:p w:rsidR="00107FA4" w:rsidRPr="00160973" w:rsidRDefault="00A03666" w:rsidP="00BD2857">
      <w:pPr>
        <w:spacing w:after="0" w:line="240" w:lineRule="auto"/>
        <w:ind w:firstLine="36"/>
        <w:contextualSpacing/>
        <w:rPr>
          <w:rFonts w:ascii="Times New Roman" w:hAnsi="Times New Roman" w:cs="Times New Roman"/>
          <w:bCs/>
          <w:color w:val="000000"/>
          <w:sz w:val="23"/>
          <w:szCs w:val="23"/>
          <w:u w:val="single"/>
        </w:rPr>
      </w:pPr>
      <w:r w:rsidRPr="00160973">
        <w:rPr>
          <w:rFonts w:ascii="Times New Roman" w:hAnsi="Times New Roman" w:cs="Times New Roman"/>
          <w:bCs/>
          <w:color w:val="000000"/>
          <w:sz w:val="23"/>
          <w:szCs w:val="23"/>
          <w:u w:val="single"/>
        </w:rPr>
        <w:t>Use of</w:t>
      </w:r>
      <w:r w:rsidR="00BB16DD" w:rsidRPr="00160973">
        <w:rPr>
          <w:rFonts w:ascii="Times New Roman" w:hAnsi="Times New Roman" w:cs="Times New Roman"/>
          <w:bCs/>
          <w:color w:val="000000"/>
          <w:sz w:val="23"/>
          <w:szCs w:val="23"/>
          <w:u w:val="single"/>
        </w:rPr>
        <w:t xml:space="preserve"> contractors to </w:t>
      </w:r>
      <w:r w:rsidR="00660E7A" w:rsidRPr="00160973">
        <w:rPr>
          <w:rFonts w:ascii="Times New Roman" w:hAnsi="Times New Roman" w:cs="Times New Roman"/>
          <w:bCs/>
          <w:color w:val="000000"/>
          <w:sz w:val="23"/>
          <w:szCs w:val="23"/>
          <w:u w:val="single"/>
        </w:rPr>
        <w:t xml:space="preserve">perform </w:t>
      </w:r>
      <w:r w:rsidR="00C42A92" w:rsidRPr="00160973">
        <w:rPr>
          <w:rFonts w:ascii="Times New Roman" w:hAnsi="Times New Roman" w:cs="Times New Roman"/>
          <w:bCs/>
          <w:color w:val="000000"/>
          <w:sz w:val="23"/>
          <w:szCs w:val="23"/>
          <w:u w:val="single"/>
        </w:rPr>
        <w:t>critical functions in such a way that could affect</w:t>
      </w:r>
      <w:r w:rsidR="00BB16DD" w:rsidRPr="00160973">
        <w:rPr>
          <w:rFonts w:ascii="Times New Roman" w:hAnsi="Times New Roman" w:cs="Times New Roman"/>
          <w:bCs/>
          <w:color w:val="000000"/>
          <w:sz w:val="23"/>
          <w:szCs w:val="23"/>
          <w:u w:val="single"/>
        </w:rPr>
        <w:t xml:space="preserve"> </w:t>
      </w:r>
      <w:r w:rsidR="00C42A92" w:rsidRPr="00160973">
        <w:rPr>
          <w:rFonts w:ascii="Times New Roman" w:hAnsi="Times New Roman" w:cs="Times New Roman"/>
          <w:bCs/>
          <w:color w:val="000000"/>
          <w:sz w:val="23"/>
          <w:szCs w:val="23"/>
          <w:u w:val="single"/>
        </w:rPr>
        <w:t>the ability of the agency to maintain control of its mission and operations</w:t>
      </w:r>
      <w:r w:rsidR="00C42A92" w:rsidRPr="00160973">
        <w:rPr>
          <w:rFonts w:ascii="Times New Roman" w:hAnsi="Times New Roman" w:cs="Times New Roman"/>
          <w:b/>
          <w:bCs/>
          <w:color w:val="000000"/>
          <w:sz w:val="23"/>
          <w:szCs w:val="23"/>
        </w:rPr>
        <w:t xml:space="preserve"> </w:t>
      </w:r>
      <w:r w:rsidR="00107FA4" w:rsidRPr="00160973">
        <w:rPr>
          <w:rStyle w:val="FootnoteReference"/>
          <w:rFonts w:ascii="Times New Roman" w:hAnsi="Times New Roman" w:cs="Times New Roman"/>
          <w:bCs/>
          <w:color w:val="000000"/>
          <w:sz w:val="23"/>
          <w:szCs w:val="23"/>
        </w:rPr>
        <w:footnoteReference w:id="13"/>
      </w:r>
      <w:r w:rsidR="00107FA4" w:rsidRPr="00160973">
        <w:rPr>
          <w:rFonts w:ascii="Times New Roman" w:hAnsi="Times New Roman" w:cs="Times New Roman"/>
          <w:bCs/>
          <w:color w:val="000000"/>
          <w:sz w:val="23"/>
          <w:szCs w:val="23"/>
        </w:rPr>
        <w:t xml:space="preserve"> </w:t>
      </w:r>
    </w:p>
    <w:p w:rsidR="00630A5B" w:rsidRPr="00160973" w:rsidRDefault="00630A5B" w:rsidP="00BD2857">
      <w:pPr>
        <w:autoSpaceDE w:val="0"/>
        <w:autoSpaceDN w:val="0"/>
        <w:adjustRightInd w:val="0"/>
        <w:spacing w:after="0" w:line="240" w:lineRule="auto"/>
        <w:rPr>
          <w:rFonts w:ascii="Times New Roman" w:hAnsi="Times New Roman" w:cs="Times New Roman"/>
          <w:sz w:val="23"/>
          <w:szCs w:val="23"/>
        </w:rPr>
      </w:pPr>
    </w:p>
    <w:p w:rsidR="00630A5B" w:rsidRPr="00160973" w:rsidRDefault="00630A5B" w:rsidP="00BD2857">
      <w:pPr>
        <w:autoSpaceDE w:val="0"/>
        <w:autoSpaceDN w:val="0"/>
        <w:adjustRightInd w:val="0"/>
        <w:spacing w:after="0" w:line="240" w:lineRule="auto"/>
        <w:rPr>
          <w:rFonts w:ascii="Times New Roman" w:hAnsi="Times New Roman" w:cs="Times New Roman"/>
          <w:sz w:val="23"/>
          <w:szCs w:val="23"/>
        </w:rPr>
      </w:pPr>
      <w:bookmarkStart w:id="12" w:name="_Hlk3371043"/>
      <w:r w:rsidRPr="00160973">
        <w:rPr>
          <w:rFonts w:ascii="Times New Roman" w:hAnsi="Times New Roman" w:cs="Times New Roman"/>
          <w:color w:val="000000"/>
          <w:sz w:val="23"/>
          <w:szCs w:val="23"/>
        </w:rPr>
        <w:t xml:space="preserve">DOT’s FY 2017 SCI analysis revealed that </w:t>
      </w:r>
      <w:r w:rsidR="00F3119A" w:rsidRPr="00160973">
        <w:rPr>
          <w:rFonts w:ascii="Times New Roman" w:hAnsi="Times New Roman" w:cs="Times New Roman"/>
          <w:color w:val="000000"/>
          <w:sz w:val="23"/>
          <w:szCs w:val="23"/>
        </w:rPr>
        <w:t>three</w:t>
      </w:r>
      <w:r w:rsidR="003751DF" w:rsidRPr="00160973">
        <w:rPr>
          <w:rFonts w:ascii="Times New Roman" w:hAnsi="Times New Roman" w:cs="Times New Roman"/>
          <w:color w:val="000000"/>
          <w:sz w:val="23"/>
          <w:szCs w:val="23"/>
        </w:rPr>
        <w:t xml:space="preserve"> </w:t>
      </w:r>
      <w:r w:rsidRPr="00160973">
        <w:rPr>
          <w:rFonts w:ascii="Times New Roman" w:hAnsi="Times New Roman" w:cs="Times New Roman"/>
          <w:color w:val="000000"/>
          <w:sz w:val="23"/>
          <w:szCs w:val="23"/>
        </w:rPr>
        <w:t>DOT</w:t>
      </w:r>
      <w:r w:rsidR="00C42A92" w:rsidRPr="00160973">
        <w:rPr>
          <w:rFonts w:ascii="Times New Roman" w:hAnsi="Times New Roman" w:cs="Times New Roman"/>
          <w:color w:val="000000"/>
          <w:sz w:val="23"/>
          <w:szCs w:val="23"/>
        </w:rPr>
        <w:t xml:space="preserve"> </w:t>
      </w:r>
      <w:r w:rsidR="003751DF" w:rsidRPr="00160973">
        <w:rPr>
          <w:rFonts w:ascii="Times New Roman" w:hAnsi="Times New Roman" w:cs="Times New Roman"/>
          <w:color w:val="000000"/>
          <w:sz w:val="23"/>
          <w:szCs w:val="23"/>
        </w:rPr>
        <w:t>OA</w:t>
      </w:r>
      <w:r w:rsidR="00C42A92" w:rsidRPr="00160973">
        <w:rPr>
          <w:rFonts w:ascii="Times New Roman" w:hAnsi="Times New Roman" w:cs="Times New Roman"/>
          <w:color w:val="000000"/>
          <w:sz w:val="23"/>
          <w:szCs w:val="23"/>
        </w:rPr>
        <w:t>s</w:t>
      </w:r>
      <w:r w:rsidR="003751DF" w:rsidRPr="00160973">
        <w:rPr>
          <w:rFonts w:ascii="Times New Roman" w:hAnsi="Times New Roman" w:cs="Times New Roman"/>
          <w:color w:val="000000"/>
          <w:sz w:val="23"/>
          <w:szCs w:val="23"/>
        </w:rPr>
        <w:t xml:space="preserve"> </w:t>
      </w:r>
      <w:r w:rsidR="00C42A92" w:rsidRPr="00160973">
        <w:rPr>
          <w:rFonts w:ascii="Times New Roman" w:hAnsi="Times New Roman" w:cs="Times New Roman"/>
          <w:color w:val="000000"/>
          <w:sz w:val="23"/>
          <w:szCs w:val="23"/>
        </w:rPr>
        <w:t>utilize</w:t>
      </w:r>
      <w:r w:rsidR="00BB16DD" w:rsidRPr="00160973">
        <w:rPr>
          <w:rFonts w:ascii="Times New Roman" w:hAnsi="Times New Roman" w:cs="Times New Roman"/>
          <w:color w:val="000000"/>
          <w:sz w:val="23"/>
          <w:szCs w:val="23"/>
        </w:rPr>
        <w:t>d</w:t>
      </w:r>
      <w:r w:rsidR="00C42A92" w:rsidRPr="00160973">
        <w:rPr>
          <w:rFonts w:ascii="Times New Roman" w:hAnsi="Times New Roman" w:cs="Times New Roman"/>
          <w:color w:val="000000"/>
          <w:sz w:val="23"/>
          <w:szCs w:val="23"/>
        </w:rPr>
        <w:t xml:space="preserve"> </w:t>
      </w:r>
      <w:r w:rsidR="003751DF" w:rsidRPr="00160973">
        <w:rPr>
          <w:rFonts w:ascii="Times New Roman" w:hAnsi="Times New Roman" w:cs="Times New Roman"/>
          <w:color w:val="000000"/>
          <w:sz w:val="23"/>
          <w:szCs w:val="23"/>
        </w:rPr>
        <w:t xml:space="preserve">contractor personnel </w:t>
      </w:r>
      <w:r w:rsidR="00C42A92" w:rsidRPr="00160973">
        <w:rPr>
          <w:rFonts w:ascii="Times New Roman" w:hAnsi="Times New Roman" w:cs="Times New Roman"/>
          <w:color w:val="000000"/>
          <w:sz w:val="23"/>
          <w:szCs w:val="23"/>
        </w:rPr>
        <w:t>to perform critical functions</w:t>
      </w:r>
      <w:r w:rsidR="00087BF4" w:rsidRPr="00160973">
        <w:rPr>
          <w:rFonts w:ascii="Times New Roman" w:hAnsi="Times New Roman" w:cs="Times New Roman"/>
          <w:color w:val="000000"/>
          <w:sz w:val="23"/>
          <w:szCs w:val="23"/>
        </w:rPr>
        <w:t xml:space="preserve">: </w:t>
      </w:r>
      <w:r w:rsidR="0032182C" w:rsidRPr="00160973">
        <w:rPr>
          <w:rFonts w:ascii="Times New Roman" w:hAnsi="Times New Roman" w:cs="Times New Roman"/>
          <w:color w:val="000000"/>
          <w:sz w:val="23"/>
          <w:szCs w:val="23"/>
        </w:rPr>
        <w:t xml:space="preserve">FAA, </w:t>
      </w:r>
      <w:r w:rsidR="00087BF4" w:rsidRPr="00160973">
        <w:rPr>
          <w:rFonts w:ascii="Times New Roman" w:hAnsi="Times New Roman" w:cs="Times New Roman"/>
          <w:color w:val="000000"/>
          <w:sz w:val="23"/>
          <w:szCs w:val="23"/>
        </w:rPr>
        <w:t>OST</w:t>
      </w:r>
      <w:r w:rsidR="0032182C" w:rsidRPr="00160973">
        <w:rPr>
          <w:rFonts w:ascii="Times New Roman" w:hAnsi="Times New Roman" w:cs="Times New Roman"/>
          <w:color w:val="000000"/>
          <w:sz w:val="23"/>
          <w:szCs w:val="23"/>
        </w:rPr>
        <w:t xml:space="preserve"> and</w:t>
      </w:r>
      <w:r w:rsidR="00087BF4" w:rsidRPr="00160973">
        <w:rPr>
          <w:rFonts w:ascii="Times New Roman" w:hAnsi="Times New Roman" w:cs="Times New Roman"/>
          <w:color w:val="000000"/>
          <w:sz w:val="23"/>
          <w:szCs w:val="23"/>
        </w:rPr>
        <w:t xml:space="preserve"> PHMSA. </w:t>
      </w:r>
    </w:p>
    <w:bookmarkEnd w:id="12"/>
    <w:p w:rsidR="005E0882" w:rsidRPr="00160973" w:rsidRDefault="005E0882" w:rsidP="00BD2857">
      <w:pPr>
        <w:spacing w:after="0" w:line="240" w:lineRule="auto"/>
        <w:rPr>
          <w:rFonts w:ascii="Times New Roman" w:hAnsi="Times New Roman" w:cs="Times New Roman"/>
          <w:b/>
          <w:bCs/>
          <w:color w:val="000000"/>
          <w:sz w:val="23"/>
          <w:szCs w:val="23"/>
        </w:rPr>
      </w:pPr>
    </w:p>
    <w:p w:rsidR="00962796" w:rsidRPr="00160973" w:rsidRDefault="00016EEC" w:rsidP="00BD2857">
      <w:pPr>
        <w:spacing w:after="0" w:line="240" w:lineRule="auto"/>
        <w:rPr>
          <w:rFonts w:ascii="Times New Roman" w:hAnsi="Times New Roman" w:cs="Times New Roman"/>
          <w:color w:val="000000"/>
          <w:sz w:val="23"/>
          <w:szCs w:val="23"/>
        </w:rPr>
      </w:pPr>
      <w:r w:rsidRPr="00160973">
        <w:rPr>
          <w:rFonts w:ascii="Times New Roman" w:hAnsi="Times New Roman" w:cs="Times New Roman"/>
          <w:color w:val="000000"/>
          <w:sz w:val="23"/>
          <w:szCs w:val="23"/>
        </w:rPr>
        <w:t>I</w:t>
      </w:r>
      <w:r w:rsidR="00C5123F" w:rsidRPr="00160973">
        <w:rPr>
          <w:rFonts w:ascii="Times New Roman" w:hAnsi="Times New Roman" w:cs="Times New Roman"/>
          <w:color w:val="000000"/>
          <w:sz w:val="23"/>
          <w:szCs w:val="23"/>
        </w:rPr>
        <w:t xml:space="preserve">n its FY 2017 SCI </w:t>
      </w:r>
      <w:r w:rsidR="0032182C" w:rsidRPr="00160973">
        <w:rPr>
          <w:rFonts w:ascii="Times New Roman" w:hAnsi="Times New Roman" w:cs="Times New Roman"/>
          <w:color w:val="000000"/>
          <w:sz w:val="23"/>
          <w:szCs w:val="23"/>
        </w:rPr>
        <w:t>analysis response,</w:t>
      </w:r>
      <w:r w:rsidR="001A2CAF" w:rsidRPr="00160973">
        <w:rPr>
          <w:rFonts w:ascii="Times New Roman" w:hAnsi="Times New Roman" w:cs="Times New Roman"/>
          <w:color w:val="000000"/>
          <w:sz w:val="23"/>
          <w:szCs w:val="23"/>
        </w:rPr>
        <w:t xml:space="preserve"> </w:t>
      </w:r>
      <w:r w:rsidR="00962796" w:rsidRPr="00160973">
        <w:rPr>
          <w:rFonts w:ascii="Times New Roman" w:hAnsi="Times New Roman" w:cs="Times New Roman"/>
          <w:color w:val="000000"/>
          <w:sz w:val="23"/>
          <w:szCs w:val="23"/>
        </w:rPr>
        <w:t xml:space="preserve">FAA </w:t>
      </w:r>
      <w:r w:rsidR="0032182C" w:rsidRPr="00160973">
        <w:rPr>
          <w:rFonts w:ascii="Times New Roman" w:hAnsi="Times New Roman" w:cs="Times New Roman"/>
          <w:color w:val="000000"/>
          <w:sz w:val="23"/>
          <w:szCs w:val="23"/>
        </w:rPr>
        <w:t xml:space="preserve">stated that </w:t>
      </w:r>
      <w:r w:rsidR="00962796" w:rsidRPr="00160973">
        <w:rPr>
          <w:rFonts w:ascii="Times New Roman" w:hAnsi="Times New Roman" w:cs="Times New Roman"/>
          <w:color w:val="000000"/>
          <w:sz w:val="23"/>
          <w:szCs w:val="23"/>
        </w:rPr>
        <w:t>e</w:t>
      </w:r>
      <w:r w:rsidR="005E0882" w:rsidRPr="00160973">
        <w:rPr>
          <w:rFonts w:ascii="Times New Roman" w:hAnsi="Times New Roman" w:cs="Times New Roman"/>
          <w:color w:val="000000"/>
          <w:sz w:val="23"/>
          <w:szCs w:val="23"/>
        </w:rPr>
        <w:t xml:space="preserve">very contract </w:t>
      </w:r>
      <w:r w:rsidR="0032182C" w:rsidRPr="00160973">
        <w:rPr>
          <w:rFonts w:ascii="Times New Roman" w:hAnsi="Times New Roman" w:cs="Times New Roman"/>
          <w:color w:val="000000"/>
          <w:sz w:val="23"/>
          <w:szCs w:val="23"/>
        </w:rPr>
        <w:t xml:space="preserve">included in its analysis </w:t>
      </w:r>
      <w:r w:rsidR="005E0882" w:rsidRPr="00160973">
        <w:rPr>
          <w:rFonts w:ascii="Times New Roman" w:hAnsi="Times New Roman" w:cs="Times New Roman"/>
          <w:color w:val="000000"/>
          <w:sz w:val="23"/>
          <w:szCs w:val="23"/>
        </w:rPr>
        <w:t>provides either indirect or direct support to critical functions</w:t>
      </w:r>
      <w:r w:rsidR="00087BF4" w:rsidRPr="00160973">
        <w:rPr>
          <w:rFonts w:ascii="Times New Roman" w:hAnsi="Times New Roman" w:cs="Times New Roman"/>
          <w:color w:val="000000"/>
          <w:sz w:val="23"/>
          <w:szCs w:val="23"/>
        </w:rPr>
        <w:t>,</w:t>
      </w:r>
      <w:r w:rsidR="005E0882" w:rsidRPr="00160973">
        <w:rPr>
          <w:rFonts w:ascii="Times New Roman" w:hAnsi="Times New Roman" w:cs="Times New Roman"/>
          <w:color w:val="000000"/>
          <w:sz w:val="23"/>
          <w:szCs w:val="23"/>
        </w:rPr>
        <w:t xml:space="preserve"> which in turn has a direct impact on FAA's overall mission and operations</w:t>
      </w:r>
      <w:r w:rsidR="0032182C" w:rsidRPr="00160973">
        <w:rPr>
          <w:rFonts w:ascii="Times New Roman" w:hAnsi="Times New Roman" w:cs="Times New Roman"/>
          <w:color w:val="000000"/>
          <w:sz w:val="23"/>
          <w:szCs w:val="23"/>
        </w:rPr>
        <w:t>. Examples of services FAA contracts are those that support</w:t>
      </w:r>
      <w:r w:rsidR="005E0882" w:rsidRPr="00160973">
        <w:rPr>
          <w:rFonts w:ascii="Times New Roman" w:hAnsi="Times New Roman" w:cs="Times New Roman"/>
          <w:color w:val="000000"/>
          <w:sz w:val="23"/>
          <w:szCs w:val="23"/>
        </w:rPr>
        <w:t xml:space="preserve"> aviation safety, air traffic, information systems, security and hazardous material safety.</w:t>
      </w:r>
    </w:p>
    <w:p w:rsidR="00087BF4" w:rsidRPr="00160973" w:rsidRDefault="00087BF4" w:rsidP="00BD2857">
      <w:pPr>
        <w:spacing w:after="0" w:line="240" w:lineRule="auto"/>
        <w:rPr>
          <w:rFonts w:ascii="Times New Roman" w:hAnsi="Times New Roman" w:cs="Times New Roman"/>
          <w:color w:val="000000"/>
          <w:sz w:val="23"/>
          <w:szCs w:val="23"/>
          <w:highlight w:val="yellow"/>
        </w:rPr>
      </w:pPr>
    </w:p>
    <w:p w:rsidR="005E0882" w:rsidRPr="00160973" w:rsidRDefault="008829F9" w:rsidP="00BD2857">
      <w:pPr>
        <w:spacing w:after="0" w:line="240" w:lineRule="auto"/>
        <w:rPr>
          <w:rFonts w:ascii="Times New Roman" w:hAnsi="Times New Roman" w:cs="Times New Roman"/>
          <w:bCs/>
          <w:color w:val="000000"/>
          <w:sz w:val="23"/>
          <w:szCs w:val="23"/>
        </w:rPr>
      </w:pPr>
      <w:r w:rsidRPr="00160973">
        <w:rPr>
          <w:rFonts w:ascii="Times New Roman" w:hAnsi="Times New Roman" w:cs="Times New Roman"/>
          <w:bCs/>
          <w:color w:val="000000"/>
          <w:sz w:val="23"/>
          <w:szCs w:val="23"/>
        </w:rPr>
        <w:t xml:space="preserve">In </w:t>
      </w:r>
      <w:r w:rsidR="005E0882" w:rsidRPr="00160973">
        <w:rPr>
          <w:rFonts w:ascii="Times New Roman" w:hAnsi="Times New Roman" w:cs="Times New Roman"/>
          <w:bCs/>
          <w:color w:val="000000"/>
          <w:sz w:val="23"/>
          <w:szCs w:val="23"/>
        </w:rPr>
        <w:t xml:space="preserve">OST, contractor’s assist </w:t>
      </w:r>
      <w:r w:rsidR="00FD35D9" w:rsidRPr="00160973">
        <w:rPr>
          <w:rFonts w:ascii="Times New Roman" w:hAnsi="Times New Roman" w:cs="Times New Roman"/>
          <w:bCs/>
          <w:color w:val="000000"/>
          <w:sz w:val="23"/>
          <w:szCs w:val="23"/>
        </w:rPr>
        <w:t xml:space="preserve">government </w:t>
      </w:r>
      <w:r w:rsidR="005E0882" w:rsidRPr="00160973">
        <w:rPr>
          <w:rFonts w:ascii="Times New Roman" w:hAnsi="Times New Roman" w:cs="Times New Roman"/>
          <w:bCs/>
          <w:color w:val="000000"/>
          <w:sz w:val="23"/>
          <w:szCs w:val="23"/>
        </w:rPr>
        <w:t>personnel</w:t>
      </w:r>
      <w:r w:rsidR="00FD35D9" w:rsidRPr="00160973">
        <w:rPr>
          <w:rFonts w:ascii="Times New Roman" w:hAnsi="Times New Roman" w:cs="Times New Roman"/>
          <w:bCs/>
          <w:color w:val="000000"/>
          <w:sz w:val="23"/>
          <w:szCs w:val="23"/>
        </w:rPr>
        <w:t xml:space="preserve"> and </w:t>
      </w:r>
      <w:r w:rsidR="005E0882" w:rsidRPr="00160973">
        <w:rPr>
          <w:rFonts w:ascii="Times New Roman" w:hAnsi="Times New Roman" w:cs="Times New Roman"/>
          <w:bCs/>
          <w:color w:val="000000"/>
          <w:sz w:val="23"/>
          <w:szCs w:val="23"/>
        </w:rPr>
        <w:t>develop strategies on the Department-wide Enterprise Risk Management implementation.</w:t>
      </w:r>
      <w:r w:rsidR="009924E0">
        <w:rPr>
          <w:rFonts w:ascii="Times New Roman" w:hAnsi="Times New Roman" w:cs="Times New Roman"/>
          <w:bCs/>
          <w:color w:val="000000"/>
          <w:sz w:val="23"/>
          <w:szCs w:val="23"/>
        </w:rPr>
        <w:t xml:space="preserve"> </w:t>
      </w:r>
      <w:r w:rsidRPr="00160973">
        <w:rPr>
          <w:rFonts w:ascii="Times New Roman" w:hAnsi="Times New Roman" w:cs="Times New Roman"/>
          <w:bCs/>
          <w:color w:val="000000"/>
          <w:sz w:val="23"/>
          <w:szCs w:val="23"/>
        </w:rPr>
        <w:t xml:space="preserve">In </w:t>
      </w:r>
      <w:r w:rsidR="005E0882" w:rsidRPr="00160973">
        <w:rPr>
          <w:rFonts w:ascii="Times New Roman" w:hAnsi="Times New Roman" w:cs="Times New Roman"/>
          <w:bCs/>
          <w:color w:val="000000"/>
          <w:sz w:val="23"/>
          <w:szCs w:val="23"/>
        </w:rPr>
        <w:t xml:space="preserve">PHMSA, contractors </w:t>
      </w:r>
      <w:r w:rsidRPr="00160973">
        <w:rPr>
          <w:rFonts w:ascii="Times New Roman" w:hAnsi="Times New Roman" w:cs="Times New Roman"/>
          <w:bCs/>
          <w:color w:val="000000"/>
          <w:sz w:val="23"/>
          <w:szCs w:val="23"/>
        </w:rPr>
        <w:t xml:space="preserve">are utilized to </w:t>
      </w:r>
      <w:r w:rsidR="005E0882" w:rsidRPr="00160973">
        <w:rPr>
          <w:rFonts w:ascii="Times New Roman" w:hAnsi="Times New Roman" w:cs="Times New Roman"/>
          <w:bCs/>
          <w:color w:val="000000"/>
          <w:sz w:val="23"/>
          <w:szCs w:val="23"/>
        </w:rPr>
        <w:t>establish a system of records via an integrated database for the Office of Pipeline Safety</w:t>
      </w:r>
      <w:r w:rsidR="009924E0">
        <w:rPr>
          <w:rFonts w:ascii="Times New Roman" w:hAnsi="Times New Roman" w:cs="Times New Roman"/>
          <w:bCs/>
          <w:color w:val="000000"/>
          <w:sz w:val="23"/>
          <w:szCs w:val="23"/>
        </w:rPr>
        <w:t xml:space="preserve"> </w:t>
      </w:r>
      <w:r w:rsidR="00000614">
        <w:rPr>
          <w:rFonts w:ascii="Times New Roman" w:hAnsi="Times New Roman" w:cs="Times New Roman"/>
          <w:bCs/>
          <w:color w:val="000000"/>
          <w:sz w:val="23"/>
          <w:szCs w:val="23"/>
        </w:rPr>
        <w:t>(</w:t>
      </w:r>
      <w:r w:rsidRPr="00160973">
        <w:rPr>
          <w:rFonts w:ascii="Times New Roman" w:hAnsi="Times New Roman" w:cs="Times New Roman"/>
          <w:bCs/>
          <w:color w:val="000000"/>
          <w:sz w:val="23"/>
          <w:szCs w:val="23"/>
        </w:rPr>
        <w:t>OPS)</w:t>
      </w:r>
      <w:r w:rsidR="00FD35D9" w:rsidRPr="00160973">
        <w:rPr>
          <w:rFonts w:ascii="Times New Roman" w:hAnsi="Times New Roman" w:cs="Times New Roman"/>
          <w:bCs/>
          <w:color w:val="000000"/>
          <w:sz w:val="23"/>
          <w:szCs w:val="23"/>
        </w:rPr>
        <w:t>.  The contractor provides</w:t>
      </w:r>
      <w:r w:rsidR="005E0882" w:rsidRPr="00160973">
        <w:rPr>
          <w:rFonts w:ascii="Times New Roman" w:hAnsi="Times New Roman" w:cs="Times New Roman"/>
          <w:bCs/>
          <w:color w:val="000000"/>
          <w:sz w:val="23"/>
          <w:szCs w:val="23"/>
        </w:rPr>
        <w:t xml:space="preserve"> inspection, investigation, and future enforcement data as a comprehensive data repository</w:t>
      </w:r>
      <w:r w:rsidR="009924E0">
        <w:rPr>
          <w:rFonts w:ascii="Times New Roman" w:hAnsi="Times New Roman" w:cs="Times New Roman"/>
          <w:bCs/>
          <w:color w:val="000000"/>
          <w:sz w:val="23"/>
          <w:szCs w:val="23"/>
        </w:rPr>
        <w:t>; t</w:t>
      </w:r>
      <w:r w:rsidR="00A36C87" w:rsidRPr="00160973">
        <w:rPr>
          <w:rFonts w:ascii="Times New Roman" w:hAnsi="Times New Roman" w:cs="Times New Roman"/>
          <w:bCs/>
          <w:color w:val="000000"/>
          <w:sz w:val="23"/>
          <w:szCs w:val="23"/>
        </w:rPr>
        <w:t xml:space="preserve">hese services are </w:t>
      </w:r>
      <w:r w:rsidR="005E0882" w:rsidRPr="00160973">
        <w:rPr>
          <w:rFonts w:ascii="Times New Roman" w:hAnsi="Times New Roman" w:cs="Times New Roman"/>
          <w:bCs/>
          <w:color w:val="000000"/>
          <w:sz w:val="23"/>
          <w:szCs w:val="23"/>
        </w:rPr>
        <w:t xml:space="preserve">critical to OPS overall safety mission. </w:t>
      </w:r>
    </w:p>
    <w:p w:rsidR="001A67A4" w:rsidRPr="00160973" w:rsidRDefault="001A67A4" w:rsidP="00BD2857">
      <w:pPr>
        <w:spacing w:after="0" w:line="240" w:lineRule="auto"/>
        <w:rPr>
          <w:rFonts w:ascii="Times New Roman" w:hAnsi="Times New Roman" w:cs="Times New Roman"/>
          <w:bCs/>
          <w:color w:val="000000"/>
          <w:sz w:val="23"/>
          <w:szCs w:val="23"/>
        </w:rPr>
      </w:pPr>
    </w:p>
    <w:p w:rsidR="001A67A4" w:rsidRPr="00160973" w:rsidRDefault="001A67A4" w:rsidP="001A67A4">
      <w:pPr>
        <w:autoSpaceDE w:val="0"/>
        <w:autoSpaceDN w:val="0"/>
        <w:adjustRightInd w:val="0"/>
        <w:spacing w:after="0" w:line="240" w:lineRule="auto"/>
        <w:rPr>
          <w:rFonts w:ascii="Times New Roman" w:hAnsi="Times New Roman" w:cs="Times New Roman"/>
          <w:sz w:val="23"/>
          <w:szCs w:val="23"/>
        </w:rPr>
      </w:pPr>
      <w:r w:rsidRPr="00160973">
        <w:rPr>
          <w:rFonts w:ascii="Times New Roman" w:hAnsi="Times New Roman" w:cs="Times New Roman"/>
          <w:bCs/>
          <w:color w:val="000000"/>
          <w:sz w:val="23"/>
          <w:szCs w:val="23"/>
        </w:rPr>
        <w:t xml:space="preserve">In all instances, the OAs have sufficient internal capability to maintain control over functions that are </w:t>
      </w:r>
      <w:r w:rsidR="00000614">
        <w:rPr>
          <w:rFonts w:ascii="Times New Roman" w:hAnsi="Times New Roman" w:cs="Times New Roman"/>
          <w:bCs/>
          <w:color w:val="000000"/>
          <w:sz w:val="23"/>
          <w:szCs w:val="23"/>
        </w:rPr>
        <w:t>essential</w:t>
      </w:r>
      <w:r w:rsidRPr="00160973">
        <w:rPr>
          <w:rFonts w:ascii="Times New Roman" w:hAnsi="Times New Roman" w:cs="Times New Roman"/>
          <w:bCs/>
          <w:color w:val="000000"/>
          <w:sz w:val="23"/>
          <w:szCs w:val="23"/>
        </w:rPr>
        <w:t xml:space="preserve"> to the agency’s mission and operations.  The OAs sufficiently manage these functions by having a trained </w:t>
      </w:r>
      <w:r w:rsidR="008829F9" w:rsidRPr="00160973">
        <w:rPr>
          <w:rFonts w:ascii="Times New Roman" w:hAnsi="Times New Roman" w:cs="Times New Roman"/>
          <w:bCs/>
          <w:color w:val="000000"/>
          <w:sz w:val="23"/>
          <w:szCs w:val="23"/>
        </w:rPr>
        <w:t>Federal Acquisition Certification-Project</w:t>
      </w:r>
      <w:r w:rsidRPr="00160973">
        <w:rPr>
          <w:rFonts w:ascii="Times New Roman" w:hAnsi="Times New Roman" w:cs="Times New Roman"/>
          <w:bCs/>
          <w:color w:val="000000"/>
          <w:sz w:val="23"/>
          <w:szCs w:val="23"/>
        </w:rPr>
        <w:t xml:space="preserve">/Program </w:t>
      </w:r>
      <w:r w:rsidR="008829F9" w:rsidRPr="00160973">
        <w:rPr>
          <w:rFonts w:ascii="Times New Roman" w:hAnsi="Times New Roman" w:cs="Times New Roman"/>
          <w:bCs/>
          <w:color w:val="000000"/>
          <w:sz w:val="23"/>
          <w:szCs w:val="23"/>
        </w:rPr>
        <w:t>M</w:t>
      </w:r>
      <w:r w:rsidRPr="00160973">
        <w:rPr>
          <w:rFonts w:ascii="Times New Roman" w:hAnsi="Times New Roman" w:cs="Times New Roman"/>
          <w:bCs/>
          <w:color w:val="000000"/>
          <w:sz w:val="23"/>
          <w:szCs w:val="23"/>
        </w:rPr>
        <w:t>anager</w:t>
      </w:r>
      <w:r w:rsidR="008829F9" w:rsidRPr="00160973">
        <w:rPr>
          <w:rFonts w:ascii="Times New Roman" w:hAnsi="Times New Roman" w:cs="Times New Roman"/>
          <w:bCs/>
          <w:color w:val="000000"/>
          <w:sz w:val="23"/>
          <w:szCs w:val="23"/>
        </w:rPr>
        <w:t xml:space="preserve"> (FAC-P/PM)</w:t>
      </w:r>
      <w:r w:rsidRPr="00160973">
        <w:rPr>
          <w:rFonts w:ascii="Times New Roman" w:hAnsi="Times New Roman" w:cs="Times New Roman"/>
          <w:bCs/>
          <w:color w:val="000000"/>
          <w:sz w:val="23"/>
          <w:szCs w:val="23"/>
        </w:rPr>
        <w:t>, FAC-C</w:t>
      </w:r>
      <w:r w:rsidR="008829F9" w:rsidRPr="00160973">
        <w:rPr>
          <w:rFonts w:ascii="Times New Roman" w:hAnsi="Times New Roman" w:cs="Times New Roman"/>
          <w:bCs/>
          <w:color w:val="000000"/>
          <w:sz w:val="23"/>
          <w:szCs w:val="23"/>
        </w:rPr>
        <w:t>ontracting Officer’s Representatives (FAC-C</w:t>
      </w:r>
      <w:r w:rsidRPr="00160973">
        <w:rPr>
          <w:rFonts w:ascii="Times New Roman" w:hAnsi="Times New Roman" w:cs="Times New Roman"/>
          <w:bCs/>
          <w:color w:val="000000"/>
          <w:sz w:val="23"/>
          <w:szCs w:val="23"/>
        </w:rPr>
        <w:t>OR</w:t>
      </w:r>
      <w:r w:rsidR="008829F9" w:rsidRPr="00160973">
        <w:rPr>
          <w:rFonts w:ascii="Times New Roman" w:hAnsi="Times New Roman" w:cs="Times New Roman"/>
          <w:bCs/>
          <w:color w:val="000000"/>
          <w:sz w:val="23"/>
          <w:szCs w:val="23"/>
        </w:rPr>
        <w:t>) and</w:t>
      </w:r>
      <w:r w:rsidRPr="00160973">
        <w:rPr>
          <w:rFonts w:ascii="Times New Roman" w:hAnsi="Times New Roman" w:cs="Times New Roman"/>
          <w:bCs/>
          <w:color w:val="000000"/>
          <w:sz w:val="23"/>
          <w:szCs w:val="23"/>
        </w:rPr>
        <w:t xml:space="preserve"> </w:t>
      </w:r>
      <w:r w:rsidR="008829F9" w:rsidRPr="00160973">
        <w:rPr>
          <w:rFonts w:ascii="Times New Roman" w:hAnsi="Times New Roman" w:cs="Times New Roman"/>
          <w:bCs/>
          <w:color w:val="000000"/>
          <w:sz w:val="23"/>
          <w:szCs w:val="23"/>
        </w:rPr>
        <w:t>FAC-Contracting (</w:t>
      </w:r>
      <w:r w:rsidRPr="00160973">
        <w:rPr>
          <w:rFonts w:ascii="Times New Roman" w:hAnsi="Times New Roman" w:cs="Times New Roman"/>
          <w:bCs/>
          <w:color w:val="000000"/>
          <w:sz w:val="23"/>
          <w:szCs w:val="23"/>
        </w:rPr>
        <w:t>FAC-C</w:t>
      </w:r>
      <w:r w:rsidR="008829F9" w:rsidRPr="00160973">
        <w:rPr>
          <w:rFonts w:ascii="Times New Roman" w:hAnsi="Times New Roman" w:cs="Times New Roman"/>
          <w:bCs/>
          <w:color w:val="000000"/>
          <w:sz w:val="23"/>
          <w:szCs w:val="23"/>
        </w:rPr>
        <w:t>) individuals</w:t>
      </w:r>
      <w:r w:rsidRPr="00160973">
        <w:rPr>
          <w:rFonts w:ascii="Times New Roman" w:hAnsi="Times New Roman" w:cs="Times New Roman"/>
          <w:bCs/>
          <w:color w:val="000000"/>
          <w:sz w:val="23"/>
          <w:szCs w:val="23"/>
        </w:rPr>
        <w:t xml:space="preserve"> assigned to these contracts </w:t>
      </w:r>
      <w:r w:rsidR="00C12EF4">
        <w:rPr>
          <w:rFonts w:ascii="Times New Roman" w:hAnsi="Times New Roman" w:cs="Times New Roman"/>
          <w:bCs/>
          <w:color w:val="000000"/>
          <w:sz w:val="23"/>
          <w:szCs w:val="23"/>
        </w:rPr>
        <w:t xml:space="preserve">– as required by the FAR and Departmental acquisition policies – </w:t>
      </w:r>
      <w:r w:rsidRPr="00160973">
        <w:rPr>
          <w:rFonts w:ascii="Times New Roman" w:hAnsi="Times New Roman" w:cs="Times New Roman"/>
          <w:bCs/>
          <w:color w:val="000000"/>
          <w:sz w:val="23"/>
          <w:szCs w:val="23"/>
        </w:rPr>
        <w:t>to monitor and conduct surveillance to ensure contracts do not become inherently governmental.  R</w:t>
      </w:r>
      <w:r w:rsidRPr="00160973">
        <w:rPr>
          <w:rFonts w:ascii="Times New Roman" w:hAnsi="Times New Roman" w:cs="Times New Roman"/>
          <w:sz w:val="23"/>
          <w:szCs w:val="23"/>
        </w:rPr>
        <w:t xml:space="preserve">egular communication occurs between the Government and contractor to ensure that contract </w:t>
      </w:r>
      <w:r w:rsidR="00D75C2C">
        <w:rPr>
          <w:rFonts w:ascii="Times New Roman" w:hAnsi="Times New Roman" w:cs="Times New Roman"/>
          <w:sz w:val="23"/>
          <w:szCs w:val="23"/>
        </w:rPr>
        <w:t>requirements are</w:t>
      </w:r>
      <w:r w:rsidRPr="00160973">
        <w:rPr>
          <w:rFonts w:ascii="Times New Roman" w:hAnsi="Times New Roman" w:cs="Times New Roman"/>
          <w:sz w:val="23"/>
          <w:szCs w:val="23"/>
        </w:rPr>
        <w:t xml:space="preserve"> being met and that critical functions being performed do not transition into performance of inherently governmental functions by contractor employees. </w:t>
      </w:r>
    </w:p>
    <w:p w:rsidR="00647751" w:rsidRPr="00160973" w:rsidRDefault="00647751" w:rsidP="00BD2857">
      <w:pPr>
        <w:spacing w:after="0" w:line="240" w:lineRule="auto"/>
        <w:rPr>
          <w:rFonts w:ascii="Times New Roman" w:hAnsi="Times New Roman" w:cs="Times New Roman"/>
          <w:bCs/>
          <w:color w:val="000000"/>
          <w:sz w:val="23"/>
          <w:szCs w:val="23"/>
        </w:rPr>
      </w:pPr>
    </w:p>
    <w:p w:rsidR="002422C3" w:rsidRPr="00160973" w:rsidRDefault="002422C3" w:rsidP="00BD2857">
      <w:pPr>
        <w:autoSpaceDE w:val="0"/>
        <w:autoSpaceDN w:val="0"/>
        <w:adjustRightInd w:val="0"/>
        <w:spacing w:after="0" w:line="240" w:lineRule="auto"/>
        <w:rPr>
          <w:rFonts w:ascii="Times New Roman" w:hAnsi="Times New Roman" w:cs="Times New Roman"/>
          <w:sz w:val="23"/>
          <w:szCs w:val="23"/>
          <w:u w:val="single"/>
        </w:rPr>
      </w:pPr>
      <w:r w:rsidRPr="00160973">
        <w:rPr>
          <w:rFonts w:ascii="Times New Roman" w:hAnsi="Times New Roman" w:cs="Times New Roman"/>
          <w:sz w:val="23"/>
          <w:szCs w:val="23"/>
          <w:u w:val="single"/>
        </w:rPr>
        <w:t xml:space="preserve">Assessment of the effective balancing of contracted and government resources for </w:t>
      </w:r>
      <w:r w:rsidR="0057774E" w:rsidRPr="00160973">
        <w:rPr>
          <w:rFonts w:ascii="Times New Roman" w:hAnsi="Times New Roman" w:cs="Times New Roman"/>
          <w:sz w:val="23"/>
          <w:szCs w:val="23"/>
          <w:u w:val="single"/>
        </w:rPr>
        <w:t>service contracts</w:t>
      </w:r>
    </w:p>
    <w:p w:rsidR="002422C3" w:rsidRPr="00160973" w:rsidRDefault="002422C3" w:rsidP="00BD2857">
      <w:pPr>
        <w:autoSpaceDE w:val="0"/>
        <w:autoSpaceDN w:val="0"/>
        <w:adjustRightInd w:val="0"/>
        <w:spacing w:after="0" w:line="240" w:lineRule="auto"/>
        <w:rPr>
          <w:rFonts w:ascii="Times New Roman" w:hAnsi="Times New Roman" w:cs="Times New Roman"/>
          <w:sz w:val="23"/>
          <w:szCs w:val="23"/>
          <w:u w:val="single"/>
        </w:rPr>
      </w:pPr>
    </w:p>
    <w:p w:rsidR="002422C3" w:rsidRPr="00160973" w:rsidRDefault="003176CA" w:rsidP="00BD2857">
      <w:pPr>
        <w:autoSpaceDE w:val="0"/>
        <w:autoSpaceDN w:val="0"/>
        <w:adjustRightInd w:val="0"/>
        <w:spacing w:after="0" w:line="240" w:lineRule="auto"/>
        <w:rPr>
          <w:rFonts w:ascii="Times New Roman" w:hAnsi="Times New Roman" w:cs="Times New Roman"/>
          <w:sz w:val="23"/>
          <w:szCs w:val="23"/>
        </w:rPr>
      </w:pPr>
      <w:r w:rsidRPr="00160973">
        <w:rPr>
          <w:rFonts w:ascii="Times New Roman" w:hAnsi="Times New Roman" w:cs="Times New Roman"/>
          <w:sz w:val="23"/>
          <w:szCs w:val="23"/>
        </w:rPr>
        <w:t xml:space="preserve">No inherently governmental or closely associated to inherently governmental contracts were identified during DOT’s FY 2017 SCI analysis. Considering that none of these awards were identified, DOT concludes that contracted functions and those functions performed by Federal employees is effectively being balanced. However, one DOT OA – FMCSA – identified </w:t>
      </w:r>
      <w:r w:rsidR="00AB5AFD" w:rsidRPr="00160973">
        <w:rPr>
          <w:rFonts w:ascii="Times New Roman" w:hAnsi="Times New Roman" w:cs="Times New Roman"/>
          <w:sz w:val="23"/>
          <w:szCs w:val="23"/>
        </w:rPr>
        <w:t xml:space="preserve">one contract where it is in the process of transitioning the duties being performed under the contract to Federal staff and discontinue procurement of the services via a contract. </w:t>
      </w:r>
    </w:p>
    <w:p w:rsidR="00E5511D" w:rsidRPr="00160973" w:rsidRDefault="00E5511D" w:rsidP="00BD2857">
      <w:pPr>
        <w:autoSpaceDE w:val="0"/>
        <w:autoSpaceDN w:val="0"/>
        <w:adjustRightInd w:val="0"/>
        <w:spacing w:after="0" w:line="240" w:lineRule="auto"/>
        <w:rPr>
          <w:rFonts w:ascii="Times New Roman" w:hAnsi="Times New Roman" w:cs="Times New Roman"/>
          <w:sz w:val="23"/>
          <w:szCs w:val="23"/>
          <w:u w:val="single"/>
        </w:rPr>
      </w:pPr>
    </w:p>
    <w:p w:rsidR="007F4652" w:rsidRPr="00160973" w:rsidRDefault="008A62B2" w:rsidP="00BD2857">
      <w:pPr>
        <w:spacing w:after="0" w:line="240" w:lineRule="auto"/>
        <w:rPr>
          <w:rFonts w:ascii="Times New Roman" w:hAnsi="Times New Roman" w:cs="Times New Roman"/>
          <w:strike/>
          <w:sz w:val="23"/>
          <w:szCs w:val="23"/>
        </w:rPr>
      </w:pPr>
      <w:r>
        <w:rPr>
          <w:rFonts w:ascii="Times New Roman" w:hAnsi="Times New Roman" w:cs="Times New Roman"/>
          <w:sz w:val="23"/>
          <w:szCs w:val="23"/>
        </w:rPr>
        <w:t xml:space="preserve">Although no inherently governmental services are being performed under DOT contracts reviewed, </w:t>
      </w:r>
      <w:r w:rsidR="007F4652" w:rsidRPr="008A62B2">
        <w:rPr>
          <w:rFonts w:ascii="Times New Roman" w:hAnsi="Times New Roman" w:cs="Times New Roman"/>
          <w:sz w:val="23"/>
          <w:szCs w:val="23"/>
        </w:rPr>
        <w:t xml:space="preserve">FMCSA is in the process of converting services currently performed by contractors </w:t>
      </w:r>
      <w:r w:rsidR="002201CD" w:rsidRPr="008A62B2">
        <w:rPr>
          <w:rFonts w:ascii="Times New Roman" w:hAnsi="Times New Roman" w:cs="Times New Roman"/>
          <w:sz w:val="23"/>
          <w:szCs w:val="23"/>
        </w:rPr>
        <w:t xml:space="preserve">on an IT support services contract </w:t>
      </w:r>
      <w:r w:rsidR="007F4652" w:rsidRPr="008A62B2">
        <w:rPr>
          <w:rFonts w:ascii="Times New Roman" w:hAnsi="Times New Roman" w:cs="Times New Roman"/>
          <w:sz w:val="23"/>
          <w:szCs w:val="23"/>
        </w:rPr>
        <w:t>over to federal employees</w:t>
      </w:r>
      <w:r w:rsidR="002201CD" w:rsidRPr="008A62B2">
        <w:rPr>
          <w:rFonts w:ascii="Times New Roman" w:hAnsi="Times New Roman" w:cs="Times New Roman"/>
          <w:sz w:val="23"/>
          <w:szCs w:val="23"/>
        </w:rPr>
        <w:t xml:space="preserve"> to perform</w:t>
      </w:r>
      <w:r w:rsidR="00647751" w:rsidRPr="008A62B2">
        <w:rPr>
          <w:rFonts w:ascii="Times New Roman" w:hAnsi="Times New Roman" w:cs="Times New Roman"/>
          <w:sz w:val="23"/>
          <w:szCs w:val="23"/>
        </w:rPr>
        <w:t xml:space="preserve"> as collateral duties</w:t>
      </w:r>
      <w:r>
        <w:rPr>
          <w:rFonts w:ascii="Times New Roman" w:hAnsi="Times New Roman" w:cs="Times New Roman"/>
          <w:sz w:val="23"/>
          <w:szCs w:val="23"/>
        </w:rPr>
        <w:t xml:space="preserve"> in order to achieve a cost savings</w:t>
      </w:r>
      <w:r w:rsidR="007F4652" w:rsidRPr="008A62B2">
        <w:rPr>
          <w:rFonts w:ascii="Times New Roman" w:hAnsi="Times New Roman" w:cs="Times New Roman"/>
          <w:sz w:val="23"/>
          <w:szCs w:val="23"/>
        </w:rPr>
        <w:t>.</w:t>
      </w:r>
      <w:r w:rsidR="009E6B85" w:rsidRPr="008A62B2">
        <w:rPr>
          <w:rFonts w:ascii="Times New Roman" w:hAnsi="Times New Roman" w:cs="Times New Roman"/>
          <w:sz w:val="23"/>
          <w:szCs w:val="23"/>
        </w:rPr>
        <w:t xml:space="preserve"> </w:t>
      </w:r>
      <w:r w:rsidR="00B11F3D" w:rsidRPr="008A62B2">
        <w:rPr>
          <w:rFonts w:ascii="Times New Roman" w:hAnsi="Times New Roman" w:cs="Times New Roman"/>
          <w:sz w:val="23"/>
          <w:szCs w:val="23"/>
        </w:rPr>
        <w:t>OSPE will continue to monitor progress of this effort and document results in future SCI submissions.</w:t>
      </w:r>
    </w:p>
    <w:p w:rsidR="00FA4F1E" w:rsidRPr="00160973" w:rsidRDefault="00FA4F1E" w:rsidP="009924E0">
      <w:pPr>
        <w:spacing w:after="0" w:line="240" w:lineRule="auto"/>
        <w:contextualSpacing/>
        <w:rPr>
          <w:rFonts w:ascii="Times New Roman" w:hAnsi="Times New Roman" w:cs="Times New Roman"/>
          <w:strike/>
          <w:sz w:val="23"/>
          <w:szCs w:val="23"/>
          <w:u w:val="single"/>
        </w:rPr>
      </w:pPr>
    </w:p>
    <w:p w:rsidR="009E6B85" w:rsidRPr="00160973" w:rsidRDefault="009E6B85" w:rsidP="009924E0">
      <w:pPr>
        <w:autoSpaceDE w:val="0"/>
        <w:autoSpaceDN w:val="0"/>
        <w:adjustRightInd w:val="0"/>
        <w:spacing w:after="0" w:line="240" w:lineRule="auto"/>
        <w:rPr>
          <w:rFonts w:ascii="Times New Roman" w:hAnsi="Times New Roman" w:cs="Times New Roman"/>
          <w:sz w:val="23"/>
          <w:szCs w:val="23"/>
          <w:u w:val="single"/>
        </w:rPr>
      </w:pPr>
      <w:r w:rsidRPr="00160973">
        <w:rPr>
          <w:rFonts w:ascii="Times New Roman" w:hAnsi="Times New Roman" w:cs="Times New Roman"/>
          <w:sz w:val="23"/>
          <w:szCs w:val="23"/>
          <w:u w:val="single"/>
        </w:rPr>
        <w:t>Extent to which service contract awards leverage existing Federal or Departmental enterprise contract vehicles or present future opportunities for contract consolidation and reduction of duplicated efforts</w:t>
      </w:r>
    </w:p>
    <w:p w:rsidR="00FD5EFF" w:rsidRPr="00160973" w:rsidRDefault="00FD5EFF" w:rsidP="009924E0">
      <w:pPr>
        <w:spacing w:after="0" w:line="240" w:lineRule="auto"/>
        <w:rPr>
          <w:rFonts w:ascii="Times New Roman" w:hAnsi="Times New Roman" w:cs="Times New Roman"/>
          <w:sz w:val="23"/>
          <w:szCs w:val="23"/>
        </w:rPr>
      </w:pPr>
    </w:p>
    <w:p w:rsidR="00416F84" w:rsidRDefault="00F955FB" w:rsidP="00A36D30">
      <w:pPr>
        <w:spacing w:after="120" w:line="240" w:lineRule="auto"/>
        <w:rPr>
          <w:rFonts w:ascii="Times New Roman" w:hAnsi="Times New Roman" w:cs="Times New Roman"/>
          <w:sz w:val="23"/>
          <w:szCs w:val="23"/>
        </w:rPr>
      </w:pPr>
      <w:r w:rsidRPr="00160973">
        <w:rPr>
          <w:rFonts w:ascii="Times New Roman" w:hAnsi="Times New Roman" w:cs="Times New Roman"/>
          <w:sz w:val="23"/>
          <w:szCs w:val="23"/>
        </w:rPr>
        <w:t>As a result of this and other reviews conducted in accordance with the Federal Category Management initiative</w:t>
      </w:r>
      <w:r w:rsidR="00AB5AFD" w:rsidRPr="00160973">
        <w:rPr>
          <w:rFonts w:ascii="Times New Roman" w:hAnsi="Times New Roman" w:cs="Times New Roman"/>
          <w:sz w:val="23"/>
          <w:szCs w:val="23"/>
        </w:rPr>
        <w:t xml:space="preserve">, DOT has found that while it has made significant progress since the OMB FY 2016 baseline of DOT spend under management </w:t>
      </w:r>
      <w:r w:rsidR="00C12EF4">
        <w:rPr>
          <w:rFonts w:ascii="Times New Roman" w:hAnsi="Times New Roman" w:cs="Times New Roman"/>
          <w:sz w:val="23"/>
          <w:szCs w:val="23"/>
        </w:rPr>
        <w:t xml:space="preserve">(SUM) </w:t>
      </w:r>
      <w:r w:rsidR="00AB5AFD" w:rsidRPr="00160973">
        <w:rPr>
          <w:rFonts w:ascii="Times New Roman" w:hAnsi="Times New Roman" w:cs="Times New Roman"/>
          <w:sz w:val="23"/>
          <w:szCs w:val="23"/>
        </w:rPr>
        <w:t xml:space="preserve">and best in class (BIC) contract utilization, there is still work that is needed to more effectively implement Category Management principals into DOT spend. Table </w:t>
      </w:r>
      <w:r w:rsidR="00C062E5" w:rsidRPr="00160973">
        <w:rPr>
          <w:rFonts w:ascii="Times New Roman" w:hAnsi="Times New Roman" w:cs="Times New Roman"/>
          <w:sz w:val="23"/>
          <w:szCs w:val="23"/>
        </w:rPr>
        <w:t xml:space="preserve">4 </w:t>
      </w:r>
      <w:r w:rsidR="00AB5AFD" w:rsidRPr="00160973">
        <w:rPr>
          <w:rFonts w:ascii="Times New Roman" w:hAnsi="Times New Roman" w:cs="Times New Roman"/>
          <w:sz w:val="23"/>
          <w:szCs w:val="23"/>
        </w:rPr>
        <w:t xml:space="preserve">below outlines DOT’s SUM and BIC progress </w:t>
      </w:r>
      <w:r w:rsidR="00F40BB5" w:rsidRPr="00160973">
        <w:rPr>
          <w:rFonts w:ascii="Times New Roman" w:hAnsi="Times New Roman" w:cs="Times New Roman"/>
          <w:sz w:val="23"/>
          <w:szCs w:val="23"/>
        </w:rPr>
        <w:t xml:space="preserve">from FY 2016 to </w:t>
      </w:r>
      <w:r w:rsidR="00AB5AFD" w:rsidRPr="00160973">
        <w:rPr>
          <w:rFonts w:ascii="Times New Roman" w:hAnsi="Times New Roman" w:cs="Times New Roman"/>
          <w:sz w:val="23"/>
          <w:szCs w:val="23"/>
        </w:rPr>
        <w:t>2017.</w:t>
      </w:r>
    </w:p>
    <w:p w:rsidR="00B11F3D" w:rsidRPr="00160973" w:rsidRDefault="00B11F3D" w:rsidP="00F47246">
      <w:pPr>
        <w:spacing w:after="0" w:line="240" w:lineRule="auto"/>
        <w:rPr>
          <w:rFonts w:ascii="Times New Roman" w:hAnsi="Times New Roman" w:cs="Times New Roman"/>
          <w:sz w:val="23"/>
          <w:szCs w:val="23"/>
        </w:rPr>
      </w:pPr>
    </w:p>
    <w:p w:rsidR="00C062E5" w:rsidRPr="00160973" w:rsidRDefault="00C062E5" w:rsidP="00A36D30">
      <w:pPr>
        <w:spacing w:after="120" w:line="240" w:lineRule="auto"/>
        <w:rPr>
          <w:rFonts w:ascii="Times New Roman" w:hAnsi="Times New Roman" w:cs="Times New Roman"/>
          <w:b/>
          <w:sz w:val="23"/>
          <w:szCs w:val="23"/>
        </w:rPr>
      </w:pPr>
      <w:r w:rsidRPr="00160973">
        <w:rPr>
          <w:rFonts w:ascii="Times New Roman" w:hAnsi="Times New Roman" w:cs="Times New Roman"/>
          <w:b/>
          <w:sz w:val="23"/>
          <w:szCs w:val="23"/>
        </w:rPr>
        <w:t>Table 4 – DOT SUM and BIC achievement FY 2016-2017</w:t>
      </w:r>
    </w:p>
    <w:tbl>
      <w:tblPr>
        <w:tblStyle w:val="TableGrid"/>
        <w:tblW w:w="0" w:type="auto"/>
        <w:jc w:val="center"/>
        <w:tblLook w:val="04A0" w:firstRow="1" w:lastRow="0" w:firstColumn="1" w:lastColumn="0" w:noHBand="0" w:noVBand="1"/>
      </w:tblPr>
      <w:tblGrid>
        <w:gridCol w:w="2065"/>
        <w:gridCol w:w="1710"/>
        <w:gridCol w:w="1625"/>
        <w:gridCol w:w="1969"/>
        <w:gridCol w:w="1837"/>
      </w:tblGrid>
      <w:tr w:rsidR="00C062E5" w:rsidRPr="00160973" w:rsidTr="00B32F0C">
        <w:trPr>
          <w:jc w:val="center"/>
        </w:trPr>
        <w:tc>
          <w:tcPr>
            <w:tcW w:w="206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062E5" w:rsidRPr="00160973" w:rsidRDefault="00C062E5" w:rsidP="00C062E5">
            <w:pPr>
              <w:spacing w:after="120"/>
              <w:jc w:val="center"/>
              <w:rPr>
                <w:rFonts w:ascii="Times New Roman" w:hAnsi="Times New Roman" w:cs="Times New Roman"/>
                <w:b/>
                <w:sz w:val="23"/>
                <w:szCs w:val="23"/>
              </w:rPr>
            </w:pPr>
          </w:p>
        </w:tc>
        <w:tc>
          <w:tcPr>
            <w:tcW w:w="1710"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062E5" w:rsidRPr="00160973" w:rsidRDefault="00C062E5" w:rsidP="00C062E5">
            <w:pPr>
              <w:spacing w:after="120"/>
              <w:jc w:val="center"/>
              <w:rPr>
                <w:rFonts w:ascii="Times New Roman" w:hAnsi="Times New Roman" w:cs="Times New Roman"/>
                <w:b/>
                <w:sz w:val="23"/>
                <w:szCs w:val="23"/>
              </w:rPr>
            </w:pPr>
            <w:r w:rsidRPr="00160973">
              <w:rPr>
                <w:rFonts w:ascii="Times New Roman" w:hAnsi="Times New Roman" w:cs="Times New Roman"/>
                <w:b/>
                <w:sz w:val="23"/>
                <w:szCs w:val="23"/>
              </w:rPr>
              <w:t>FY 2016 SUM</w:t>
            </w:r>
          </w:p>
        </w:tc>
        <w:tc>
          <w:tcPr>
            <w:tcW w:w="1625"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062E5" w:rsidRPr="00160973" w:rsidRDefault="00C062E5" w:rsidP="00C062E5">
            <w:pPr>
              <w:spacing w:after="120"/>
              <w:jc w:val="center"/>
              <w:rPr>
                <w:rFonts w:ascii="Times New Roman" w:hAnsi="Times New Roman" w:cs="Times New Roman"/>
                <w:b/>
                <w:sz w:val="23"/>
                <w:szCs w:val="23"/>
              </w:rPr>
            </w:pPr>
            <w:r w:rsidRPr="00160973">
              <w:rPr>
                <w:rFonts w:ascii="Times New Roman" w:hAnsi="Times New Roman" w:cs="Times New Roman"/>
                <w:b/>
                <w:sz w:val="23"/>
                <w:szCs w:val="23"/>
              </w:rPr>
              <w:t>FY 2016 BIC</w:t>
            </w:r>
          </w:p>
        </w:tc>
        <w:tc>
          <w:tcPr>
            <w:tcW w:w="19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062E5" w:rsidRPr="00160973" w:rsidRDefault="00C062E5" w:rsidP="00C062E5">
            <w:pPr>
              <w:spacing w:after="120"/>
              <w:jc w:val="center"/>
              <w:rPr>
                <w:rFonts w:ascii="Times New Roman" w:hAnsi="Times New Roman" w:cs="Times New Roman"/>
                <w:b/>
                <w:sz w:val="23"/>
                <w:szCs w:val="23"/>
              </w:rPr>
            </w:pPr>
            <w:r w:rsidRPr="00160973">
              <w:rPr>
                <w:rFonts w:ascii="Times New Roman" w:hAnsi="Times New Roman" w:cs="Times New Roman"/>
                <w:b/>
                <w:sz w:val="23"/>
                <w:szCs w:val="23"/>
              </w:rPr>
              <w:t>FY 2017 SUM</w:t>
            </w:r>
          </w:p>
        </w:tc>
        <w:tc>
          <w:tcPr>
            <w:tcW w:w="183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C062E5" w:rsidRPr="00160973" w:rsidRDefault="00C062E5" w:rsidP="00C062E5">
            <w:pPr>
              <w:spacing w:after="120"/>
              <w:jc w:val="center"/>
              <w:rPr>
                <w:rFonts w:ascii="Times New Roman" w:hAnsi="Times New Roman" w:cs="Times New Roman"/>
                <w:b/>
                <w:sz w:val="23"/>
                <w:szCs w:val="23"/>
              </w:rPr>
            </w:pPr>
            <w:r w:rsidRPr="00160973">
              <w:rPr>
                <w:rFonts w:ascii="Times New Roman" w:hAnsi="Times New Roman" w:cs="Times New Roman"/>
                <w:b/>
                <w:sz w:val="23"/>
                <w:szCs w:val="23"/>
              </w:rPr>
              <w:t>FY 2017 BIC</w:t>
            </w:r>
          </w:p>
        </w:tc>
      </w:tr>
      <w:tr w:rsidR="00C062E5" w:rsidRPr="00160973" w:rsidTr="00B32F0C">
        <w:trPr>
          <w:jc w:val="center"/>
        </w:trPr>
        <w:tc>
          <w:tcPr>
            <w:tcW w:w="2065" w:type="dxa"/>
            <w:tcBorders>
              <w:top w:val="single" w:sz="4" w:space="0" w:color="auto"/>
            </w:tcBorders>
          </w:tcPr>
          <w:p w:rsidR="00C062E5" w:rsidRPr="00160973" w:rsidRDefault="00C062E5" w:rsidP="00A36D30">
            <w:pPr>
              <w:spacing w:after="120"/>
              <w:rPr>
                <w:rFonts w:ascii="Times New Roman" w:hAnsi="Times New Roman" w:cs="Times New Roman"/>
                <w:b/>
                <w:sz w:val="23"/>
                <w:szCs w:val="23"/>
              </w:rPr>
            </w:pPr>
            <w:r w:rsidRPr="00160973">
              <w:rPr>
                <w:rFonts w:ascii="Times New Roman" w:hAnsi="Times New Roman" w:cs="Times New Roman"/>
                <w:b/>
                <w:sz w:val="23"/>
                <w:szCs w:val="23"/>
              </w:rPr>
              <w:t>Dollars Obligated</w:t>
            </w:r>
          </w:p>
        </w:tc>
        <w:tc>
          <w:tcPr>
            <w:tcW w:w="1710" w:type="dxa"/>
            <w:tcBorders>
              <w:top w:val="single" w:sz="4" w:space="0" w:color="auto"/>
            </w:tcBorders>
          </w:tcPr>
          <w:p w:rsidR="00C062E5" w:rsidRPr="00160973" w:rsidRDefault="00C062E5" w:rsidP="00A36D30">
            <w:pPr>
              <w:spacing w:after="120"/>
              <w:rPr>
                <w:rFonts w:ascii="Times New Roman" w:hAnsi="Times New Roman" w:cs="Times New Roman"/>
                <w:sz w:val="23"/>
                <w:szCs w:val="23"/>
              </w:rPr>
            </w:pPr>
            <w:r w:rsidRPr="00160973">
              <w:rPr>
                <w:rFonts w:ascii="Times New Roman" w:hAnsi="Times New Roman" w:cs="Times New Roman"/>
                <w:sz w:val="23"/>
                <w:szCs w:val="23"/>
              </w:rPr>
              <w:t>$1.3</w:t>
            </w:r>
            <w:r w:rsidR="00485121" w:rsidRPr="00160973">
              <w:rPr>
                <w:rFonts w:ascii="Times New Roman" w:hAnsi="Times New Roman" w:cs="Times New Roman"/>
                <w:sz w:val="23"/>
                <w:szCs w:val="23"/>
              </w:rPr>
              <w:t>88B</w:t>
            </w:r>
          </w:p>
        </w:tc>
        <w:tc>
          <w:tcPr>
            <w:tcW w:w="1625" w:type="dxa"/>
            <w:tcBorders>
              <w:top w:val="single" w:sz="4" w:space="0" w:color="auto"/>
            </w:tcBorders>
          </w:tcPr>
          <w:p w:rsidR="00C062E5" w:rsidRPr="00160973" w:rsidRDefault="00485121" w:rsidP="00A36D30">
            <w:pPr>
              <w:spacing w:after="120"/>
              <w:rPr>
                <w:rFonts w:ascii="Times New Roman" w:hAnsi="Times New Roman" w:cs="Times New Roman"/>
                <w:sz w:val="23"/>
                <w:szCs w:val="23"/>
              </w:rPr>
            </w:pPr>
            <w:r w:rsidRPr="00160973">
              <w:rPr>
                <w:rFonts w:ascii="Times New Roman" w:hAnsi="Times New Roman" w:cs="Times New Roman"/>
                <w:sz w:val="23"/>
                <w:szCs w:val="23"/>
              </w:rPr>
              <w:t>$105M</w:t>
            </w:r>
          </w:p>
        </w:tc>
        <w:tc>
          <w:tcPr>
            <w:tcW w:w="1969" w:type="dxa"/>
            <w:tcBorders>
              <w:top w:val="single" w:sz="4" w:space="0" w:color="auto"/>
            </w:tcBorders>
          </w:tcPr>
          <w:p w:rsidR="00C062E5" w:rsidRPr="00160973" w:rsidRDefault="00485121" w:rsidP="00A36D30">
            <w:pPr>
              <w:spacing w:after="120"/>
              <w:rPr>
                <w:rFonts w:ascii="Times New Roman" w:hAnsi="Times New Roman" w:cs="Times New Roman"/>
                <w:sz w:val="23"/>
                <w:szCs w:val="23"/>
              </w:rPr>
            </w:pPr>
            <w:r w:rsidRPr="00160973">
              <w:rPr>
                <w:rFonts w:ascii="Times New Roman" w:hAnsi="Times New Roman" w:cs="Times New Roman"/>
                <w:sz w:val="23"/>
                <w:szCs w:val="23"/>
              </w:rPr>
              <w:t>$1.198B</w:t>
            </w:r>
          </w:p>
        </w:tc>
        <w:tc>
          <w:tcPr>
            <w:tcW w:w="1837" w:type="dxa"/>
            <w:tcBorders>
              <w:top w:val="single" w:sz="4" w:space="0" w:color="auto"/>
            </w:tcBorders>
          </w:tcPr>
          <w:p w:rsidR="00C062E5" w:rsidRPr="00160973" w:rsidRDefault="00485121" w:rsidP="00A36D30">
            <w:pPr>
              <w:spacing w:after="120"/>
              <w:rPr>
                <w:rFonts w:ascii="Times New Roman" w:hAnsi="Times New Roman" w:cs="Times New Roman"/>
                <w:sz w:val="23"/>
                <w:szCs w:val="23"/>
              </w:rPr>
            </w:pPr>
            <w:r w:rsidRPr="00160973">
              <w:rPr>
                <w:rFonts w:ascii="Times New Roman" w:hAnsi="Times New Roman" w:cs="Times New Roman"/>
                <w:sz w:val="23"/>
                <w:szCs w:val="23"/>
              </w:rPr>
              <w:t>$117.9M</w:t>
            </w:r>
          </w:p>
        </w:tc>
      </w:tr>
    </w:tbl>
    <w:p w:rsidR="00C062E5" w:rsidRPr="00160973" w:rsidRDefault="00C062E5" w:rsidP="00A36D30">
      <w:pPr>
        <w:spacing w:after="120" w:line="240" w:lineRule="auto"/>
        <w:rPr>
          <w:rFonts w:ascii="Times New Roman" w:hAnsi="Times New Roman" w:cs="Times New Roman"/>
          <w:sz w:val="23"/>
          <w:szCs w:val="23"/>
        </w:rPr>
      </w:pPr>
    </w:p>
    <w:p w:rsidR="00416F84" w:rsidRDefault="00F40BB5" w:rsidP="00A36D30">
      <w:pPr>
        <w:spacing w:after="120" w:line="240" w:lineRule="auto"/>
        <w:rPr>
          <w:rFonts w:ascii="Times New Roman" w:hAnsi="Times New Roman" w:cs="Times New Roman"/>
          <w:sz w:val="23"/>
          <w:szCs w:val="23"/>
        </w:rPr>
      </w:pPr>
      <w:r w:rsidRPr="00160973">
        <w:rPr>
          <w:rFonts w:ascii="Times New Roman" w:hAnsi="Times New Roman" w:cs="Times New Roman"/>
          <w:sz w:val="23"/>
          <w:szCs w:val="23"/>
        </w:rPr>
        <w:t xml:space="preserve">As shown in Table </w:t>
      </w:r>
      <w:r w:rsidR="00C062E5" w:rsidRPr="00160973">
        <w:rPr>
          <w:rFonts w:ascii="Times New Roman" w:hAnsi="Times New Roman" w:cs="Times New Roman"/>
          <w:sz w:val="23"/>
          <w:szCs w:val="23"/>
        </w:rPr>
        <w:t>4</w:t>
      </w:r>
      <w:r w:rsidRPr="00160973">
        <w:rPr>
          <w:rFonts w:ascii="Times New Roman" w:hAnsi="Times New Roman" w:cs="Times New Roman"/>
          <w:sz w:val="23"/>
          <w:szCs w:val="23"/>
        </w:rPr>
        <w:t xml:space="preserve"> above, DOT is making slow, but increasing progress towards consolidating contracts and moving awards to enterprise Departmental or Government-wide contract vehicles. DOT understands that there is still much progress to be made in its implementation of Category Management more broadly across the Department and has a number of initiatives planned as outlined in Section 5.0 below.</w:t>
      </w:r>
    </w:p>
    <w:p w:rsidR="0019264E" w:rsidRPr="00B32F0C" w:rsidRDefault="00F955FB" w:rsidP="00F47246">
      <w:pPr>
        <w:pStyle w:val="Heading1"/>
        <w:numPr>
          <w:ilvl w:val="0"/>
          <w:numId w:val="0"/>
        </w:numPr>
        <w:spacing w:before="200" w:after="200"/>
        <w:ind w:left="720" w:hanging="720"/>
        <w:rPr>
          <w:sz w:val="23"/>
          <w:szCs w:val="23"/>
        </w:rPr>
      </w:pPr>
      <w:bookmarkStart w:id="13" w:name="_Toc3887238"/>
      <w:r w:rsidRPr="00160973">
        <w:t xml:space="preserve">5.0 </w:t>
      </w:r>
      <w:r w:rsidR="003176CA" w:rsidRPr="00160973">
        <w:t xml:space="preserve">– </w:t>
      </w:r>
      <w:r w:rsidR="0019264E" w:rsidRPr="00B32F0C">
        <w:rPr>
          <w:sz w:val="23"/>
          <w:szCs w:val="23"/>
        </w:rPr>
        <w:t xml:space="preserve">Actions </w:t>
      </w:r>
      <w:r w:rsidR="00CD10FC" w:rsidRPr="00B32F0C">
        <w:rPr>
          <w:sz w:val="23"/>
          <w:szCs w:val="23"/>
        </w:rPr>
        <w:t>Taken or Planned</w:t>
      </w:r>
      <w:bookmarkEnd w:id="13"/>
      <w:r w:rsidR="00CD10FC" w:rsidRPr="00B32F0C">
        <w:rPr>
          <w:sz w:val="23"/>
          <w:szCs w:val="23"/>
        </w:rPr>
        <w:t xml:space="preserve">  </w:t>
      </w:r>
    </w:p>
    <w:p w:rsidR="00D86812" w:rsidRDefault="00A36D30" w:rsidP="008647F4">
      <w:pPr>
        <w:spacing w:after="0" w:line="240" w:lineRule="auto"/>
        <w:rPr>
          <w:rFonts w:ascii="Times New Roman" w:hAnsi="Times New Roman" w:cs="Times New Roman"/>
          <w:bCs/>
          <w:sz w:val="23"/>
          <w:szCs w:val="23"/>
          <w:u w:val="single"/>
        </w:rPr>
      </w:pPr>
      <w:r w:rsidRPr="00160973">
        <w:rPr>
          <w:rFonts w:ascii="Times New Roman" w:hAnsi="Times New Roman" w:cs="Times New Roman"/>
          <w:bCs/>
          <w:sz w:val="23"/>
          <w:szCs w:val="23"/>
          <w:u w:val="single"/>
        </w:rPr>
        <w:t xml:space="preserve">Information Technology </w:t>
      </w:r>
      <w:r w:rsidR="00846F44" w:rsidRPr="00160973">
        <w:rPr>
          <w:rFonts w:ascii="Times New Roman" w:hAnsi="Times New Roman" w:cs="Times New Roman"/>
          <w:bCs/>
          <w:sz w:val="23"/>
          <w:szCs w:val="23"/>
          <w:u w:val="single"/>
        </w:rPr>
        <w:t xml:space="preserve">Workforce </w:t>
      </w:r>
      <w:r w:rsidR="00FD5EFF" w:rsidRPr="00160973">
        <w:rPr>
          <w:rFonts w:ascii="Times New Roman" w:hAnsi="Times New Roman" w:cs="Times New Roman"/>
          <w:bCs/>
          <w:sz w:val="23"/>
          <w:szCs w:val="23"/>
          <w:u w:val="single"/>
        </w:rPr>
        <w:t>Initiatives</w:t>
      </w:r>
      <w:r w:rsidR="00D86812" w:rsidRPr="00160973">
        <w:rPr>
          <w:rFonts w:ascii="Times New Roman" w:hAnsi="Times New Roman" w:cs="Times New Roman"/>
          <w:bCs/>
          <w:sz w:val="23"/>
          <w:szCs w:val="23"/>
          <w:u w:val="single"/>
        </w:rPr>
        <w:t xml:space="preserve"> </w:t>
      </w:r>
    </w:p>
    <w:p w:rsidR="008647F4" w:rsidRPr="00160973" w:rsidRDefault="008647F4" w:rsidP="008647F4">
      <w:pPr>
        <w:spacing w:after="0" w:line="240" w:lineRule="auto"/>
        <w:rPr>
          <w:rFonts w:ascii="Times New Roman" w:hAnsi="Times New Roman" w:cs="Times New Roman"/>
          <w:bCs/>
          <w:sz w:val="23"/>
          <w:szCs w:val="23"/>
          <w:u w:val="single"/>
        </w:rPr>
      </w:pPr>
    </w:p>
    <w:p w:rsidR="00D86812" w:rsidRDefault="00D86812" w:rsidP="008647F4">
      <w:pPr>
        <w:spacing w:after="0" w:line="240" w:lineRule="auto"/>
        <w:rPr>
          <w:rFonts w:ascii="Times New Roman" w:hAnsi="Times New Roman" w:cs="Times New Roman"/>
          <w:sz w:val="23"/>
          <w:szCs w:val="23"/>
        </w:rPr>
      </w:pPr>
      <w:r w:rsidRPr="00160973">
        <w:rPr>
          <w:rFonts w:ascii="Times New Roman" w:hAnsi="Times New Roman" w:cs="Times New Roman"/>
          <w:sz w:val="23"/>
          <w:szCs w:val="23"/>
        </w:rPr>
        <w:t>In June 2014</w:t>
      </w:r>
      <w:r w:rsidR="00846F44" w:rsidRPr="00160973">
        <w:rPr>
          <w:rFonts w:ascii="Times New Roman" w:hAnsi="Times New Roman" w:cs="Times New Roman"/>
          <w:sz w:val="23"/>
          <w:szCs w:val="23"/>
        </w:rPr>
        <w:t>, the</w:t>
      </w:r>
      <w:r w:rsidRPr="00160973">
        <w:rPr>
          <w:rFonts w:ascii="Times New Roman" w:hAnsi="Times New Roman" w:cs="Times New Roman"/>
          <w:sz w:val="23"/>
          <w:szCs w:val="23"/>
        </w:rPr>
        <w:t xml:space="preserve"> DOT Office of the Chief Information Officer </w:t>
      </w:r>
      <w:r w:rsidR="00846F44" w:rsidRPr="00160973">
        <w:rPr>
          <w:rFonts w:ascii="Times New Roman" w:hAnsi="Times New Roman" w:cs="Times New Roman"/>
          <w:sz w:val="23"/>
          <w:szCs w:val="23"/>
        </w:rPr>
        <w:t xml:space="preserve">(OCIO) </w:t>
      </w:r>
      <w:r w:rsidRPr="00160973">
        <w:rPr>
          <w:rFonts w:ascii="Times New Roman" w:hAnsi="Times New Roman" w:cs="Times New Roman"/>
          <w:sz w:val="23"/>
          <w:szCs w:val="23"/>
        </w:rPr>
        <w:t>completed an information technology (IT) workforce analysis to evaluate the current alignment of Federal staff and contractor resources supporting the Department’s IT efforts.  Based on th</w:t>
      </w:r>
      <w:r w:rsidR="00B41E1C" w:rsidRPr="00160973">
        <w:rPr>
          <w:rFonts w:ascii="Times New Roman" w:hAnsi="Times New Roman" w:cs="Times New Roman"/>
          <w:sz w:val="23"/>
          <w:szCs w:val="23"/>
        </w:rPr>
        <w:t>e</w:t>
      </w:r>
      <w:r w:rsidRPr="00160973">
        <w:rPr>
          <w:rFonts w:ascii="Times New Roman" w:hAnsi="Times New Roman" w:cs="Times New Roman"/>
          <w:sz w:val="23"/>
          <w:szCs w:val="23"/>
        </w:rPr>
        <w:t xml:space="preserve"> analysis and the changing nature of IT, DOT has engaged in a multi-year IT workforce initiative to reduce reliance on contractors and increase the number of Federal positions in parallel efforts.  The realignment will provide two main benefits:</w:t>
      </w:r>
    </w:p>
    <w:p w:rsidR="00126694" w:rsidRPr="00160973" w:rsidRDefault="00126694" w:rsidP="008647F4">
      <w:pPr>
        <w:spacing w:after="0" w:line="240" w:lineRule="auto"/>
        <w:rPr>
          <w:rFonts w:ascii="Times New Roman" w:hAnsi="Times New Roman" w:cs="Times New Roman"/>
          <w:sz w:val="23"/>
          <w:szCs w:val="23"/>
        </w:rPr>
      </w:pPr>
    </w:p>
    <w:p w:rsidR="00D86812" w:rsidRPr="00160973" w:rsidRDefault="00A36D30" w:rsidP="00A36D30">
      <w:pPr>
        <w:pStyle w:val="ListParagraph"/>
        <w:numPr>
          <w:ilvl w:val="0"/>
          <w:numId w:val="28"/>
        </w:numPr>
        <w:spacing w:after="120" w:line="240" w:lineRule="auto"/>
        <w:rPr>
          <w:rFonts w:ascii="Times New Roman" w:hAnsi="Times New Roman" w:cs="Times New Roman"/>
          <w:sz w:val="23"/>
          <w:szCs w:val="23"/>
        </w:rPr>
      </w:pPr>
      <w:r w:rsidRPr="00160973">
        <w:rPr>
          <w:rFonts w:ascii="Times New Roman" w:hAnsi="Times New Roman" w:cs="Times New Roman"/>
          <w:bCs/>
          <w:sz w:val="23"/>
          <w:szCs w:val="23"/>
        </w:rPr>
        <w:t>C</w:t>
      </w:r>
      <w:r w:rsidR="00D86812" w:rsidRPr="00160973">
        <w:rPr>
          <w:rFonts w:ascii="Times New Roman" w:hAnsi="Times New Roman" w:cs="Times New Roman"/>
          <w:bCs/>
          <w:sz w:val="23"/>
          <w:szCs w:val="23"/>
        </w:rPr>
        <w:t>ost savings and efficiencies:</w:t>
      </w:r>
      <w:r w:rsidR="00D86812" w:rsidRPr="00160973">
        <w:rPr>
          <w:rFonts w:ascii="Times New Roman" w:hAnsi="Times New Roman" w:cs="Times New Roman"/>
          <w:sz w:val="23"/>
          <w:szCs w:val="23"/>
        </w:rPr>
        <w:t> The cost of contractor support is often significantly higher than the full-cost of Federal employees.  The use of contractors also creates the possibility of increased duplication of roles and additional layers of reporting that may create barriers to operations.  Converting contracted positions to Federal positions will reduce this potential redundancy</w:t>
      </w:r>
      <w:r w:rsidRPr="00160973">
        <w:rPr>
          <w:rFonts w:ascii="Times New Roman" w:hAnsi="Times New Roman" w:cs="Times New Roman"/>
          <w:sz w:val="23"/>
          <w:szCs w:val="23"/>
        </w:rPr>
        <w:t>; and</w:t>
      </w:r>
      <w:r w:rsidR="00D86812" w:rsidRPr="00160973">
        <w:rPr>
          <w:rFonts w:ascii="Times New Roman" w:hAnsi="Times New Roman" w:cs="Times New Roman"/>
          <w:sz w:val="23"/>
          <w:szCs w:val="23"/>
        </w:rPr>
        <w:t xml:space="preserve">  </w:t>
      </w:r>
    </w:p>
    <w:p w:rsidR="00D86812" w:rsidRPr="00160973" w:rsidRDefault="00D86812" w:rsidP="00A36D30">
      <w:pPr>
        <w:pStyle w:val="ListParagraph"/>
        <w:numPr>
          <w:ilvl w:val="0"/>
          <w:numId w:val="28"/>
        </w:numPr>
        <w:spacing w:after="120" w:line="240" w:lineRule="auto"/>
        <w:rPr>
          <w:rFonts w:ascii="Times New Roman" w:hAnsi="Times New Roman" w:cs="Times New Roman"/>
          <w:sz w:val="23"/>
          <w:szCs w:val="23"/>
        </w:rPr>
      </w:pPr>
      <w:r w:rsidRPr="00160973">
        <w:rPr>
          <w:rFonts w:ascii="Times New Roman" w:hAnsi="Times New Roman" w:cs="Times New Roman"/>
          <w:bCs/>
          <w:sz w:val="23"/>
          <w:szCs w:val="23"/>
        </w:rPr>
        <w:t>Realign Federal and contractor roles:</w:t>
      </w:r>
      <w:r w:rsidRPr="00160973">
        <w:rPr>
          <w:rFonts w:ascii="Times New Roman" w:hAnsi="Times New Roman" w:cs="Times New Roman"/>
          <w:sz w:val="23"/>
          <w:szCs w:val="23"/>
        </w:rPr>
        <w:t xml:space="preserve"> Many IT functions historically performed by contractors may be more appropriately performed by government employees.  Generally, these are contractors who are funded on a time and materials basis to perform full-time work reflective of steady state responsibilities that are ongoing year after year.   </w:t>
      </w:r>
    </w:p>
    <w:p w:rsidR="008068CE" w:rsidRPr="00160973" w:rsidRDefault="008068CE" w:rsidP="00B11F3D">
      <w:pPr>
        <w:spacing w:after="0" w:line="240" w:lineRule="auto"/>
        <w:rPr>
          <w:rFonts w:ascii="Times New Roman" w:hAnsi="Times New Roman" w:cs="Times New Roman"/>
          <w:sz w:val="23"/>
          <w:szCs w:val="23"/>
        </w:rPr>
      </w:pPr>
    </w:p>
    <w:p w:rsidR="00B11F3D" w:rsidRDefault="00D86812" w:rsidP="00B11F3D">
      <w:pPr>
        <w:spacing w:after="0" w:line="240" w:lineRule="auto"/>
        <w:rPr>
          <w:rFonts w:ascii="Times New Roman" w:hAnsi="Times New Roman" w:cs="Times New Roman"/>
          <w:sz w:val="23"/>
          <w:szCs w:val="23"/>
        </w:rPr>
      </w:pPr>
      <w:r w:rsidRPr="00160973">
        <w:rPr>
          <w:rFonts w:ascii="Times New Roman" w:hAnsi="Times New Roman" w:cs="Times New Roman"/>
          <w:sz w:val="23"/>
          <w:szCs w:val="23"/>
        </w:rPr>
        <w:t>Based on the IT workforce analysis, DOT has successfully converted several contractor positions to Federal positions.</w:t>
      </w:r>
      <w:r w:rsidR="00D648EB" w:rsidRPr="00160973">
        <w:rPr>
          <w:rFonts w:ascii="Times New Roman" w:hAnsi="Times New Roman" w:cs="Times New Roman"/>
          <w:sz w:val="23"/>
          <w:szCs w:val="23"/>
        </w:rPr>
        <w:t xml:space="preserve"> The analysis is currently being reevaluated for additional conversion opportunities.</w:t>
      </w:r>
    </w:p>
    <w:p w:rsidR="00D86812" w:rsidRPr="00160973" w:rsidRDefault="00D86812" w:rsidP="00B11F3D">
      <w:pPr>
        <w:spacing w:after="0" w:line="240" w:lineRule="auto"/>
        <w:rPr>
          <w:rFonts w:ascii="Times New Roman" w:hAnsi="Times New Roman" w:cs="Times New Roman"/>
          <w:sz w:val="23"/>
          <w:szCs w:val="23"/>
        </w:rPr>
      </w:pPr>
      <w:r w:rsidRPr="00160973">
        <w:rPr>
          <w:rFonts w:ascii="Times New Roman" w:hAnsi="Times New Roman" w:cs="Times New Roman"/>
          <w:sz w:val="23"/>
          <w:szCs w:val="23"/>
        </w:rPr>
        <w:t xml:space="preserve"> </w:t>
      </w:r>
    </w:p>
    <w:p w:rsidR="00A36D30" w:rsidRPr="00160973" w:rsidRDefault="00A36D30" w:rsidP="00645F91">
      <w:pPr>
        <w:spacing w:after="120" w:line="240" w:lineRule="auto"/>
        <w:rPr>
          <w:rFonts w:ascii="Times New Roman" w:hAnsi="Times New Roman" w:cs="Times New Roman"/>
          <w:sz w:val="23"/>
          <w:szCs w:val="23"/>
        </w:rPr>
      </w:pPr>
      <w:r w:rsidRPr="00160973">
        <w:rPr>
          <w:rFonts w:ascii="Times New Roman" w:hAnsi="Times New Roman" w:cs="Times New Roman"/>
          <w:sz w:val="23"/>
          <w:szCs w:val="23"/>
        </w:rPr>
        <w:t xml:space="preserve">From a procurement </w:t>
      </w:r>
      <w:r w:rsidR="001A080C" w:rsidRPr="00160973">
        <w:rPr>
          <w:rFonts w:ascii="Times New Roman" w:hAnsi="Times New Roman" w:cs="Times New Roman"/>
          <w:sz w:val="23"/>
          <w:szCs w:val="23"/>
        </w:rPr>
        <w:t xml:space="preserve">standpoint, DOT has </w:t>
      </w:r>
      <w:r w:rsidR="00DB4005" w:rsidRPr="00160973">
        <w:rPr>
          <w:rFonts w:ascii="Times New Roman" w:hAnsi="Times New Roman" w:cs="Times New Roman"/>
          <w:sz w:val="23"/>
          <w:szCs w:val="23"/>
        </w:rPr>
        <w:t>begun</w:t>
      </w:r>
      <w:r w:rsidR="001A080C" w:rsidRPr="00160973">
        <w:rPr>
          <w:rFonts w:ascii="Times New Roman" w:hAnsi="Times New Roman" w:cs="Times New Roman"/>
          <w:sz w:val="23"/>
          <w:szCs w:val="23"/>
        </w:rPr>
        <w:t xml:space="preserve"> consolidating the procurement of IT contract requirements by a single IT Acquisition Center of Excellence (IT ACE) in FY 2018</w:t>
      </w:r>
      <w:r w:rsidR="00FD5EFF" w:rsidRPr="00160973">
        <w:rPr>
          <w:rFonts w:ascii="Times New Roman" w:hAnsi="Times New Roman" w:cs="Times New Roman"/>
          <w:sz w:val="23"/>
          <w:szCs w:val="23"/>
        </w:rPr>
        <w:t xml:space="preserve"> (currently in pilot-phase of the initiative)</w:t>
      </w:r>
      <w:r w:rsidR="001A080C" w:rsidRPr="00160973">
        <w:rPr>
          <w:rFonts w:ascii="Times New Roman" w:hAnsi="Times New Roman" w:cs="Times New Roman"/>
          <w:sz w:val="23"/>
          <w:szCs w:val="23"/>
        </w:rPr>
        <w:t>. Currently, three OAs’ IT requirements are procured by the IT ACE with a plan to expand the program to the remaining OAs</w:t>
      </w:r>
      <w:r w:rsidR="00846F44" w:rsidRPr="00160973">
        <w:rPr>
          <w:rStyle w:val="FootnoteReference"/>
          <w:rFonts w:ascii="Times New Roman" w:hAnsi="Times New Roman" w:cs="Times New Roman"/>
          <w:sz w:val="23"/>
          <w:szCs w:val="23"/>
        </w:rPr>
        <w:footnoteReference w:id="14"/>
      </w:r>
      <w:r w:rsidR="001A080C" w:rsidRPr="00160973">
        <w:rPr>
          <w:rFonts w:ascii="Times New Roman" w:hAnsi="Times New Roman" w:cs="Times New Roman"/>
          <w:sz w:val="23"/>
          <w:szCs w:val="23"/>
        </w:rPr>
        <w:t xml:space="preserve"> </w:t>
      </w:r>
      <w:r w:rsidR="00FD5EFF" w:rsidRPr="00160973">
        <w:rPr>
          <w:rFonts w:ascii="Times New Roman" w:hAnsi="Times New Roman" w:cs="Times New Roman"/>
          <w:sz w:val="23"/>
          <w:szCs w:val="23"/>
        </w:rPr>
        <w:t>at a time to be determined following review and analysis of lessons learned during the pilot phase of this initiative</w:t>
      </w:r>
      <w:r w:rsidR="001A080C" w:rsidRPr="00160973">
        <w:rPr>
          <w:rFonts w:ascii="Times New Roman" w:hAnsi="Times New Roman" w:cs="Times New Roman"/>
          <w:sz w:val="23"/>
          <w:szCs w:val="23"/>
        </w:rPr>
        <w:t xml:space="preserve">. Using a single ACE to procure IT services, which made up </w:t>
      </w:r>
      <w:r w:rsidR="000925FC">
        <w:rPr>
          <w:rFonts w:ascii="Times New Roman" w:hAnsi="Times New Roman" w:cs="Times New Roman"/>
          <w:sz w:val="23"/>
          <w:szCs w:val="23"/>
        </w:rPr>
        <w:t>20.4</w:t>
      </w:r>
      <w:r w:rsidR="001A080C" w:rsidRPr="00160973">
        <w:rPr>
          <w:rFonts w:ascii="Times New Roman" w:hAnsi="Times New Roman" w:cs="Times New Roman"/>
          <w:sz w:val="23"/>
          <w:szCs w:val="23"/>
        </w:rPr>
        <w:t xml:space="preserve">% of DOT’s </w:t>
      </w:r>
      <w:r w:rsidR="00F94E3B" w:rsidRPr="00160973">
        <w:rPr>
          <w:rFonts w:ascii="Times New Roman" w:hAnsi="Times New Roman" w:cs="Times New Roman"/>
          <w:sz w:val="23"/>
          <w:szCs w:val="23"/>
        </w:rPr>
        <w:t xml:space="preserve">FY 2017 </w:t>
      </w:r>
      <w:r w:rsidR="000925FC">
        <w:rPr>
          <w:rFonts w:ascii="Times New Roman" w:hAnsi="Times New Roman" w:cs="Times New Roman"/>
          <w:sz w:val="23"/>
          <w:szCs w:val="23"/>
        </w:rPr>
        <w:t xml:space="preserve">service contract spend, </w:t>
      </w:r>
      <w:r w:rsidR="001A080C" w:rsidRPr="00160973">
        <w:rPr>
          <w:rFonts w:ascii="Times New Roman" w:hAnsi="Times New Roman" w:cs="Times New Roman"/>
          <w:sz w:val="23"/>
          <w:szCs w:val="23"/>
        </w:rPr>
        <w:t xml:space="preserve">will allow for more consistent and efficient procurement of these services and allow for the direct oversight of all IT service </w:t>
      </w:r>
      <w:r w:rsidR="00F13E13" w:rsidRPr="00160973">
        <w:rPr>
          <w:rFonts w:ascii="Times New Roman" w:hAnsi="Times New Roman" w:cs="Times New Roman"/>
          <w:sz w:val="23"/>
          <w:szCs w:val="23"/>
        </w:rPr>
        <w:t>contracts</w:t>
      </w:r>
      <w:r w:rsidR="001A080C" w:rsidRPr="00160973">
        <w:rPr>
          <w:rFonts w:ascii="Times New Roman" w:hAnsi="Times New Roman" w:cs="Times New Roman"/>
          <w:sz w:val="23"/>
          <w:szCs w:val="23"/>
        </w:rPr>
        <w:t xml:space="preserve"> by the DOT </w:t>
      </w:r>
      <w:r w:rsidR="00F94E3B" w:rsidRPr="00160973">
        <w:rPr>
          <w:rFonts w:ascii="Times New Roman" w:hAnsi="Times New Roman" w:cs="Times New Roman"/>
          <w:sz w:val="23"/>
          <w:szCs w:val="23"/>
        </w:rPr>
        <w:t xml:space="preserve">OCIO </w:t>
      </w:r>
      <w:r w:rsidR="001A080C" w:rsidRPr="00160973">
        <w:rPr>
          <w:rFonts w:ascii="Times New Roman" w:hAnsi="Times New Roman" w:cs="Times New Roman"/>
          <w:sz w:val="23"/>
          <w:szCs w:val="23"/>
        </w:rPr>
        <w:t xml:space="preserve">in accordance with </w:t>
      </w:r>
      <w:r w:rsidR="00F13E13" w:rsidRPr="00160973">
        <w:rPr>
          <w:rFonts w:ascii="Times New Roman" w:hAnsi="Times New Roman" w:cs="Times New Roman"/>
          <w:sz w:val="23"/>
          <w:szCs w:val="23"/>
        </w:rPr>
        <w:t xml:space="preserve">Federal IT Acquisition Reform Act </w:t>
      </w:r>
      <w:r w:rsidR="00F94E3B" w:rsidRPr="00160973">
        <w:rPr>
          <w:rFonts w:ascii="Times New Roman" w:hAnsi="Times New Roman" w:cs="Times New Roman"/>
          <w:sz w:val="23"/>
          <w:szCs w:val="23"/>
        </w:rPr>
        <w:t xml:space="preserve">(FITARA) </w:t>
      </w:r>
      <w:r w:rsidR="00F13E13" w:rsidRPr="00160973">
        <w:rPr>
          <w:rFonts w:ascii="Times New Roman" w:hAnsi="Times New Roman" w:cs="Times New Roman"/>
          <w:sz w:val="23"/>
          <w:szCs w:val="23"/>
        </w:rPr>
        <w:t xml:space="preserve">requirements. </w:t>
      </w:r>
      <w:r w:rsidR="00FD5EFF" w:rsidRPr="00160973">
        <w:rPr>
          <w:rFonts w:ascii="Times New Roman" w:hAnsi="Times New Roman" w:cs="Times New Roman"/>
          <w:sz w:val="23"/>
          <w:szCs w:val="23"/>
        </w:rPr>
        <w:t>It is anticipated that t</w:t>
      </w:r>
      <w:r w:rsidR="00F13E13" w:rsidRPr="00160973">
        <w:rPr>
          <w:rFonts w:ascii="Times New Roman" w:hAnsi="Times New Roman" w:cs="Times New Roman"/>
          <w:sz w:val="23"/>
          <w:szCs w:val="23"/>
        </w:rPr>
        <w:t xml:space="preserve">he IT ACE </w:t>
      </w:r>
      <w:r w:rsidR="00FD5EFF" w:rsidRPr="00160973">
        <w:rPr>
          <w:rFonts w:ascii="Times New Roman" w:hAnsi="Times New Roman" w:cs="Times New Roman"/>
          <w:sz w:val="23"/>
          <w:szCs w:val="23"/>
        </w:rPr>
        <w:t>will have a</w:t>
      </w:r>
      <w:r w:rsidR="00F13E13" w:rsidRPr="00160973">
        <w:rPr>
          <w:rFonts w:ascii="Times New Roman" w:hAnsi="Times New Roman" w:cs="Times New Roman"/>
          <w:sz w:val="23"/>
          <w:szCs w:val="23"/>
        </w:rPr>
        <w:t xml:space="preserve"> significant impact on the reduction of duplicative IT services contracts across the OAs through the establishment of enterprise vehicles to leverage the buying power of the Department to receive better contract pricing and negotiate more favorable terms and conditions.</w:t>
      </w:r>
    </w:p>
    <w:p w:rsidR="0034248C" w:rsidRPr="00160973" w:rsidRDefault="0034248C" w:rsidP="008647F4">
      <w:pPr>
        <w:spacing w:after="0" w:line="240" w:lineRule="auto"/>
        <w:rPr>
          <w:rFonts w:ascii="Times New Roman" w:hAnsi="Times New Roman" w:cs="Times New Roman"/>
          <w:sz w:val="23"/>
          <w:szCs w:val="23"/>
          <w:u w:val="single"/>
        </w:rPr>
      </w:pPr>
    </w:p>
    <w:p w:rsidR="00D86812" w:rsidRDefault="00D86812" w:rsidP="008647F4">
      <w:pPr>
        <w:spacing w:after="0" w:line="240" w:lineRule="auto"/>
        <w:rPr>
          <w:rFonts w:ascii="Times New Roman" w:hAnsi="Times New Roman" w:cs="Times New Roman"/>
          <w:sz w:val="23"/>
          <w:szCs w:val="23"/>
          <w:u w:val="single"/>
        </w:rPr>
      </w:pPr>
      <w:r w:rsidRPr="00160973">
        <w:rPr>
          <w:rFonts w:ascii="Times New Roman" w:hAnsi="Times New Roman" w:cs="Times New Roman"/>
          <w:sz w:val="23"/>
          <w:szCs w:val="23"/>
          <w:u w:val="single"/>
        </w:rPr>
        <w:t xml:space="preserve">DOT-wide Acquisition Oversight </w:t>
      </w:r>
    </w:p>
    <w:p w:rsidR="008647F4" w:rsidRPr="00160973" w:rsidRDefault="008647F4" w:rsidP="008647F4">
      <w:pPr>
        <w:spacing w:after="0" w:line="240" w:lineRule="auto"/>
        <w:rPr>
          <w:rFonts w:ascii="Times New Roman" w:hAnsi="Times New Roman" w:cs="Times New Roman"/>
          <w:sz w:val="23"/>
          <w:szCs w:val="23"/>
          <w:u w:val="single"/>
        </w:rPr>
      </w:pPr>
    </w:p>
    <w:p w:rsidR="001A080C" w:rsidRDefault="004C10C5" w:rsidP="008647F4">
      <w:pPr>
        <w:spacing w:after="0" w:line="240" w:lineRule="auto"/>
        <w:rPr>
          <w:rFonts w:ascii="Times New Roman" w:hAnsi="Times New Roman" w:cs="Times New Roman"/>
          <w:sz w:val="23"/>
          <w:szCs w:val="23"/>
        </w:rPr>
      </w:pPr>
      <w:r w:rsidRPr="00160973">
        <w:rPr>
          <w:rFonts w:ascii="Times New Roman" w:hAnsi="Times New Roman" w:cs="Times New Roman"/>
          <w:sz w:val="23"/>
          <w:szCs w:val="23"/>
        </w:rPr>
        <w:t>Beginning in FY 2014</w:t>
      </w:r>
      <w:r w:rsidR="00D86812" w:rsidRPr="00160973">
        <w:rPr>
          <w:rFonts w:ascii="Times New Roman" w:hAnsi="Times New Roman" w:cs="Times New Roman"/>
          <w:sz w:val="23"/>
          <w:szCs w:val="23"/>
        </w:rPr>
        <w:t>, t</w:t>
      </w:r>
      <w:r w:rsidRPr="00160973">
        <w:rPr>
          <w:rFonts w:ascii="Times New Roman" w:hAnsi="Times New Roman" w:cs="Times New Roman"/>
          <w:sz w:val="23"/>
          <w:szCs w:val="23"/>
        </w:rPr>
        <w:t xml:space="preserve">he Department implemented </w:t>
      </w:r>
      <w:r w:rsidR="0034248C" w:rsidRPr="00160973">
        <w:rPr>
          <w:rFonts w:ascii="Times New Roman" w:hAnsi="Times New Roman" w:cs="Times New Roman"/>
          <w:sz w:val="23"/>
          <w:szCs w:val="23"/>
        </w:rPr>
        <w:t>a formal</w:t>
      </w:r>
      <w:r w:rsidR="00D86812" w:rsidRPr="00160973">
        <w:rPr>
          <w:rFonts w:ascii="Times New Roman" w:hAnsi="Times New Roman" w:cs="Times New Roman"/>
          <w:sz w:val="23"/>
          <w:szCs w:val="23"/>
        </w:rPr>
        <w:t xml:space="preserve"> </w:t>
      </w:r>
      <w:r w:rsidR="0034248C" w:rsidRPr="00160973">
        <w:rPr>
          <w:rFonts w:ascii="Times New Roman" w:hAnsi="Times New Roman" w:cs="Times New Roman"/>
          <w:sz w:val="23"/>
          <w:szCs w:val="23"/>
        </w:rPr>
        <w:t>a</w:t>
      </w:r>
      <w:r w:rsidR="00D86812" w:rsidRPr="00160973">
        <w:rPr>
          <w:rFonts w:ascii="Times New Roman" w:hAnsi="Times New Roman" w:cs="Times New Roman"/>
          <w:sz w:val="23"/>
          <w:szCs w:val="23"/>
        </w:rPr>
        <w:t xml:space="preserve">cquisition </w:t>
      </w:r>
      <w:r w:rsidR="0034248C" w:rsidRPr="00160973">
        <w:rPr>
          <w:rFonts w:ascii="Times New Roman" w:hAnsi="Times New Roman" w:cs="Times New Roman"/>
          <w:sz w:val="23"/>
          <w:szCs w:val="23"/>
        </w:rPr>
        <w:t>o</w:t>
      </w:r>
      <w:r w:rsidR="00D86812" w:rsidRPr="00160973">
        <w:rPr>
          <w:rFonts w:ascii="Times New Roman" w:hAnsi="Times New Roman" w:cs="Times New Roman"/>
          <w:sz w:val="23"/>
          <w:szCs w:val="23"/>
        </w:rPr>
        <w:t>versight and</w:t>
      </w:r>
      <w:r w:rsidR="0034248C" w:rsidRPr="00160973">
        <w:rPr>
          <w:rFonts w:ascii="Times New Roman" w:hAnsi="Times New Roman" w:cs="Times New Roman"/>
          <w:sz w:val="23"/>
          <w:szCs w:val="23"/>
        </w:rPr>
        <w:t xml:space="preserve"> r</w:t>
      </w:r>
      <w:r w:rsidR="00D86812" w:rsidRPr="00160973">
        <w:rPr>
          <w:rFonts w:ascii="Times New Roman" w:hAnsi="Times New Roman" w:cs="Times New Roman"/>
          <w:sz w:val="23"/>
          <w:szCs w:val="23"/>
        </w:rPr>
        <w:t xml:space="preserve">isk </w:t>
      </w:r>
      <w:r w:rsidR="0034248C" w:rsidRPr="00160973">
        <w:rPr>
          <w:rFonts w:ascii="Times New Roman" w:hAnsi="Times New Roman" w:cs="Times New Roman"/>
          <w:sz w:val="23"/>
          <w:szCs w:val="23"/>
        </w:rPr>
        <w:t>management policy and structure by</w:t>
      </w:r>
      <w:r w:rsidR="00D86812" w:rsidRPr="00160973">
        <w:rPr>
          <w:rFonts w:ascii="Times New Roman" w:hAnsi="Times New Roman" w:cs="Times New Roman"/>
          <w:sz w:val="23"/>
          <w:szCs w:val="23"/>
        </w:rPr>
        <w:t xml:space="preserve"> establishing formal governance by the Senior Procurement Executive (SPE), Chief Financial Officer (CFO) and Chief Information Officer (CIO) to oversee DOT’s contracts portfolio </w:t>
      </w:r>
      <w:r w:rsidR="0034248C" w:rsidRPr="00160973">
        <w:rPr>
          <w:rFonts w:ascii="Times New Roman" w:hAnsi="Times New Roman" w:cs="Times New Roman"/>
          <w:sz w:val="23"/>
          <w:szCs w:val="23"/>
        </w:rPr>
        <w:t>via</w:t>
      </w:r>
      <w:r w:rsidR="00D86812" w:rsidRPr="00160973">
        <w:rPr>
          <w:rFonts w:ascii="Times New Roman" w:hAnsi="Times New Roman" w:cs="Times New Roman"/>
          <w:sz w:val="23"/>
          <w:szCs w:val="23"/>
        </w:rPr>
        <w:t xml:space="preserve"> the Acquisition Strategy Review Board (ASRB).  The ASRB provides a departmental-level review of the business and acquisition approaches utilized by the OAs in meeting DOT mission requirements and program objectives, ensures that Federal and Departmental initiatives</w:t>
      </w:r>
      <w:r w:rsidR="0034248C" w:rsidRPr="00160973">
        <w:rPr>
          <w:rFonts w:ascii="Times New Roman" w:hAnsi="Times New Roman" w:cs="Times New Roman"/>
          <w:sz w:val="23"/>
          <w:szCs w:val="23"/>
        </w:rPr>
        <w:t xml:space="preserve"> and requirements</w:t>
      </w:r>
      <w:r w:rsidR="00D86812" w:rsidRPr="00160973">
        <w:rPr>
          <w:rFonts w:ascii="Times New Roman" w:hAnsi="Times New Roman" w:cs="Times New Roman"/>
          <w:sz w:val="23"/>
          <w:szCs w:val="23"/>
        </w:rPr>
        <w:t xml:space="preserve"> are being addressed, </w:t>
      </w:r>
      <w:r w:rsidR="000D5B53">
        <w:rPr>
          <w:rFonts w:ascii="Times New Roman" w:hAnsi="Times New Roman" w:cs="Times New Roman"/>
          <w:sz w:val="23"/>
          <w:szCs w:val="23"/>
        </w:rPr>
        <w:t xml:space="preserve">and </w:t>
      </w:r>
      <w:r w:rsidR="00D86812" w:rsidRPr="00160973">
        <w:rPr>
          <w:rFonts w:ascii="Times New Roman" w:hAnsi="Times New Roman" w:cs="Times New Roman"/>
          <w:sz w:val="23"/>
          <w:szCs w:val="23"/>
        </w:rPr>
        <w:t>emphasizes the importance of acquisition planning, source selection criteria, contract type, socioeconomic o</w:t>
      </w:r>
      <w:r w:rsidR="0034248C" w:rsidRPr="00160973">
        <w:rPr>
          <w:rFonts w:ascii="Times New Roman" w:hAnsi="Times New Roman" w:cs="Times New Roman"/>
          <w:sz w:val="23"/>
          <w:szCs w:val="23"/>
        </w:rPr>
        <w:t>bjectives, competition benefits</w:t>
      </w:r>
      <w:r w:rsidR="00D86812" w:rsidRPr="00160973">
        <w:rPr>
          <w:rFonts w:ascii="Times New Roman" w:hAnsi="Times New Roman" w:cs="Times New Roman"/>
          <w:sz w:val="23"/>
          <w:szCs w:val="23"/>
        </w:rPr>
        <w:t xml:space="preserve"> and award determinations. The ASRB provides a venue for OAs to </w:t>
      </w:r>
      <w:r w:rsidR="00C12EF4">
        <w:rPr>
          <w:rFonts w:ascii="Times New Roman" w:hAnsi="Times New Roman" w:cs="Times New Roman"/>
          <w:sz w:val="23"/>
          <w:szCs w:val="23"/>
        </w:rPr>
        <w:t>address</w:t>
      </w:r>
      <w:r w:rsidR="00D86812" w:rsidRPr="00160973">
        <w:rPr>
          <w:rFonts w:ascii="Times New Roman" w:hAnsi="Times New Roman" w:cs="Times New Roman"/>
          <w:sz w:val="23"/>
          <w:szCs w:val="23"/>
        </w:rPr>
        <w:t xml:space="preserve"> issues that may be of concern to the Department, and ensures that management support service contracts are appropriately justified and managed within DOT</w:t>
      </w:r>
      <w:bookmarkStart w:id="14" w:name="_Hlk532901073"/>
      <w:r w:rsidR="00236477" w:rsidRPr="00160973">
        <w:rPr>
          <w:rFonts w:ascii="Times New Roman" w:hAnsi="Times New Roman" w:cs="Times New Roman"/>
          <w:sz w:val="23"/>
          <w:szCs w:val="23"/>
        </w:rPr>
        <w:t xml:space="preserve">.  </w:t>
      </w:r>
      <w:r w:rsidR="001A080C" w:rsidRPr="00160973">
        <w:rPr>
          <w:rFonts w:ascii="Times New Roman" w:hAnsi="Times New Roman" w:cs="Times New Roman"/>
          <w:sz w:val="23"/>
          <w:szCs w:val="23"/>
        </w:rPr>
        <w:t xml:space="preserve">In FY 2017, the </w:t>
      </w:r>
      <w:r w:rsidR="0034248C" w:rsidRPr="00160973">
        <w:rPr>
          <w:rFonts w:ascii="Times New Roman" w:hAnsi="Times New Roman" w:cs="Times New Roman"/>
          <w:sz w:val="23"/>
          <w:szCs w:val="23"/>
        </w:rPr>
        <w:t>ASRB</w:t>
      </w:r>
      <w:r w:rsidR="001A080C" w:rsidRPr="00160973">
        <w:rPr>
          <w:rFonts w:ascii="Times New Roman" w:hAnsi="Times New Roman" w:cs="Times New Roman"/>
          <w:sz w:val="23"/>
          <w:szCs w:val="23"/>
        </w:rPr>
        <w:t xml:space="preserve"> reviewed and approved 15 acquisition </w:t>
      </w:r>
      <w:r w:rsidR="00FD5EFF" w:rsidRPr="00160973">
        <w:rPr>
          <w:rFonts w:ascii="Times New Roman" w:hAnsi="Times New Roman" w:cs="Times New Roman"/>
          <w:sz w:val="23"/>
          <w:szCs w:val="23"/>
        </w:rPr>
        <w:t>plans,</w:t>
      </w:r>
      <w:r w:rsidR="001A080C" w:rsidRPr="00160973">
        <w:rPr>
          <w:rFonts w:ascii="Times New Roman" w:hAnsi="Times New Roman" w:cs="Times New Roman"/>
          <w:sz w:val="23"/>
          <w:szCs w:val="23"/>
        </w:rPr>
        <w:t xml:space="preserve"> which included services valued more than $1.5 billion dollars. </w:t>
      </w:r>
    </w:p>
    <w:p w:rsidR="00C12EF4" w:rsidRPr="00160973" w:rsidRDefault="00C12EF4" w:rsidP="008647F4">
      <w:pPr>
        <w:spacing w:after="0" w:line="240" w:lineRule="auto"/>
        <w:rPr>
          <w:rFonts w:ascii="Times New Roman" w:hAnsi="Times New Roman" w:cs="Times New Roman"/>
          <w:sz w:val="23"/>
          <w:szCs w:val="23"/>
        </w:rPr>
      </w:pPr>
    </w:p>
    <w:p w:rsidR="0034248C" w:rsidRDefault="0010061C" w:rsidP="00C03F8B">
      <w:pPr>
        <w:spacing w:after="0" w:line="240" w:lineRule="auto"/>
        <w:rPr>
          <w:rFonts w:ascii="Times New Roman" w:hAnsi="Times New Roman" w:cs="Times New Roman"/>
          <w:sz w:val="23"/>
          <w:szCs w:val="23"/>
        </w:rPr>
      </w:pPr>
      <w:r w:rsidRPr="00160973">
        <w:rPr>
          <w:rFonts w:ascii="Times New Roman" w:hAnsi="Times New Roman" w:cs="Times New Roman"/>
          <w:sz w:val="23"/>
          <w:szCs w:val="23"/>
        </w:rPr>
        <w:t>Through the ASRB, the SPE, CFO, and CIO continue to lay the groundwork for establishing internal management controls for new service contracts, as well as identifying existing ser</w:t>
      </w:r>
      <w:r w:rsidR="0034248C" w:rsidRPr="00160973">
        <w:rPr>
          <w:rFonts w:ascii="Times New Roman" w:hAnsi="Times New Roman" w:cs="Times New Roman"/>
          <w:sz w:val="23"/>
          <w:szCs w:val="23"/>
        </w:rPr>
        <w:t>vice contracts that are in high-</w:t>
      </w:r>
      <w:r w:rsidRPr="00160973">
        <w:rPr>
          <w:rFonts w:ascii="Times New Roman" w:hAnsi="Times New Roman" w:cs="Times New Roman"/>
          <w:sz w:val="23"/>
          <w:szCs w:val="23"/>
        </w:rPr>
        <w:t xml:space="preserve">risk categories and candidates for transition to BICs or other Government- or Agency-wide contract vehicles. </w:t>
      </w:r>
      <w:bookmarkEnd w:id="14"/>
    </w:p>
    <w:p w:rsidR="000D5B53" w:rsidRDefault="000D5B53" w:rsidP="00C03F8B">
      <w:pPr>
        <w:spacing w:after="0" w:line="240" w:lineRule="auto"/>
        <w:rPr>
          <w:rFonts w:ascii="Times New Roman" w:hAnsi="Times New Roman" w:cs="Times New Roman"/>
          <w:sz w:val="23"/>
          <w:szCs w:val="23"/>
        </w:rPr>
      </w:pPr>
    </w:p>
    <w:p w:rsidR="0010061C" w:rsidRDefault="0010061C" w:rsidP="008647F4">
      <w:pPr>
        <w:spacing w:after="0" w:line="240" w:lineRule="auto"/>
        <w:rPr>
          <w:rFonts w:ascii="Times New Roman" w:hAnsi="Times New Roman" w:cs="Times New Roman"/>
          <w:sz w:val="23"/>
          <w:szCs w:val="23"/>
          <w:u w:val="single"/>
        </w:rPr>
      </w:pPr>
      <w:r w:rsidRPr="00160973">
        <w:rPr>
          <w:rFonts w:ascii="Times New Roman" w:hAnsi="Times New Roman" w:cs="Times New Roman"/>
          <w:sz w:val="23"/>
          <w:szCs w:val="23"/>
          <w:u w:val="single"/>
        </w:rPr>
        <w:t>Category Management &amp; Training Initiatives</w:t>
      </w:r>
    </w:p>
    <w:p w:rsidR="008647F4" w:rsidRPr="00160973" w:rsidRDefault="008647F4" w:rsidP="008647F4">
      <w:pPr>
        <w:spacing w:after="0" w:line="240" w:lineRule="auto"/>
        <w:rPr>
          <w:rFonts w:ascii="Times New Roman" w:hAnsi="Times New Roman" w:cs="Times New Roman"/>
          <w:sz w:val="23"/>
          <w:szCs w:val="23"/>
          <w:u w:val="single"/>
        </w:rPr>
      </w:pPr>
    </w:p>
    <w:p w:rsidR="00F40BB5" w:rsidRPr="00160973" w:rsidRDefault="00F40BB5" w:rsidP="00B11F3D">
      <w:pPr>
        <w:pStyle w:val="paragraph"/>
        <w:textAlignment w:val="baseline"/>
        <w:rPr>
          <w:rStyle w:val="eop"/>
          <w:sz w:val="23"/>
          <w:szCs w:val="23"/>
        </w:rPr>
      </w:pPr>
      <w:r w:rsidRPr="00160973">
        <w:rPr>
          <w:sz w:val="23"/>
          <w:szCs w:val="23"/>
        </w:rPr>
        <w:t xml:space="preserve">For the first time in FY 2018, OMB issued targets for agencies for SUM and BIC. </w:t>
      </w:r>
      <w:r w:rsidRPr="00160973">
        <w:rPr>
          <w:rStyle w:val="normaltextrun1"/>
          <w:sz w:val="23"/>
          <w:szCs w:val="23"/>
        </w:rPr>
        <w:t xml:space="preserve">On an annual (formal) and on-going (informal) basis, DOT is analyzing all new and existing contracts to ensure acquisition of products and services are planned in a strategic manner, consistent with the Federal Category Management </w:t>
      </w:r>
      <w:r w:rsidR="00C12EF4">
        <w:rPr>
          <w:rStyle w:val="normaltextrun1"/>
          <w:sz w:val="23"/>
          <w:szCs w:val="23"/>
        </w:rPr>
        <w:t xml:space="preserve">(CM) </w:t>
      </w:r>
      <w:r w:rsidRPr="00160973">
        <w:rPr>
          <w:rStyle w:val="normaltextrun1"/>
          <w:sz w:val="23"/>
          <w:szCs w:val="23"/>
        </w:rPr>
        <w:t xml:space="preserve">initiative. DOT has established an internal </w:t>
      </w:r>
      <w:r w:rsidR="00C12EF4">
        <w:rPr>
          <w:rStyle w:val="normaltextrun1"/>
          <w:sz w:val="23"/>
          <w:szCs w:val="23"/>
        </w:rPr>
        <w:t>CM</w:t>
      </w:r>
      <w:r w:rsidRPr="00160973">
        <w:rPr>
          <w:rStyle w:val="normaltextrun1"/>
          <w:sz w:val="23"/>
          <w:szCs w:val="23"/>
        </w:rPr>
        <w:t xml:space="preserve"> Implementation </w:t>
      </w:r>
      <w:r w:rsidR="000660B6" w:rsidRPr="00160973">
        <w:rPr>
          <w:rStyle w:val="normaltextrun1"/>
          <w:sz w:val="23"/>
          <w:szCs w:val="23"/>
        </w:rPr>
        <w:t>Group comprised</w:t>
      </w:r>
      <w:r w:rsidRPr="00160973">
        <w:rPr>
          <w:rStyle w:val="normaltextrun1"/>
          <w:sz w:val="23"/>
          <w:szCs w:val="23"/>
        </w:rPr>
        <w:t xml:space="preserve"> of representatives from each of the DOT OAs to help educate individuals across the Department regarding the CM initiative, and advocate </w:t>
      </w:r>
      <w:r w:rsidR="000D5B53">
        <w:rPr>
          <w:rStyle w:val="normaltextrun1"/>
          <w:sz w:val="23"/>
          <w:szCs w:val="23"/>
        </w:rPr>
        <w:t xml:space="preserve">for the </w:t>
      </w:r>
      <w:r w:rsidRPr="00160973">
        <w:rPr>
          <w:rStyle w:val="normaltextrun1"/>
          <w:sz w:val="23"/>
          <w:szCs w:val="23"/>
        </w:rPr>
        <w:t xml:space="preserve">use of BIC and other well-managed, government-wide vehicles. In addition, DOT recently held a half-day of training sessions on CM, and plans to hold individual discussions with each contracting office across DOT to ensure appropriate considerations are provided for BIC and CM vehicles. </w:t>
      </w:r>
      <w:r w:rsidR="00000614">
        <w:rPr>
          <w:rStyle w:val="normaltextrun1"/>
          <w:sz w:val="23"/>
          <w:szCs w:val="23"/>
        </w:rPr>
        <w:t>Additionally</w:t>
      </w:r>
      <w:r w:rsidRPr="00160973">
        <w:rPr>
          <w:rStyle w:val="normaltextrun1"/>
          <w:sz w:val="23"/>
          <w:szCs w:val="23"/>
        </w:rPr>
        <w:t>, acquisition policies requiring mandatory consideration of BIC vehicles will be issued in FY 2019.</w:t>
      </w:r>
      <w:r w:rsidRPr="00160973">
        <w:rPr>
          <w:rStyle w:val="eop"/>
          <w:sz w:val="23"/>
          <w:szCs w:val="23"/>
        </w:rPr>
        <w:t> </w:t>
      </w:r>
    </w:p>
    <w:p w:rsidR="00F40BB5" w:rsidRPr="00160973" w:rsidRDefault="00F40BB5" w:rsidP="00B11F3D">
      <w:pPr>
        <w:pStyle w:val="paragraph"/>
        <w:textAlignment w:val="baseline"/>
        <w:rPr>
          <w:sz w:val="23"/>
          <w:szCs w:val="23"/>
        </w:rPr>
      </w:pPr>
    </w:p>
    <w:p w:rsidR="0010061C" w:rsidRDefault="00BF62AC" w:rsidP="00B11F3D">
      <w:pPr>
        <w:spacing w:after="0" w:line="240" w:lineRule="auto"/>
        <w:rPr>
          <w:rFonts w:ascii="Times New Roman" w:eastAsia="Times New Roman" w:hAnsi="Times New Roman" w:cs="Times New Roman"/>
          <w:sz w:val="23"/>
          <w:szCs w:val="23"/>
        </w:rPr>
      </w:pPr>
      <w:r w:rsidRPr="00160973">
        <w:rPr>
          <w:rFonts w:ascii="Times New Roman" w:eastAsia="Times New Roman" w:hAnsi="Times New Roman" w:cs="Times New Roman"/>
          <w:sz w:val="23"/>
          <w:szCs w:val="23"/>
        </w:rPr>
        <w:t xml:space="preserve">Finally, DOT is working with GSA and the Defense Acquisition </w:t>
      </w:r>
      <w:r w:rsidR="00F40BB5" w:rsidRPr="00160973">
        <w:rPr>
          <w:rFonts w:ascii="Times New Roman" w:eastAsia="Times New Roman" w:hAnsi="Times New Roman" w:cs="Times New Roman"/>
          <w:sz w:val="23"/>
          <w:szCs w:val="23"/>
        </w:rPr>
        <w:t>University to</w:t>
      </w:r>
      <w:r w:rsidRPr="00160973">
        <w:rPr>
          <w:rFonts w:ascii="Times New Roman" w:eastAsia="Times New Roman" w:hAnsi="Times New Roman" w:cs="Times New Roman"/>
          <w:sz w:val="23"/>
          <w:szCs w:val="23"/>
        </w:rPr>
        <w:t xml:space="preserve"> develop a requirements package for professional services through a Services Acquisition </w:t>
      </w:r>
      <w:r w:rsidR="000660B6" w:rsidRPr="00160973">
        <w:rPr>
          <w:rFonts w:ascii="Times New Roman" w:eastAsia="Times New Roman" w:hAnsi="Times New Roman" w:cs="Times New Roman"/>
          <w:sz w:val="23"/>
          <w:szCs w:val="23"/>
        </w:rPr>
        <w:t>Workshop that</w:t>
      </w:r>
      <w:r w:rsidRPr="00160973">
        <w:rPr>
          <w:rFonts w:ascii="Times New Roman" w:eastAsia="Times New Roman" w:hAnsi="Times New Roman" w:cs="Times New Roman"/>
          <w:sz w:val="23"/>
          <w:szCs w:val="23"/>
        </w:rPr>
        <w:t xml:space="preserve"> will support the needs of all DOT OAs. The SAW is a Department of Defense best practice for establishing service contracts and is included in OMB’s FY 2019-2020 Government-wide Category Management Strategic Plan.</w:t>
      </w:r>
    </w:p>
    <w:p w:rsidR="00B11F3D" w:rsidRPr="00160973" w:rsidRDefault="00B11F3D" w:rsidP="00B11F3D">
      <w:pPr>
        <w:spacing w:after="0" w:line="240" w:lineRule="auto"/>
        <w:rPr>
          <w:rFonts w:ascii="Times New Roman" w:eastAsia="Times New Roman" w:hAnsi="Times New Roman" w:cs="Times New Roman"/>
          <w:sz w:val="23"/>
          <w:szCs w:val="23"/>
        </w:rPr>
      </w:pPr>
    </w:p>
    <w:p w:rsidR="00BF62AC" w:rsidRPr="00160973" w:rsidRDefault="00BF62AC" w:rsidP="00B11F3D">
      <w:pPr>
        <w:spacing w:after="0" w:line="240" w:lineRule="auto"/>
        <w:rPr>
          <w:rFonts w:ascii="Times New Roman" w:hAnsi="Times New Roman" w:cs="Times New Roman"/>
          <w:b/>
          <w:sz w:val="23"/>
          <w:szCs w:val="23"/>
        </w:rPr>
      </w:pPr>
      <w:r w:rsidRPr="00160973">
        <w:rPr>
          <w:rFonts w:ascii="Times New Roman" w:hAnsi="Times New Roman" w:cs="Times New Roman"/>
          <w:sz w:val="23"/>
          <w:szCs w:val="23"/>
        </w:rPr>
        <w:t>In addition to DOT’s Category Management</w:t>
      </w:r>
      <w:r w:rsidR="00F40BB5" w:rsidRPr="00160973">
        <w:rPr>
          <w:rFonts w:ascii="Times New Roman" w:hAnsi="Times New Roman" w:cs="Times New Roman"/>
          <w:sz w:val="23"/>
          <w:szCs w:val="23"/>
        </w:rPr>
        <w:t>-specific</w:t>
      </w:r>
      <w:r w:rsidRPr="00160973">
        <w:rPr>
          <w:rFonts w:ascii="Times New Roman" w:hAnsi="Times New Roman" w:cs="Times New Roman"/>
          <w:sz w:val="23"/>
          <w:szCs w:val="23"/>
        </w:rPr>
        <w:t xml:space="preserve"> initiatives, DOT holds an annual acquisition conference where relevant contracting topics are discussed and training is provided to the DOT acquisition workforce. In FY 2019, DOT plans to host breakout sessions on service contract topics to ensure continued focus in this area</w:t>
      </w:r>
      <w:r w:rsidR="00147BB6" w:rsidRPr="00160973">
        <w:rPr>
          <w:rFonts w:ascii="Times New Roman" w:hAnsi="Times New Roman" w:cs="Times New Roman"/>
          <w:sz w:val="23"/>
          <w:szCs w:val="23"/>
        </w:rPr>
        <w:t>.</w:t>
      </w:r>
      <w:r w:rsidR="0010061C" w:rsidRPr="00160973">
        <w:rPr>
          <w:rFonts w:ascii="Times New Roman" w:hAnsi="Times New Roman" w:cs="Times New Roman"/>
          <w:sz w:val="23"/>
          <w:szCs w:val="23"/>
        </w:rPr>
        <w:t xml:space="preserve"> </w:t>
      </w:r>
    </w:p>
    <w:p w:rsidR="00D86812" w:rsidRPr="00160973" w:rsidRDefault="00F40BB5" w:rsidP="009924E0">
      <w:pPr>
        <w:pStyle w:val="Heading1"/>
        <w:numPr>
          <w:ilvl w:val="0"/>
          <w:numId w:val="0"/>
        </w:numPr>
        <w:spacing w:before="200" w:after="200"/>
      </w:pPr>
      <w:bookmarkStart w:id="15" w:name="_Toc3887239"/>
      <w:r w:rsidRPr="00160973">
        <w:t xml:space="preserve">6.0 – </w:t>
      </w:r>
      <w:r w:rsidR="00BF62AC" w:rsidRPr="00160973">
        <w:t>Concl</w:t>
      </w:r>
      <w:r w:rsidR="008068CE" w:rsidRPr="00160973">
        <w:t>usion</w:t>
      </w:r>
      <w:bookmarkEnd w:id="15"/>
    </w:p>
    <w:p w:rsidR="0010061C" w:rsidRPr="00160973" w:rsidRDefault="00036B8B" w:rsidP="00645F91">
      <w:pPr>
        <w:spacing w:after="120" w:line="240" w:lineRule="auto"/>
        <w:rPr>
          <w:rFonts w:ascii="Times New Roman" w:hAnsi="Times New Roman" w:cs="Times New Roman"/>
          <w:sz w:val="23"/>
          <w:szCs w:val="23"/>
        </w:rPr>
      </w:pPr>
      <w:r w:rsidRPr="00160973">
        <w:rPr>
          <w:rFonts w:ascii="Times New Roman" w:hAnsi="Times New Roman" w:cs="Times New Roman"/>
          <w:sz w:val="23"/>
          <w:szCs w:val="23"/>
        </w:rPr>
        <w:t>Throughout FY 2017, DOT remained focused on improving the management of service contracts.  DOT’s ability to manage service contracts more effectively and to identify cost savings without adversely affecting the mission remains a top priority.  DOT continued initiatives to reduce overall contract spending and risks by increasing awareness</w:t>
      </w:r>
      <w:r w:rsidR="0075271E" w:rsidRPr="00160973">
        <w:rPr>
          <w:rFonts w:ascii="Times New Roman" w:hAnsi="Times New Roman" w:cs="Times New Roman"/>
          <w:sz w:val="23"/>
          <w:szCs w:val="23"/>
        </w:rPr>
        <w:t xml:space="preserve"> and improving governance; implementing DOT-wide </w:t>
      </w:r>
      <w:r w:rsidR="001A080C" w:rsidRPr="00160973">
        <w:rPr>
          <w:rFonts w:ascii="Times New Roman" w:hAnsi="Times New Roman" w:cs="Times New Roman"/>
          <w:sz w:val="23"/>
          <w:szCs w:val="23"/>
        </w:rPr>
        <w:t>category management</w:t>
      </w:r>
      <w:r w:rsidR="0075271E" w:rsidRPr="00160973">
        <w:rPr>
          <w:rFonts w:ascii="Times New Roman" w:hAnsi="Times New Roman" w:cs="Times New Roman"/>
          <w:sz w:val="23"/>
          <w:szCs w:val="23"/>
        </w:rPr>
        <w:t>; and</w:t>
      </w:r>
      <w:r w:rsidR="00000614">
        <w:rPr>
          <w:rFonts w:ascii="Times New Roman" w:hAnsi="Times New Roman" w:cs="Times New Roman"/>
          <w:sz w:val="23"/>
          <w:szCs w:val="23"/>
        </w:rPr>
        <w:t>,</w:t>
      </w:r>
      <w:r w:rsidR="0075271E" w:rsidRPr="00160973">
        <w:rPr>
          <w:rFonts w:ascii="Times New Roman" w:hAnsi="Times New Roman" w:cs="Times New Roman"/>
          <w:sz w:val="23"/>
          <w:szCs w:val="23"/>
        </w:rPr>
        <w:t xml:space="preserve"> reducing</w:t>
      </w:r>
      <w:r w:rsidR="001A080C" w:rsidRPr="00160973">
        <w:rPr>
          <w:rFonts w:ascii="Times New Roman" w:hAnsi="Times New Roman" w:cs="Times New Roman"/>
          <w:sz w:val="23"/>
          <w:szCs w:val="23"/>
        </w:rPr>
        <w:t xml:space="preserve"> the use of high-</w:t>
      </w:r>
      <w:r w:rsidR="0075271E" w:rsidRPr="00160973">
        <w:rPr>
          <w:rFonts w:ascii="Times New Roman" w:hAnsi="Times New Roman" w:cs="Times New Roman"/>
          <w:sz w:val="23"/>
          <w:szCs w:val="23"/>
        </w:rPr>
        <w:t>risk contract</w:t>
      </w:r>
      <w:r w:rsidR="001A080C" w:rsidRPr="00160973">
        <w:rPr>
          <w:rFonts w:ascii="Times New Roman" w:hAnsi="Times New Roman" w:cs="Times New Roman"/>
          <w:sz w:val="23"/>
          <w:szCs w:val="23"/>
        </w:rPr>
        <w:t xml:space="preserve"> types to the </w:t>
      </w:r>
      <w:r w:rsidR="00000614">
        <w:rPr>
          <w:rFonts w:ascii="Times New Roman" w:hAnsi="Times New Roman" w:cs="Times New Roman"/>
          <w:sz w:val="23"/>
          <w:szCs w:val="23"/>
        </w:rPr>
        <w:t xml:space="preserve">maximum </w:t>
      </w:r>
      <w:r w:rsidR="001A080C" w:rsidRPr="00160973">
        <w:rPr>
          <w:rFonts w:ascii="Times New Roman" w:hAnsi="Times New Roman" w:cs="Times New Roman"/>
          <w:sz w:val="23"/>
          <w:szCs w:val="23"/>
        </w:rPr>
        <w:t>extent possible.</w:t>
      </w:r>
      <w:r w:rsidR="00147BB6" w:rsidRPr="00160973">
        <w:rPr>
          <w:rFonts w:ascii="Times New Roman" w:hAnsi="Times New Roman" w:cs="Times New Roman"/>
          <w:sz w:val="23"/>
          <w:szCs w:val="23"/>
        </w:rPr>
        <w:t xml:space="preserve"> </w:t>
      </w:r>
    </w:p>
    <w:p w:rsidR="001A67A4" w:rsidRPr="00160973" w:rsidRDefault="001A67A4" w:rsidP="001A67A4">
      <w:pPr>
        <w:autoSpaceDE w:val="0"/>
        <w:autoSpaceDN w:val="0"/>
        <w:adjustRightInd w:val="0"/>
        <w:spacing w:after="0" w:line="240" w:lineRule="auto"/>
        <w:rPr>
          <w:rFonts w:ascii="Times New Roman" w:hAnsi="Times New Roman" w:cs="Times New Roman"/>
          <w:bCs/>
          <w:sz w:val="23"/>
          <w:szCs w:val="23"/>
        </w:rPr>
      </w:pPr>
    </w:p>
    <w:p w:rsidR="001A67A4" w:rsidRDefault="001A67A4" w:rsidP="001A67A4">
      <w:pPr>
        <w:autoSpaceDE w:val="0"/>
        <w:autoSpaceDN w:val="0"/>
        <w:adjustRightInd w:val="0"/>
        <w:spacing w:after="0" w:line="240" w:lineRule="auto"/>
        <w:rPr>
          <w:rFonts w:ascii="Times New Roman" w:hAnsi="Times New Roman" w:cs="Times New Roman"/>
          <w:bCs/>
          <w:sz w:val="23"/>
          <w:szCs w:val="23"/>
        </w:rPr>
      </w:pPr>
      <w:r w:rsidRPr="00160973">
        <w:rPr>
          <w:rFonts w:ascii="Times New Roman" w:hAnsi="Times New Roman" w:cs="Times New Roman"/>
          <w:bCs/>
          <w:sz w:val="23"/>
          <w:szCs w:val="23"/>
        </w:rPr>
        <w:t xml:space="preserve">DOT’s review found that all OAs reported sufficient </w:t>
      </w:r>
      <w:r w:rsidR="00F47246">
        <w:rPr>
          <w:rFonts w:ascii="Times New Roman" w:hAnsi="Times New Roman" w:cs="Times New Roman"/>
          <w:bCs/>
          <w:sz w:val="23"/>
          <w:szCs w:val="23"/>
        </w:rPr>
        <w:t xml:space="preserve">balancing of contracted efforts and </w:t>
      </w:r>
      <w:r w:rsidRPr="00160973">
        <w:rPr>
          <w:rFonts w:ascii="Times New Roman" w:hAnsi="Times New Roman" w:cs="Times New Roman"/>
          <w:bCs/>
          <w:sz w:val="23"/>
          <w:szCs w:val="23"/>
        </w:rPr>
        <w:t xml:space="preserve">agency resources to effectively manage and oversee contracts.  All contracts are administered by a team of highly trained and qualified acquisition professionals, such as </w:t>
      </w:r>
      <w:r w:rsidR="00481506">
        <w:rPr>
          <w:rFonts w:ascii="Times New Roman" w:hAnsi="Times New Roman" w:cs="Times New Roman"/>
          <w:bCs/>
          <w:sz w:val="23"/>
          <w:szCs w:val="23"/>
        </w:rPr>
        <w:t xml:space="preserve">project/program managers, </w:t>
      </w:r>
      <w:r w:rsidRPr="00160973">
        <w:rPr>
          <w:rFonts w:ascii="Times New Roman" w:hAnsi="Times New Roman" w:cs="Times New Roman"/>
          <w:bCs/>
          <w:sz w:val="23"/>
          <w:szCs w:val="23"/>
        </w:rPr>
        <w:t>COR</w:t>
      </w:r>
      <w:r w:rsidR="00F40BB5" w:rsidRPr="00160973">
        <w:rPr>
          <w:rFonts w:ascii="Times New Roman" w:hAnsi="Times New Roman" w:cs="Times New Roman"/>
          <w:bCs/>
          <w:sz w:val="23"/>
          <w:szCs w:val="23"/>
        </w:rPr>
        <w:t>s</w:t>
      </w:r>
      <w:r w:rsidRPr="00160973">
        <w:rPr>
          <w:rFonts w:ascii="Times New Roman" w:hAnsi="Times New Roman" w:cs="Times New Roman"/>
          <w:bCs/>
          <w:sz w:val="23"/>
          <w:szCs w:val="23"/>
        </w:rPr>
        <w:t xml:space="preserve">, </w:t>
      </w:r>
      <w:r w:rsidR="00481506">
        <w:rPr>
          <w:rFonts w:ascii="Times New Roman" w:hAnsi="Times New Roman" w:cs="Times New Roman"/>
          <w:bCs/>
          <w:sz w:val="23"/>
          <w:szCs w:val="23"/>
        </w:rPr>
        <w:t>c</w:t>
      </w:r>
      <w:r w:rsidRPr="00160973">
        <w:rPr>
          <w:rFonts w:ascii="Times New Roman" w:hAnsi="Times New Roman" w:cs="Times New Roman"/>
          <w:bCs/>
          <w:sz w:val="23"/>
          <w:szCs w:val="23"/>
        </w:rPr>
        <w:t xml:space="preserve">ontracting </w:t>
      </w:r>
      <w:r w:rsidR="00481506">
        <w:rPr>
          <w:rFonts w:ascii="Times New Roman" w:hAnsi="Times New Roman" w:cs="Times New Roman"/>
          <w:bCs/>
          <w:sz w:val="23"/>
          <w:szCs w:val="23"/>
        </w:rPr>
        <w:t>o</w:t>
      </w:r>
      <w:r w:rsidR="000925FC" w:rsidRPr="00160973">
        <w:rPr>
          <w:rFonts w:ascii="Times New Roman" w:hAnsi="Times New Roman" w:cs="Times New Roman"/>
          <w:bCs/>
          <w:sz w:val="23"/>
          <w:szCs w:val="23"/>
        </w:rPr>
        <w:t>fficers and</w:t>
      </w:r>
      <w:r w:rsidRPr="00160973">
        <w:rPr>
          <w:rFonts w:ascii="Times New Roman" w:hAnsi="Times New Roman" w:cs="Times New Roman"/>
          <w:bCs/>
          <w:sz w:val="23"/>
          <w:szCs w:val="23"/>
        </w:rPr>
        <w:t xml:space="preserve"> </w:t>
      </w:r>
      <w:r w:rsidR="00481506">
        <w:rPr>
          <w:rFonts w:ascii="Times New Roman" w:hAnsi="Times New Roman" w:cs="Times New Roman"/>
          <w:bCs/>
          <w:sz w:val="23"/>
          <w:szCs w:val="23"/>
        </w:rPr>
        <w:t>c</w:t>
      </w:r>
      <w:r w:rsidRPr="00160973">
        <w:rPr>
          <w:rFonts w:ascii="Times New Roman" w:hAnsi="Times New Roman" w:cs="Times New Roman"/>
          <w:bCs/>
          <w:sz w:val="23"/>
          <w:szCs w:val="23"/>
        </w:rPr>
        <w:t xml:space="preserve">ontract </w:t>
      </w:r>
      <w:r w:rsidR="00481506">
        <w:rPr>
          <w:rFonts w:ascii="Times New Roman" w:hAnsi="Times New Roman" w:cs="Times New Roman"/>
          <w:bCs/>
          <w:sz w:val="23"/>
          <w:szCs w:val="23"/>
        </w:rPr>
        <w:t>s</w:t>
      </w:r>
      <w:r w:rsidRPr="00160973">
        <w:rPr>
          <w:rFonts w:ascii="Times New Roman" w:hAnsi="Times New Roman" w:cs="Times New Roman"/>
          <w:bCs/>
          <w:sz w:val="23"/>
          <w:szCs w:val="23"/>
        </w:rPr>
        <w:t xml:space="preserve">pecialists. All individuals performing official roles are </w:t>
      </w:r>
      <w:r w:rsidR="00481506">
        <w:rPr>
          <w:rFonts w:ascii="Times New Roman" w:hAnsi="Times New Roman" w:cs="Times New Roman"/>
          <w:bCs/>
          <w:sz w:val="23"/>
          <w:szCs w:val="23"/>
        </w:rPr>
        <w:t>certified at an appropriate FAC-</w:t>
      </w:r>
      <w:r w:rsidRPr="00160973">
        <w:rPr>
          <w:rFonts w:ascii="Times New Roman" w:hAnsi="Times New Roman" w:cs="Times New Roman"/>
          <w:bCs/>
          <w:sz w:val="23"/>
          <w:szCs w:val="23"/>
        </w:rPr>
        <w:t>level a</w:t>
      </w:r>
      <w:r w:rsidR="00C12EF4">
        <w:rPr>
          <w:rFonts w:ascii="Times New Roman" w:hAnsi="Times New Roman" w:cs="Times New Roman"/>
          <w:bCs/>
          <w:sz w:val="23"/>
          <w:szCs w:val="23"/>
        </w:rPr>
        <w:t>nd</w:t>
      </w:r>
      <w:r w:rsidRPr="00160973">
        <w:rPr>
          <w:rFonts w:ascii="Times New Roman" w:hAnsi="Times New Roman" w:cs="Times New Roman"/>
          <w:bCs/>
          <w:sz w:val="23"/>
          <w:szCs w:val="23"/>
        </w:rPr>
        <w:t xml:space="preserve"> have various other relevant experience and training</w:t>
      </w:r>
      <w:r w:rsidR="00481506">
        <w:rPr>
          <w:rFonts w:ascii="Times New Roman" w:hAnsi="Times New Roman" w:cs="Times New Roman"/>
          <w:bCs/>
          <w:sz w:val="23"/>
          <w:szCs w:val="23"/>
        </w:rPr>
        <w:t xml:space="preserve">. </w:t>
      </w:r>
    </w:p>
    <w:p w:rsidR="00751DF5" w:rsidRPr="00160973" w:rsidRDefault="00F40BB5" w:rsidP="00F47246">
      <w:pPr>
        <w:pStyle w:val="Heading1"/>
        <w:numPr>
          <w:ilvl w:val="0"/>
          <w:numId w:val="0"/>
        </w:numPr>
        <w:spacing w:before="200" w:after="200"/>
      </w:pPr>
      <w:bookmarkStart w:id="16" w:name="_Toc3887240"/>
      <w:r w:rsidRPr="00160973">
        <w:t xml:space="preserve">7.0 – </w:t>
      </w:r>
      <w:r w:rsidR="00751DF5" w:rsidRPr="00160973">
        <w:t>Accountable Official:</w:t>
      </w:r>
      <w:bookmarkEnd w:id="16"/>
    </w:p>
    <w:p w:rsidR="008068CE" w:rsidRDefault="00751DF5" w:rsidP="000660B6">
      <w:pPr>
        <w:spacing w:line="240" w:lineRule="auto"/>
        <w:rPr>
          <w:rFonts w:ascii="Times New Roman" w:hAnsi="Times New Roman" w:cs="Times New Roman"/>
          <w:sz w:val="23"/>
          <w:szCs w:val="23"/>
        </w:rPr>
      </w:pPr>
      <w:r w:rsidRPr="00160973">
        <w:rPr>
          <w:rFonts w:ascii="Times New Roman" w:hAnsi="Times New Roman" w:cs="Times New Roman"/>
          <w:sz w:val="23"/>
          <w:szCs w:val="23"/>
        </w:rPr>
        <w:t>Dr. Willie Smith</w:t>
      </w:r>
      <w:r w:rsidR="006579C3" w:rsidRPr="00160973">
        <w:rPr>
          <w:rFonts w:ascii="Times New Roman" w:hAnsi="Times New Roman" w:cs="Times New Roman"/>
          <w:sz w:val="23"/>
          <w:szCs w:val="23"/>
        </w:rPr>
        <w:br/>
      </w:r>
      <w:r w:rsidRPr="00160973">
        <w:rPr>
          <w:rFonts w:ascii="Times New Roman" w:hAnsi="Times New Roman" w:cs="Times New Roman"/>
          <w:sz w:val="23"/>
          <w:szCs w:val="23"/>
        </w:rPr>
        <w:t xml:space="preserve">Senior Procurement Executive </w:t>
      </w:r>
      <w:r w:rsidR="006579C3" w:rsidRPr="00160973">
        <w:rPr>
          <w:rFonts w:ascii="Times New Roman" w:hAnsi="Times New Roman" w:cs="Times New Roman"/>
          <w:sz w:val="23"/>
          <w:szCs w:val="23"/>
        </w:rPr>
        <w:br/>
        <w:t xml:space="preserve">U.S. </w:t>
      </w:r>
      <w:r w:rsidRPr="00160973">
        <w:rPr>
          <w:rFonts w:ascii="Times New Roman" w:hAnsi="Times New Roman" w:cs="Times New Roman"/>
          <w:sz w:val="23"/>
          <w:szCs w:val="23"/>
        </w:rPr>
        <w:t>Department of Transportation</w:t>
      </w:r>
      <w:r w:rsidR="006579C3" w:rsidRPr="00160973">
        <w:rPr>
          <w:rFonts w:ascii="Times New Roman" w:hAnsi="Times New Roman" w:cs="Times New Roman"/>
          <w:sz w:val="23"/>
          <w:szCs w:val="23"/>
        </w:rPr>
        <w:br/>
        <w:t>1200 New Jersey Avenue, SE</w:t>
      </w:r>
      <w:r w:rsidR="006579C3" w:rsidRPr="00160973">
        <w:rPr>
          <w:rFonts w:ascii="Times New Roman" w:hAnsi="Times New Roman" w:cs="Times New Roman"/>
          <w:sz w:val="23"/>
          <w:szCs w:val="23"/>
        </w:rPr>
        <w:br/>
        <w:t>Washington, DC 20950</w:t>
      </w:r>
      <w:bookmarkStart w:id="17" w:name="_GoBack"/>
      <w:bookmarkEnd w:id="17"/>
    </w:p>
    <w:p w:rsidR="008A62B2" w:rsidRPr="00160973" w:rsidRDefault="008A62B2" w:rsidP="008A62B2">
      <w:pPr>
        <w:pStyle w:val="Heading1"/>
        <w:numPr>
          <w:ilvl w:val="0"/>
          <w:numId w:val="0"/>
        </w:numPr>
        <w:spacing w:before="200" w:after="200"/>
      </w:pPr>
      <w:r>
        <w:t>8</w:t>
      </w:r>
      <w:r w:rsidRPr="00160973">
        <w:t>.0 – A</w:t>
      </w:r>
      <w:r>
        <w:t>TTACHMENTS</w:t>
      </w:r>
      <w:r w:rsidRPr="00160973">
        <w:t>:</w:t>
      </w:r>
    </w:p>
    <w:p w:rsidR="008A62B2" w:rsidRDefault="008A62B2" w:rsidP="008A62B2">
      <w:pPr>
        <w:pStyle w:val="ListParagraph"/>
        <w:numPr>
          <w:ilvl w:val="0"/>
          <w:numId w:val="39"/>
        </w:numPr>
        <w:spacing w:line="240" w:lineRule="auto"/>
        <w:rPr>
          <w:rFonts w:ascii="Times New Roman" w:hAnsi="Times New Roman" w:cs="Times New Roman"/>
          <w:sz w:val="23"/>
          <w:szCs w:val="23"/>
        </w:rPr>
      </w:pPr>
      <w:r w:rsidRPr="008A62B2">
        <w:rPr>
          <w:rFonts w:ascii="Times New Roman" w:hAnsi="Times New Roman" w:cs="Times New Roman"/>
          <w:sz w:val="23"/>
          <w:szCs w:val="23"/>
        </w:rPr>
        <w:t>DOT FY 2017 SCI Plan</w:t>
      </w:r>
    </w:p>
    <w:p w:rsidR="008A62B2" w:rsidRDefault="008A62B2" w:rsidP="008A62B2">
      <w:pPr>
        <w:pStyle w:val="ListParagraph"/>
        <w:numPr>
          <w:ilvl w:val="0"/>
          <w:numId w:val="39"/>
        </w:numPr>
        <w:spacing w:line="240" w:lineRule="auto"/>
        <w:rPr>
          <w:rFonts w:ascii="Times New Roman" w:hAnsi="Times New Roman" w:cs="Times New Roman"/>
          <w:sz w:val="23"/>
          <w:szCs w:val="23"/>
        </w:rPr>
      </w:pPr>
      <w:r w:rsidRPr="00160973">
        <w:rPr>
          <w:rFonts w:ascii="Times New Roman" w:hAnsi="Times New Roman" w:cs="Times New Roman"/>
          <w:sz w:val="23"/>
          <w:szCs w:val="23"/>
        </w:rPr>
        <w:t>DOT SCI Analysis Spreadsheet Template</w:t>
      </w:r>
    </w:p>
    <w:p w:rsidR="00164577" w:rsidRPr="008A62B2" w:rsidRDefault="00164577" w:rsidP="008A62B2">
      <w:pPr>
        <w:pStyle w:val="ListParagraph"/>
        <w:numPr>
          <w:ilvl w:val="0"/>
          <w:numId w:val="39"/>
        </w:numPr>
        <w:spacing w:line="240" w:lineRule="auto"/>
        <w:rPr>
          <w:rFonts w:ascii="Times New Roman" w:hAnsi="Times New Roman" w:cs="Times New Roman"/>
          <w:sz w:val="23"/>
          <w:szCs w:val="23"/>
        </w:rPr>
      </w:pPr>
      <w:r>
        <w:rPr>
          <w:rFonts w:ascii="Times New Roman" w:hAnsi="Times New Roman" w:cs="Times New Roman"/>
          <w:sz w:val="23"/>
          <w:szCs w:val="23"/>
        </w:rPr>
        <w:t>DOT FY 2018 SCI Plan</w:t>
      </w:r>
    </w:p>
    <w:sectPr w:rsidR="00164577" w:rsidRPr="008A62B2" w:rsidSect="00920D27">
      <w:footerReference w:type="default" r:id="rId15"/>
      <w:pgSz w:w="12240" w:h="15840"/>
      <w:pgMar w:top="1152" w:right="1296" w:bottom="1152"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EEF" w:rsidRDefault="00776EEF" w:rsidP="00DB2E25">
      <w:pPr>
        <w:spacing w:after="0" w:line="240" w:lineRule="auto"/>
      </w:pPr>
      <w:r>
        <w:separator/>
      </w:r>
    </w:p>
  </w:endnote>
  <w:endnote w:type="continuationSeparator" w:id="0">
    <w:p w:rsidR="00776EEF" w:rsidRDefault="00776EEF" w:rsidP="00DB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3C" w:rsidRDefault="00375D3C">
    <w:pPr>
      <w:pStyle w:val="Footer"/>
    </w:pPr>
  </w:p>
  <w:p w:rsidR="00375D3C" w:rsidRDefault="00375D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3C" w:rsidRDefault="00375D3C">
    <w:pPr>
      <w:pStyle w:val="Footer"/>
    </w:pPr>
  </w:p>
  <w:p w:rsidR="00375D3C" w:rsidRDefault="00375D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033972"/>
      <w:docPartObj>
        <w:docPartGallery w:val="Page Numbers (Bottom of Page)"/>
        <w:docPartUnique/>
      </w:docPartObj>
    </w:sdtPr>
    <w:sdtEndPr>
      <w:rPr>
        <w:noProof/>
      </w:rPr>
    </w:sdtEndPr>
    <w:sdtContent>
      <w:p w:rsidR="00375D3C" w:rsidRDefault="00375D3C" w:rsidP="00F13A53">
        <w:pPr>
          <w:pStyle w:val="Footer"/>
          <w:jc w:val="center"/>
        </w:pPr>
      </w:p>
      <w:p w:rsidR="00375D3C" w:rsidRDefault="00375D3C" w:rsidP="00F13A53">
        <w:pPr>
          <w:pStyle w:val="Footer"/>
          <w:jc w:val="center"/>
        </w:pPr>
        <w:r w:rsidRPr="00481506">
          <w:rPr>
            <w:rFonts w:ascii="Times New Roman" w:hAnsi="Times New Roman" w:cs="Times New Roman"/>
            <w:sz w:val="20"/>
            <w:szCs w:val="20"/>
          </w:rPr>
          <w:fldChar w:fldCharType="begin"/>
        </w:r>
        <w:r w:rsidRPr="00481506">
          <w:rPr>
            <w:rFonts w:ascii="Times New Roman" w:hAnsi="Times New Roman" w:cs="Times New Roman"/>
            <w:sz w:val="20"/>
            <w:szCs w:val="20"/>
          </w:rPr>
          <w:instrText xml:space="preserve"> PAGE   \* MERGEFORMAT </w:instrText>
        </w:r>
        <w:r w:rsidRPr="00481506">
          <w:rPr>
            <w:rFonts w:ascii="Times New Roman" w:hAnsi="Times New Roman" w:cs="Times New Roman"/>
            <w:sz w:val="20"/>
            <w:szCs w:val="20"/>
          </w:rPr>
          <w:fldChar w:fldCharType="separate"/>
        </w:r>
        <w:r w:rsidR="00164577">
          <w:rPr>
            <w:rFonts w:ascii="Times New Roman" w:hAnsi="Times New Roman" w:cs="Times New Roman"/>
            <w:noProof/>
            <w:sz w:val="20"/>
            <w:szCs w:val="20"/>
          </w:rPr>
          <w:t>9</w:t>
        </w:r>
        <w:r w:rsidRPr="00481506">
          <w:rPr>
            <w:rFonts w:ascii="Times New Roman" w:hAnsi="Times New Roman" w:cs="Times New Roman"/>
            <w:noProof/>
            <w:sz w:val="20"/>
            <w:szCs w:val="20"/>
          </w:rPr>
          <w:fldChar w:fldCharType="end"/>
        </w:r>
      </w:p>
    </w:sdtContent>
  </w:sdt>
  <w:p w:rsidR="00375D3C" w:rsidRDefault="00375D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EEF" w:rsidRDefault="00776EEF" w:rsidP="00DB2E25">
      <w:pPr>
        <w:spacing w:after="0" w:line="240" w:lineRule="auto"/>
      </w:pPr>
      <w:r>
        <w:separator/>
      </w:r>
    </w:p>
  </w:footnote>
  <w:footnote w:type="continuationSeparator" w:id="0">
    <w:p w:rsidR="00776EEF" w:rsidRDefault="00776EEF" w:rsidP="00DB2E25">
      <w:pPr>
        <w:spacing w:after="0" w:line="240" w:lineRule="auto"/>
      </w:pPr>
      <w:r>
        <w:continuationSeparator/>
      </w:r>
    </w:p>
  </w:footnote>
  <w:footnote w:id="1">
    <w:p w:rsidR="00375D3C" w:rsidRDefault="00375D3C">
      <w:pPr>
        <w:pStyle w:val="FootnoteText"/>
      </w:pPr>
      <w:r>
        <w:rPr>
          <w:rStyle w:val="FootnoteReference"/>
        </w:rPr>
        <w:footnoteRef/>
      </w:r>
      <w:r>
        <w:t xml:space="preserve"> Service Contract Inventory Requirement.  Public Law 111-117. Section 743. December 16, 2009. </w:t>
      </w:r>
    </w:p>
  </w:footnote>
  <w:footnote w:id="2">
    <w:p w:rsidR="00375D3C" w:rsidRDefault="00375D3C">
      <w:pPr>
        <w:pStyle w:val="FootnoteText"/>
      </w:pPr>
      <w:r>
        <w:rPr>
          <w:rStyle w:val="FootnoteReference"/>
        </w:rPr>
        <w:footnoteRef/>
      </w:r>
      <w:r w:rsidRPr="006370E8">
        <w:t xml:space="preserve"> Federal Procurement Data System-Next Generation (FPDS-NG) as of February 22, 2018</w:t>
      </w:r>
    </w:p>
  </w:footnote>
  <w:footnote w:id="3">
    <w:p w:rsidR="00375D3C" w:rsidRDefault="00375D3C">
      <w:pPr>
        <w:pStyle w:val="FootnoteText"/>
      </w:pPr>
      <w:r>
        <w:rPr>
          <w:rStyle w:val="FootnoteReference"/>
        </w:rPr>
        <w:footnoteRef/>
      </w:r>
      <w:r w:rsidR="00775653">
        <w:t xml:space="preserve"> OMB identified the following 16</w:t>
      </w:r>
      <w:r>
        <w:t xml:space="preserve"> PSCs for the purpose of this review: </w:t>
      </w:r>
      <w:r w:rsidR="00775653">
        <w:t xml:space="preserve">AD26 R&amp;D – Defense Other: Services (Management/Support), AD61 R&amp;D – Defense Other: Construction (Basic Research), </w:t>
      </w:r>
      <w:r w:rsidR="00BF1A6D">
        <w:t xml:space="preserve">D302 IT and Telecom - System Development, D307 IT and Telecom – IT Strategy and Architecture, D310 IT and Telecom – Cyber Security and Data Backup, D314 IT and Telecom – System Acquisition Support, D316 IT and Telecom – Telecommunication Network and Management, D399 IT and Telecom – Other IT and Telecommunications, R408 Support- Professional: Program Management/Support, </w:t>
      </w:r>
      <w:r w:rsidR="00E04641">
        <w:t xml:space="preserve">R413 Systems Engineering Services, </w:t>
      </w:r>
      <w:r>
        <w:t xml:space="preserve">R414 Systems Engineering Services, </w:t>
      </w:r>
      <w:r w:rsidR="00E04641">
        <w:t>R421 Technical Assistance,</w:t>
      </w:r>
      <w:r w:rsidR="00E04641" w:rsidRPr="00E04641">
        <w:t xml:space="preserve"> </w:t>
      </w:r>
      <w:r w:rsidR="00F70F03">
        <w:t xml:space="preserve">R425 Support – Professional: </w:t>
      </w:r>
      <w:r w:rsidR="00E04641">
        <w:t xml:space="preserve">Engineering/Technical, </w:t>
      </w:r>
      <w:r w:rsidR="00E04641" w:rsidRPr="00E04641">
        <w:t>R497 Support – Professional: Personal Services Contracts</w:t>
      </w:r>
      <w:r w:rsidR="00E04641">
        <w:t xml:space="preserve">, </w:t>
      </w:r>
      <w:r w:rsidR="00F70F03">
        <w:t xml:space="preserve">R499 Support – Professional: Other, </w:t>
      </w:r>
      <w:r w:rsidR="00E04641">
        <w:t>R707 Support Management: Contract/Procurement/Acquisition Support</w:t>
      </w:r>
      <w:r w:rsidRPr="00E04641">
        <w:t>.</w:t>
      </w:r>
      <w:r>
        <w:t xml:space="preserve"> </w:t>
      </w:r>
    </w:p>
  </w:footnote>
  <w:footnote w:id="4">
    <w:p w:rsidR="00375D3C" w:rsidRDefault="00375D3C" w:rsidP="002E668F">
      <w:pPr>
        <w:pStyle w:val="FootnoteText"/>
      </w:pPr>
      <w:r>
        <w:rPr>
          <w:rStyle w:val="FootnoteReference"/>
        </w:rPr>
        <w:footnoteRef/>
      </w:r>
      <w:r>
        <w:t xml:space="preserve">OMB’s SCI requirements include assessment of desired outcomes being met per Public Law (PL) 111-117, Section 743, dated December 16, 2009. </w:t>
      </w:r>
    </w:p>
  </w:footnote>
  <w:footnote w:id="5">
    <w:p w:rsidR="00375D3C" w:rsidRDefault="00375D3C">
      <w:pPr>
        <w:pStyle w:val="FootnoteText"/>
      </w:pPr>
      <w:r>
        <w:rPr>
          <w:rStyle w:val="FootnoteReference"/>
        </w:rPr>
        <w:footnoteRef/>
      </w:r>
      <w:r>
        <w:t xml:space="preserve"> The Federal Acquisition Regulation (FAR) defines a personal services contract as “</w:t>
      </w:r>
      <w:r>
        <w:rPr>
          <w:lang w:val="en"/>
        </w:rPr>
        <w:t>a contract that, by its express terms or as administered, makes the contractor personnel appear to be, in effect, Government employees.”</w:t>
      </w:r>
    </w:p>
  </w:footnote>
  <w:footnote w:id="6">
    <w:p w:rsidR="00375D3C" w:rsidRDefault="00375D3C">
      <w:pPr>
        <w:pStyle w:val="FootnoteText"/>
      </w:pPr>
      <w:r>
        <w:rPr>
          <w:rStyle w:val="FootnoteReference"/>
        </w:rPr>
        <w:footnoteRef/>
      </w:r>
      <w:r>
        <w:t xml:space="preserve"> </w:t>
      </w:r>
      <w:r w:rsidRPr="00426C83">
        <w:t>OMB Policy Letter 11-01</w:t>
      </w:r>
      <w:r>
        <w:t xml:space="preserve"> defines inherently governmental functions as, “</w:t>
      </w:r>
      <w:r w:rsidRPr="00426C83">
        <w:t>a function that is so intimately related to the public interest as to require performance by Federal Government employees</w:t>
      </w:r>
      <w:r>
        <w:t>.”</w:t>
      </w:r>
    </w:p>
  </w:footnote>
  <w:footnote w:id="7">
    <w:p w:rsidR="00375D3C" w:rsidRPr="00426C83" w:rsidRDefault="00375D3C" w:rsidP="00426C83">
      <w:pPr>
        <w:pStyle w:val="FootnoteText"/>
      </w:pPr>
      <w:r>
        <w:rPr>
          <w:rStyle w:val="FootnoteReference"/>
        </w:rPr>
        <w:footnoteRef/>
      </w:r>
      <w:r>
        <w:t xml:space="preserve"> OMB Policy Letter 11-01 states that closely associated to inherently governmental functions, “</w:t>
      </w:r>
      <w:r w:rsidRPr="00426C83">
        <w:t>approach being</w:t>
      </w:r>
      <w:r>
        <w:t>… [inherently governmental]</w:t>
      </w:r>
      <w:r w:rsidRPr="00426C83">
        <w:t xml:space="preserve"> because of</w:t>
      </w:r>
      <w:r>
        <w:t xml:space="preserve"> </w:t>
      </w:r>
      <w:r w:rsidRPr="00426C83">
        <w:t>the nature of the function and the risk that performance may impinge on Federal</w:t>
      </w:r>
      <w:r>
        <w:t xml:space="preserve"> </w:t>
      </w:r>
      <w:r w:rsidRPr="00426C83">
        <w:t>officials’ performance of an inherently governmental function, agencies must give</w:t>
      </w:r>
    </w:p>
    <w:p w:rsidR="00375D3C" w:rsidRDefault="00375D3C" w:rsidP="00426C83">
      <w:pPr>
        <w:pStyle w:val="FootnoteText"/>
      </w:pPr>
      <w:r w:rsidRPr="00426C83">
        <w:t>special consideration to using Federal employees to perform these functions</w:t>
      </w:r>
      <w:r>
        <w:t>.</w:t>
      </w:r>
    </w:p>
  </w:footnote>
  <w:footnote w:id="8">
    <w:p w:rsidR="00375D3C" w:rsidRDefault="00375D3C">
      <w:pPr>
        <w:pStyle w:val="FootnoteText"/>
      </w:pPr>
      <w:r>
        <w:rPr>
          <w:rStyle w:val="FootnoteReference"/>
        </w:rPr>
        <w:footnoteRef/>
      </w:r>
      <w:r>
        <w:t xml:space="preserve"> </w:t>
      </w:r>
      <w:r w:rsidRPr="00426C83">
        <w:t>OMB Policy Letter 11-01</w:t>
      </w:r>
      <w:r>
        <w:t xml:space="preserve"> defines</w:t>
      </w:r>
      <w:r w:rsidRPr="00426C83">
        <w:t xml:space="preserve"> </w:t>
      </w:r>
      <w:r>
        <w:t>a critical function as, “</w:t>
      </w:r>
      <w:r w:rsidRPr="00426C83">
        <w:t>a function that is necessary to the agency being able to effectively perform and maintain control of its mission and operation</w:t>
      </w:r>
      <w:r>
        <w:t>s.”</w:t>
      </w:r>
    </w:p>
  </w:footnote>
  <w:footnote w:id="9">
    <w:p w:rsidR="00375D3C" w:rsidRDefault="00375D3C">
      <w:pPr>
        <w:pStyle w:val="FootnoteText"/>
      </w:pPr>
      <w:r>
        <w:rPr>
          <w:rStyle w:val="FootnoteReference"/>
        </w:rPr>
        <w:footnoteRef/>
      </w:r>
      <w:r>
        <w:t xml:space="preserve"> For FY 2017, the SAT was $150K.</w:t>
      </w:r>
    </w:p>
  </w:footnote>
  <w:footnote w:id="10">
    <w:p w:rsidR="00375D3C" w:rsidRDefault="00375D3C">
      <w:pPr>
        <w:pStyle w:val="FootnoteText"/>
      </w:pPr>
      <w:r>
        <w:rPr>
          <w:rStyle w:val="FootnoteReference"/>
        </w:rPr>
        <w:footnoteRef/>
      </w:r>
      <w:r>
        <w:t xml:space="preserve"> DOT has ten Operating Administrations (or bureaus), they are as follows: Federal Aviation Administration, Federal Highway Administration, Federal Motor Carrier Safety Administration, Federal Railroad Administration, Federal Transit Administration, Office of the Secretary of Transportation, Maritime Administration, National Highway Traffic Safety Administration, Pipeline and Hazardous Materials Safety Administration and Saint Lawrence Seaway Development Corporation.</w:t>
      </w:r>
    </w:p>
  </w:footnote>
  <w:footnote w:id="11">
    <w:p w:rsidR="00375D3C" w:rsidRDefault="00375D3C" w:rsidP="009F6326">
      <w:pPr>
        <w:pStyle w:val="FootnoteText"/>
      </w:pPr>
      <w:r>
        <w:rPr>
          <w:rStyle w:val="FootnoteReference"/>
        </w:rPr>
        <w:footnoteRef/>
      </w:r>
      <w:r>
        <w:t xml:space="preserve"> PL 111-117, Section 743(e)(2)(A) requirement.</w:t>
      </w:r>
    </w:p>
  </w:footnote>
  <w:footnote w:id="12">
    <w:p w:rsidR="00375D3C" w:rsidRDefault="00375D3C" w:rsidP="009F6326">
      <w:pPr>
        <w:pStyle w:val="FootnoteText"/>
      </w:pPr>
      <w:r>
        <w:rPr>
          <w:rStyle w:val="FootnoteReference"/>
        </w:rPr>
        <w:footnoteRef/>
      </w:r>
      <w:r>
        <w:t xml:space="preserve"> PL 111-117, Section 743(e)(2)(B) though (D) requirement.</w:t>
      </w:r>
    </w:p>
  </w:footnote>
  <w:footnote w:id="13">
    <w:p w:rsidR="00375D3C" w:rsidRDefault="00375D3C" w:rsidP="00107FA4">
      <w:pPr>
        <w:pStyle w:val="FootnoteText"/>
      </w:pPr>
      <w:r>
        <w:rPr>
          <w:rStyle w:val="FootnoteReference"/>
        </w:rPr>
        <w:footnoteRef/>
      </w:r>
      <w:r>
        <w:t xml:space="preserve"> PL 111-117, Section 743(e)(2)(E) requirement. </w:t>
      </w:r>
      <w:r w:rsidRPr="00EB40FF">
        <w:t>OMB defines critical function as a function that is necessary to the agency being able to effectively perform and</w:t>
      </w:r>
      <w:r>
        <w:t xml:space="preserve"> </w:t>
      </w:r>
      <w:r w:rsidRPr="00EB40FF">
        <w:t>maintain control of its mission and operations. Typically, critical functions are recurring and long-term in duration.</w:t>
      </w:r>
      <w:r>
        <w:rPr>
          <w:sz w:val="24"/>
          <w:szCs w:val="24"/>
        </w:rPr>
        <w:t xml:space="preserve"> </w:t>
      </w:r>
    </w:p>
  </w:footnote>
  <w:footnote w:id="14">
    <w:p w:rsidR="00375D3C" w:rsidRDefault="00375D3C">
      <w:pPr>
        <w:pStyle w:val="FootnoteText"/>
      </w:pPr>
      <w:r>
        <w:rPr>
          <w:rStyle w:val="FootnoteReference"/>
        </w:rPr>
        <w:footnoteRef/>
      </w:r>
      <w:r>
        <w:t xml:space="preserve"> Excluding FAA.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3C" w:rsidRDefault="00375D3C">
    <w:pPr>
      <w:pStyle w:val="Header"/>
    </w:pPr>
  </w:p>
  <w:p w:rsidR="00375D3C" w:rsidRDefault="00375D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3C" w:rsidRDefault="00375D3C">
    <w:pPr>
      <w:pStyle w:val="Header"/>
    </w:pPr>
  </w:p>
  <w:p w:rsidR="00375D3C" w:rsidRDefault="00375D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05F"/>
    <w:multiLevelType w:val="hybridMultilevel"/>
    <w:tmpl w:val="3CC265F0"/>
    <w:lvl w:ilvl="0" w:tplc="0409000F">
      <w:start w:val="1"/>
      <w:numFmt w:val="decimal"/>
      <w:lvlText w:val="%1."/>
      <w:lvlJc w:val="left"/>
      <w:pPr>
        <w:ind w:left="720" w:hanging="360"/>
      </w:pPr>
    </w:lvl>
    <w:lvl w:ilvl="1" w:tplc="96B042FA">
      <w:start w:val="1"/>
      <w:numFmt w:val="lowerRoman"/>
      <w:lvlText w:val="(%2)"/>
      <w:lvlJc w:val="left"/>
      <w:pPr>
        <w:ind w:left="1260" w:hanging="720"/>
      </w:pPr>
    </w:lvl>
    <w:lvl w:ilvl="2" w:tplc="1B448A42">
      <w:numFmt w:val="bullet"/>
      <w:lvlText w:val="•"/>
      <w:lvlJc w:val="left"/>
      <w:pPr>
        <w:ind w:left="2340" w:hanging="360"/>
      </w:pPr>
      <w:rPr>
        <w:rFonts w:ascii="Times New Roman" w:eastAsia="Times New Roman" w:hAnsi="Times New Roman" w:cs="Times New Roman" w:hint="default"/>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2527BE"/>
    <w:multiLevelType w:val="hybridMultilevel"/>
    <w:tmpl w:val="9084C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F4E9D5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B77E9"/>
    <w:multiLevelType w:val="hybridMultilevel"/>
    <w:tmpl w:val="EE8AD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D0174A"/>
    <w:multiLevelType w:val="hybridMultilevel"/>
    <w:tmpl w:val="B628C7A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8082C"/>
    <w:multiLevelType w:val="hybridMultilevel"/>
    <w:tmpl w:val="84BA66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C8D7702"/>
    <w:multiLevelType w:val="hybridMultilevel"/>
    <w:tmpl w:val="1A7454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62FBB"/>
    <w:multiLevelType w:val="hybridMultilevel"/>
    <w:tmpl w:val="B792F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334A0"/>
    <w:multiLevelType w:val="hybridMultilevel"/>
    <w:tmpl w:val="2812C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8" w15:restartNumberingAfterBreak="0">
    <w:nsid w:val="2872467B"/>
    <w:multiLevelType w:val="hybridMultilevel"/>
    <w:tmpl w:val="03D8F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202A2"/>
    <w:multiLevelType w:val="hybridMultilevel"/>
    <w:tmpl w:val="36801B78"/>
    <w:lvl w:ilvl="0" w:tplc="0409000F">
      <w:start w:val="1"/>
      <w:numFmt w:val="decimal"/>
      <w:lvlText w:val="%1."/>
      <w:lvlJc w:val="left"/>
      <w:pPr>
        <w:ind w:left="360" w:hanging="360"/>
      </w:pPr>
    </w:lvl>
    <w:lvl w:ilvl="1" w:tplc="444C643E">
      <w:start w:val="1"/>
      <w:numFmt w:val="decimal"/>
      <w:lvlText w:val="%2."/>
      <w:lvlJc w:val="left"/>
      <w:pPr>
        <w:ind w:left="1080" w:hanging="360"/>
      </w:pPr>
      <w:rPr>
        <w:rFonts w:ascii="Times New Roman" w:eastAsiaTheme="minorHAnsi" w:hAnsi="Times New Roman" w:cs="Times New Roman"/>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D8757FE"/>
    <w:multiLevelType w:val="hybridMultilevel"/>
    <w:tmpl w:val="FA18FB6A"/>
    <w:lvl w:ilvl="0" w:tplc="FF78668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EEB1AF1"/>
    <w:multiLevelType w:val="hybridMultilevel"/>
    <w:tmpl w:val="90E0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471CB"/>
    <w:multiLevelType w:val="hybridMultilevel"/>
    <w:tmpl w:val="A31C058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A4D4B"/>
    <w:multiLevelType w:val="hybridMultilevel"/>
    <w:tmpl w:val="F548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769D5"/>
    <w:multiLevelType w:val="hybridMultilevel"/>
    <w:tmpl w:val="ED580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070F25"/>
    <w:multiLevelType w:val="hybridMultilevel"/>
    <w:tmpl w:val="7EF6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52306B"/>
    <w:multiLevelType w:val="hybridMultilevel"/>
    <w:tmpl w:val="65EA23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020E6"/>
    <w:multiLevelType w:val="hybridMultilevel"/>
    <w:tmpl w:val="861A1A8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8452C"/>
    <w:multiLevelType w:val="hybridMultilevel"/>
    <w:tmpl w:val="E80002E6"/>
    <w:lvl w:ilvl="0" w:tplc="AE4C20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D6DA8"/>
    <w:multiLevelType w:val="hybridMultilevel"/>
    <w:tmpl w:val="62245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8A750F"/>
    <w:multiLevelType w:val="hybridMultilevel"/>
    <w:tmpl w:val="13CCE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A54A29"/>
    <w:multiLevelType w:val="multilevel"/>
    <w:tmpl w:val="617C4874"/>
    <w:lvl w:ilvl="0">
      <w:start w:val="1"/>
      <w:numFmt w:val="decimal"/>
      <w:pStyle w:val="Heading1"/>
      <w:lvlText w:val="%1.0"/>
      <w:lvlJc w:val="left"/>
      <w:pPr>
        <w:tabs>
          <w:tab w:val="num" w:pos="720"/>
        </w:tabs>
        <w:ind w:left="72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080"/>
        </w:tabs>
        <w:ind w:left="1080" w:hanging="720"/>
      </w:pPr>
      <w:rPr>
        <w:rFonts w:hint="default"/>
      </w:rPr>
    </w:lvl>
    <w:lvl w:ilvl="2">
      <w:start w:val="1"/>
      <w:numFmt w:val="decimal"/>
      <w:pStyle w:val="Heading3"/>
      <w:lvlText w:val="%1.%2.%3"/>
      <w:lvlJc w:val="left"/>
      <w:pPr>
        <w:tabs>
          <w:tab w:val="num" w:pos="864"/>
        </w:tabs>
        <w:ind w:left="864" w:hanging="14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2" w15:restartNumberingAfterBreak="0">
    <w:nsid w:val="56F07B1D"/>
    <w:multiLevelType w:val="multilevel"/>
    <w:tmpl w:val="63C6FE8A"/>
    <w:lvl w:ilvl="0">
      <w:start w:val="1"/>
      <w:numFmt w:val="decimal"/>
      <w:lvlText w:val="%1."/>
      <w:lvlJc w:val="left"/>
      <w:pPr>
        <w:ind w:left="720" w:hanging="360"/>
      </w:pPr>
    </w:lvl>
    <w:lvl w:ilvl="1">
      <w:numFmt w:val="decimal"/>
      <w:isLgl/>
      <w:lvlText w:val="%1.%2"/>
      <w:lvlJc w:val="left"/>
      <w:pPr>
        <w:ind w:left="803" w:hanging="44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BEC4626"/>
    <w:multiLevelType w:val="hybridMultilevel"/>
    <w:tmpl w:val="CCF21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F2B16"/>
    <w:multiLevelType w:val="hybridMultilevel"/>
    <w:tmpl w:val="D4348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941AEB"/>
    <w:multiLevelType w:val="hybridMultilevel"/>
    <w:tmpl w:val="D0806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C3E3E"/>
    <w:multiLevelType w:val="hybridMultilevel"/>
    <w:tmpl w:val="F238D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04D7A"/>
    <w:multiLevelType w:val="hybridMultilevel"/>
    <w:tmpl w:val="E37A5030"/>
    <w:lvl w:ilvl="0" w:tplc="11822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F172B6"/>
    <w:multiLevelType w:val="hybridMultilevel"/>
    <w:tmpl w:val="09544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501CB2"/>
    <w:multiLevelType w:val="hybridMultilevel"/>
    <w:tmpl w:val="10CC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63E26"/>
    <w:multiLevelType w:val="hybridMultilevel"/>
    <w:tmpl w:val="CF7EA056"/>
    <w:lvl w:ilvl="0" w:tplc="7E0AE7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20029E"/>
    <w:multiLevelType w:val="hybridMultilevel"/>
    <w:tmpl w:val="DA2A1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F97A0C"/>
    <w:multiLevelType w:val="hybridMultilevel"/>
    <w:tmpl w:val="57863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F460A1"/>
    <w:multiLevelType w:val="hybridMultilevel"/>
    <w:tmpl w:val="A4A87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6966A1"/>
    <w:multiLevelType w:val="hybridMultilevel"/>
    <w:tmpl w:val="FECA34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E56100C"/>
    <w:multiLevelType w:val="hybridMultilevel"/>
    <w:tmpl w:val="8FF6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74486"/>
    <w:multiLevelType w:val="hybridMultilevel"/>
    <w:tmpl w:val="1860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35"/>
  </w:num>
  <w:num w:numId="4">
    <w:abstractNumId w:val="19"/>
  </w:num>
  <w:num w:numId="5">
    <w:abstractNumId w:val="9"/>
  </w:num>
  <w:num w:numId="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9"/>
  </w:num>
  <w:num w:numId="9">
    <w:abstractNumId w:val="9"/>
  </w:num>
  <w:num w:numId="10">
    <w:abstractNumId w:val="0"/>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8"/>
  </w:num>
  <w:num w:numId="15">
    <w:abstractNumId w:val="18"/>
  </w:num>
  <w:num w:numId="16">
    <w:abstractNumId w:val="32"/>
  </w:num>
  <w:num w:numId="17">
    <w:abstractNumId w:val="7"/>
  </w:num>
  <w:num w:numId="18">
    <w:abstractNumId w:val="5"/>
  </w:num>
  <w:num w:numId="19">
    <w:abstractNumId w:val="17"/>
  </w:num>
  <w:num w:numId="20">
    <w:abstractNumId w:val="34"/>
  </w:num>
  <w:num w:numId="21">
    <w:abstractNumId w:val="4"/>
  </w:num>
  <w:num w:numId="22">
    <w:abstractNumId w:val="28"/>
  </w:num>
  <w:num w:numId="23">
    <w:abstractNumId w:val="3"/>
  </w:num>
  <w:num w:numId="24">
    <w:abstractNumId w:val="13"/>
  </w:num>
  <w:num w:numId="25">
    <w:abstractNumId w:val="11"/>
  </w:num>
  <w:num w:numId="26">
    <w:abstractNumId w:val="30"/>
  </w:num>
  <w:num w:numId="27">
    <w:abstractNumId w:val="22"/>
  </w:num>
  <w:num w:numId="28">
    <w:abstractNumId w:val="23"/>
  </w:num>
  <w:num w:numId="29">
    <w:abstractNumId w:val="27"/>
  </w:num>
  <w:num w:numId="30">
    <w:abstractNumId w:val="24"/>
  </w:num>
  <w:num w:numId="31">
    <w:abstractNumId w:val="31"/>
  </w:num>
  <w:num w:numId="32">
    <w:abstractNumId w:val="1"/>
  </w:num>
  <w:num w:numId="33">
    <w:abstractNumId w:val="14"/>
  </w:num>
  <w:num w:numId="34">
    <w:abstractNumId w:val="2"/>
  </w:num>
  <w:num w:numId="35">
    <w:abstractNumId w:val="12"/>
  </w:num>
  <w:num w:numId="36">
    <w:abstractNumId w:val="15"/>
  </w:num>
  <w:num w:numId="37">
    <w:abstractNumId w:val="33"/>
  </w:num>
  <w:num w:numId="38">
    <w:abstractNumId w:val="6"/>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8E"/>
    <w:rsid w:val="00000614"/>
    <w:rsid w:val="000042ED"/>
    <w:rsid w:val="0000482A"/>
    <w:rsid w:val="00016EEC"/>
    <w:rsid w:val="00024F0A"/>
    <w:rsid w:val="000256FB"/>
    <w:rsid w:val="00027331"/>
    <w:rsid w:val="00036B8B"/>
    <w:rsid w:val="0004754F"/>
    <w:rsid w:val="0005242F"/>
    <w:rsid w:val="00057516"/>
    <w:rsid w:val="00057F11"/>
    <w:rsid w:val="00062233"/>
    <w:rsid w:val="000643B0"/>
    <w:rsid w:val="000660B6"/>
    <w:rsid w:val="00067743"/>
    <w:rsid w:val="00067B6D"/>
    <w:rsid w:val="000702B6"/>
    <w:rsid w:val="00087BF4"/>
    <w:rsid w:val="000925FC"/>
    <w:rsid w:val="000A6253"/>
    <w:rsid w:val="000B3748"/>
    <w:rsid w:val="000B7704"/>
    <w:rsid w:val="000C0904"/>
    <w:rsid w:val="000C0CCC"/>
    <w:rsid w:val="000C4363"/>
    <w:rsid w:val="000D062A"/>
    <w:rsid w:val="000D1825"/>
    <w:rsid w:val="000D1D1D"/>
    <w:rsid w:val="000D5B53"/>
    <w:rsid w:val="000F0AD1"/>
    <w:rsid w:val="000F0FA2"/>
    <w:rsid w:val="00100588"/>
    <w:rsid w:val="0010061C"/>
    <w:rsid w:val="00107FA4"/>
    <w:rsid w:val="00113489"/>
    <w:rsid w:val="0012119E"/>
    <w:rsid w:val="001215BB"/>
    <w:rsid w:val="00122811"/>
    <w:rsid w:val="00122869"/>
    <w:rsid w:val="00126694"/>
    <w:rsid w:val="00126A3A"/>
    <w:rsid w:val="001377FF"/>
    <w:rsid w:val="0013782C"/>
    <w:rsid w:val="0014139D"/>
    <w:rsid w:val="00143D11"/>
    <w:rsid w:val="00146701"/>
    <w:rsid w:val="00147BB6"/>
    <w:rsid w:val="00160973"/>
    <w:rsid w:val="00164577"/>
    <w:rsid w:val="00166376"/>
    <w:rsid w:val="00173169"/>
    <w:rsid w:val="001763D0"/>
    <w:rsid w:val="0019264E"/>
    <w:rsid w:val="00193E92"/>
    <w:rsid w:val="001A080C"/>
    <w:rsid w:val="001A117E"/>
    <w:rsid w:val="001A2CAF"/>
    <w:rsid w:val="001A67A4"/>
    <w:rsid w:val="001B0E61"/>
    <w:rsid w:val="001B31DD"/>
    <w:rsid w:val="001E009A"/>
    <w:rsid w:val="001F3718"/>
    <w:rsid w:val="002065C3"/>
    <w:rsid w:val="00210BED"/>
    <w:rsid w:val="00212EDE"/>
    <w:rsid w:val="002156DA"/>
    <w:rsid w:val="002201CD"/>
    <w:rsid w:val="00220218"/>
    <w:rsid w:val="00221CFB"/>
    <w:rsid w:val="002224A8"/>
    <w:rsid w:val="00222A70"/>
    <w:rsid w:val="00232C4A"/>
    <w:rsid w:val="00236477"/>
    <w:rsid w:val="002422C3"/>
    <w:rsid w:val="0024428C"/>
    <w:rsid w:val="00253DB2"/>
    <w:rsid w:val="002605B3"/>
    <w:rsid w:val="002651FC"/>
    <w:rsid w:val="0026754F"/>
    <w:rsid w:val="0027405C"/>
    <w:rsid w:val="00281BC2"/>
    <w:rsid w:val="0028513C"/>
    <w:rsid w:val="00290857"/>
    <w:rsid w:val="002A1325"/>
    <w:rsid w:val="002B12D2"/>
    <w:rsid w:val="002B681F"/>
    <w:rsid w:val="002C2E0B"/>
    <w:rsid w:val="002C4BB6"/>
    <w:rsid w:val="002C6A2E"/>
    <w:rsid w:val="002C6D9B"/>
    <w:rsid w:val="002D1F35"/>
    <w:rsid w:val="002D2A24"/>
    <w:rsid w:val="002D4177"/>
    <w:rsid w:val="002D57C5"/>
    <w:rsid w:val="002E668F"/>
    <w:rsid w:val="002E774C"/>
    <w:rsid w:val="002F5C44"/>
    <w:rsid w:val="003051ED"/>
    <w:rsid w:val="003176CA"/>
    <w:rsid w:val="0032182C"/>
    <w:rsid w:val="003263B2"/>
    <w:rsid w:val="0033529F"/>
    <w:rsid w:val="0034248C"/>
    <w:rsid w:val="0034606C"/>
    <w:rsid w:val="00350693"/>
    <w:rsid w:val="0036683A"/>
    <w:rsid w:val="00374C76"/>
    <w:rsid w:val="003751DF"/>
    <w:rsid w:val="00375D3C"/>
    <w:rsid w:val="003821FB"/>
    <w:rsid w:val="00383976"/>
    <w:rsid w:val="00384682"/>
    <w:rsid w:val="00387F44"/>
    <w:rsid w:val="003906B1"/>
    <w:rsid w:val="003B3092"/>
    <w:rsid w:val="003B4FF5"/>
    <w:rsid w:val="003B75D9"/>
    <w:rsid w:val="003E04D5"/>
    <w:rsid w:val="003E0718"/>
    <w:rsid w:val="003E36C7"/>
    <w:rsid w:val="003E6268"/>
    <w:rsid w:val="004123BE"/>
    <w:rsid w:val="00412DE8"/>
    <w:rsid w:val="00416F84"/>
    <w:rsid w:val="00426A97"/>
    <w:rsid w:val="00426C83"/>
    <w:rsid w:val="0042707C"/>
    <w:rsid w:val="004340E8"/>
    <w:rsid w:val="0043756B"/>
    <w:rsid w:val="004417D1"/>
    <w:rsid w:val="004446BA"/>
    <w:rsid w:val="00444A99"/>
    <w:rsid w:val="004574BD"/>
    <w:rsid w:val="00460A30"/>
    <w:rsid w:val="0047180E"/>
    <w:rsid w:val="00481506"/>
    <w:rsid w:val="00483BFA"/>
    <w:rsid w:val="00485121"/>
    <w:rsid w:val="0048513E"/>
    <w:rsid w:val="00490AD0"/>
    <w:rsid w:val="0049772F"/>
    <w:rsid w:val="004A465C"/>
    <w:rsid w:val="004A49B5"/>
    <w:rsid w:val="004A502C"/>
    <w:rsid w:val="004A65C9"/>
    <w:rsid w:val="004A7442"/>
    <w:rsid w:val="004B2A9D"/>
    <w:rsid w:val="004B4188"/>
    <w:rsid w:val="004C10C5"/>
    <w:rsid w:val="004C42DA"/>
    <w:rsid w:val="004C69AB"/>
    <w:rsid w:val="004D67C1"/>
    <w:rsid w:val="004F2F27"/>
    <w:rsid w:val="005234B8"/>
    <w:rsid w:val="005261EA"/>
    <w:rsid w:val="00526FC1"/>
    <w:rsid w:val="00535A0A"/>
    <w:rsid w:val="00535C53"/>
    <w:rsid w:val="00542B3D"/>
    <w:rsid w:val="00552D43"/>
    <w:rsid w:val="005610B1"/>
    <w:rsid w:val="0056287B"/>
    <w:rsid w:val="00563FAC"/>
    <w:rsid w:val="00567E51"/>
    <w:rsid w:val="00573BFA"/>
    <w:rsid w:val="00573D60"/>
    <w:rsid w:val="00577585"/>
    <w:rsid w:val="0057774E"/>
    <w:rsid w:val="00580854"/>
    <w:rsid w:val="00582677"/>
    <w:rsid w:val="00593143"/>
    <w:rsid w:val="005A034D"/>
    <w:rsid w:val="005A37C7"/>
    <w:rsid w:val="005A53D4"/>
    <w:rsid w:val="005A7D27"/>
    <w:rsid w:val="005B3674"/>
    <w:rsid w:val="005B6C3F"/>
    <w:rsid w:val="005B773F"/>
    <w:rsid w:val="005C7A9C"/>
    <w:rsid w:val="005D2120"/>
    <w:rsid w:val="005D4B20"/>
    <w:rsid w:val="005E02A0"/>
    <w:rsid w:val="005E0882"/>
    <w:rsid w:val="005E1F70"/>
    <w:rsid w:val="006014AC"/>
    <w:rsid w:val="00602AD4"/>
    <w:rsid w:val="00603C12"/>
    <w:rsid w:val="006059D8"/>
    <w:rsid w:val="006064BC"/>
    <w:rsid w:val="006123EF"/>
    <w:rsid w:val="006131FF"/>
    <w:rsid w:val="00630A5B"/>
    <w:rsid w:val="00634712"/>
    <w:rsid w:val="006370E8"/>
    <w:rsid w:val="00645F91"/>
    <w:rsid w:val="00647751"/>
    <w:rsid w:val="00656053"/>
    <w:rsid w:val="006579C3"/>
    <w:rsid w:val="00660E7A"/>
    <w:rsid w:val="00662834"/>
    <w:rsid w:val="00662BE6"/>
    <w:rsid w:val="00666594"/>
    <w:rsid w:val="00667CA7"/>
    <w:rsid w:val="006716B5"/>
    <w:rsid w:val="0067688F"/>
    <w:rsid w:val="00677027"/>
    <w:rsid w:val="00681B4A"/>
    <w:rsid w:val="006934C5"/>
    <w:rsid w:val="006A7EF1"/>
    <w:rsid w:val="006B21E3"/>
    <w:rsid w:val="006C75B8"/>
    <w:rsid w:val="006D0E03"/>
    <w:rsid w:val="006D4DD8"/>
    <w:rsid w:val="006E2432"/>
    <w:rsid w:val="006F58C0"/>
    <w:rsid w:val="006F5CB7"/>
    <w:rsid w:val="006F6403"/>
    <w:rsid w:val="00704EDA"/>
    <w:rsid w:val="0070565D"/>
    <w:rsid w:val="00720DFB"/>
    <w:rsid w:val="00722DE9"/>
    <w:rsid w:val="00723763"/>
    <w:rsid w:val="0072521D"/>
    <w:rsid w:val="00726FD0"/>
    <w:rsid w:val="00730318"/>
    <w:rsid w:val="00743135"/>
    <w:rsid w:val="007431D0"/>
    <w:rsid w:val="00743461"/>
    <w:rsid w:val="00751DF5"/>
    <w:rsid w:val="0075271E"/>
    <w:rsid w:val="00760F04"/>
    <w:rsid w:val="00772615"/>
    <w:rsid w:val="00775653"/>
    <w:rsid w:val="00776EEF"/>
    <w:rsid w:val="0078152E"/>
    <w:rsid w:val="00785328"/>
    <w:rsid w:val="00794399"/>
    <w:rsid w:val="00797CD7"/>
    <w:rsid w:val="007A5B8A"/>
    <w:rsid w:val="007A7138"/>
    <w:rsid w:val="007B3D78"/>
    <w:rsid w:val="007B7881"/>
    <w:rsid w:val="007D50B8"/>
    <w:rsid w:val="007F4652"/>
    <w:rsid w:val="007F6EC0"/>
    <w:rsid w:val="00803E34"/>
    <w:rsid w:val="008068CE"/>
    <w:rsid w:val="008206D3"/>
    <w:rsid w:val="00834D25"/>
    <w:rsid w:val="00844E17"/>
    <w:rsid w:val="008464E7"/>
    <w:rsid w:val="00846F44"/>
    <w:rsid w:val="0085064A"/>
    <w:rsid w:val="0085439A"/>
    <w:rsid w:val="008647F4"/>
    <w:rsid w:val="008829F9"/>
    <w:rsid w:val="00886B1E"/>
    <w:rsid w:val="00890417"/>
    <w:rsid w:val="00891C04"/>
    <w:rsid w:val="00892074"/>
    <w:rsid w:val="00892748"/>
    <w:rsid w:val="00896CBE"/>
    <w:rsid w:val="008A62B2"/>
    <w:rsid w:val="008B7E16"/>
    <w:rsid w:val="008C24BF"/>
    <w:rsid w:val="008C2FE5"/>
    <w:rsid w:val="008D2AF9"/>
    <w:rsid w:val="008D3B03"/>
    <w:rsid w:val="00910A7A"/>
    <w:rsid w:val="0091424A"/>
    <w:rsid w:val="00920D27"/>
    <w:rsid w:val="009213E0"/>
    <w:rsid w:val="00921E95"/>
    <w:rsid w:val="0092223C"/>
    <w:rsid w:val="00926001"/>
    <w:rsid w:val="00933288"/>
    <w:rsid w:val="00933347"/>
    <w:rsid w:val="0093723C"/>
    <w:rsid w:val="00962796"/>
    <w:rsid w:val="00964B16"/>
    <w:rsid w:val="0097407C"/>
    <w:rsid w:val="009924E0"/>
    <w:rsid w:val="00992C9B"/>
    <w:rsid w:val="009975FE"/>
    <w:rsid w:val="009A0A2A"/>
    <w:rsid w:val="009A2E87"/>
    <w:rsid w:val="009A4F0D"/>
    <w:rsid w:val="009B14C0"/>
    <w:rsid w:val="009C5F38"/>
    <w:rsid w:val="009D4EAC"/>
    <w:rsid w:val="009E2EF1"/>
    <w:rsid w:val="009E6B85"/>
    <w:rsid w:val="009F6326"/>
    <w:rsid w:val="00A00E2F"/>
    <w:rsid w:val="00A02097"/>
    <w:rsid w:val="00A03666"/>
    <w:rsid w:val="00A105D4"/>
    <w:rsid w:val="00A111A9"/>
    <w:rsid w:val="00A207CD"/>
    <w:rsid w:val="00A24FC3"/>
    <w:rsid w:val="00A33F4A"/>
    <w:rsid w:val="00A357C8"/>
    <w:rsid w:val="00A36C87"/>
    <w:rsid w:val="00A36D30"/>
    <w:rsid w:val="00A42F99"/>
    <w:rsid w:val="00A44739"/>
    <w:rsid w:val="00A51139"/>
    <w:rsid w:val="00A5348E"/>
    <w:rsid w:val="00A64FFB"/>
    <w:rsid w:val="00A77AA0"/>
    <w:rsid w:val="00A81D63"/>
    <w:rsid w:val="00A94D75"/>
    <w:rsid w:val="00A95E16"/>
    <w:rsid w:val="00AB5AFD"/>
    <w:rsid w:val="00AC209F"/>
    <w:rsid w:val="00AD2A0C"/>
    <w:rsid w:val="00AD5220"/>
    <w:rsid w:val="00AD5500"/>
    <w:rsid w:val="00AE251C"/>
    <w:rsid w:val="00AF0CBA"/>
    <w:rsid w:val="00AF3E66"/>
    <w:rsid w:val="00B03776"/>
    <w:rsid w:val="00B07349"/>
    <w:rsid w:val="00B074E0"/>
    <w:rsid w:val="00B104EC"/>
    <w:rsid w:val="00B11F3D"/>
    <w:rsid w:val="00B143AF"/>
    <w:rsid w:val="00B23A3C"/>
    <w:rsid w:val="00B25650"/>
    <w:rsid w:val="00B27EEE"/>
    <w:rsid w:val="00B3033E"/>
    <w:rsid w:val="00B32F0C"/>
    <w:rsid w:val="00B41E1C"/>
    <w:rsid w:val="00B46BEE"/>
    <w:rsid w:val="00B52F7C"/>
    <w:rsid w:val="00B538B3"/>
    <w:rsid w:val="00B547F2"/>
    <w:rsid w:val="00B569DF"/>
    <w:rsid w:val="00B717B9"/>
    <w:rsid w:val="00B771CB"/>
    <w:rsid w:val="00B81A6C"/>
    <w:rsid w:val="00BB16DD"/>
    <w:rsid w:val="00BB1E09"/>
    <w:rsid w:val="00BB32BB"/>
    <w:rsid w:val="00BC7FA6"/>
    <w:rsid w:val="00BD2857"/>
    <w:rsid w:val="00BD3ECB"/>
    <w:rsid w:val="00BD5EBB"/>
    <w:rsid w:val="00BE3402"/>
    <w:rsid w:val="00BE506E"/>
    <w:rsid w:val="00BF1A6D"/>
    <w:rsid w:val="00BF62AC"/>
    <w:rsid w:val="00C03F8B"/>
    <w:rsid w:val="00C062E5"/>
    <w:rsid w:val="00C12EF4"/>
    <w:rsid w:val="00C12FD8"/>
    <w:rsid w:val="00C14602"/>
    <w:rsid w:val="00C225E2"/>
    <w:rsid w:val="00C22B3C"/>
    <w:rsid w:val="00C24FA6"/>
    <w:rsid w:val="00C368B7"/>
    <w:rsid w:val="00C42107"/>
    <w:rsid w:val="00C42A92"/>
    <w:rsid w:val="00C44983"/>
    <w:rsid w:val="00C47AAE"/>
    <w:rsid w:val="00C5123F"/>
    <w:rsid w:val="00C5271C"/>
    <w:rsid w:val="00C5733E"/>
    <w:rsid w:val="00C64DE7"/>
    <w:rsid w:val="00C75203"/>
    <w:rsid w:val="00C927DF"/>
    <w:rsid w:val="00CA079B"/>
    <w:rsid w:val="00CA3AC8"/>
    <w:rsid w:val="00CA3E43"/>
    <w:rsid w:val="00CB7F48"/>
    <w:rsid w:val="00CC650A"/>
    <w:rsid w:val="00CD10FC"/>
    <w:rsid w:val="00CD1D3D"/>
    <w:rsid w:val="00CE3D06"/>
    <w:rsid w:val="00CE591F"/>
    <w:rsid w:val="00CF1262"/>
    <w:rsid w:val="00CF4142"/>
    <w:rsid w:val="00CF53CB"/>
    <w:rsid w:val="00D10C55"/>
    <w:rsid w:val="00D15A24"/>
    <w:rsid w:val="00D16C5A"/>
    <w:rsid w:val="00D220A6"/>
    <w:rsid w:val="00D249C2"/>
    <w:rsid w:val="00D4359C"/>
    <w:rsid w:val="00D47FE4"/>
    <w:rsid w:val="00D53E71"/>
    <w:rsid w:val="00D632F2"/>
    <w:rsid w:val="00D648EB"/>
    <w:rsid w:val="00D72DAA"/>
    <w:rsid w:val="00D74A70"/>
    <w:rsid w:val="00D75C2C"/>
    <w:rsid w:val="00D80668"/>
    <w:rsid w:val="00D86812"/>
    <w:rsid w:val="00D91FE0"/>
    <w:rsid w:val="00D95C7C"/>
    <w:rsid w:val="00DA0C85"/>
    <w:rsid w:val="00DA7BC7"/>
    <w:rsid w:val="00DB2E25"/>
    <w:rsid w:val="00DB4005"/>
    <w:rsid w:val="00DB4395"/>
    <w:rsid w:val="00DC3B2F"/>
    <w:rsid w:val="00DD1D58"/>
    <w:rsid w:val="00DE0D58"/>
    <w:rsid w:val="00DE3FB3"/>
    <w:rsid w:val="00DF6898"/>
    <w:rsid w:val="00DF693D"/>
    <w:rsid w:val="00DF7663"/>
    <w:rsid w:val="00E01B26"/>
    <w:rsid w:val="00E04641"/>
    <w:rsid w:val="00E16D35"/>
    <w:rsid w:val="00E24AE1"/>
    <w:rsid w:val="00E24D01"/>
    <w:rsid w:val="00E265D7"/>
    <w:rsid w:val="00E32C6A"/>
    <w:rsid w:val="00E5511D"/>
    <w:rsid w:val="00E62FC0"/>
    <w:rsid w:val="00E675FC"/>
    <w:rsid w:val="00E67747"/>
    <w:rsid w:val="00E718AB"/>
    <w:rsid w:val="00E71962"/>
    <w:rsid w:val="00E71FEA"/>
    <w:rsid w:val="00E74684"/>
    <w:rsid w:val="00E805CE"/>
    <w:rsid w:val="00E84117"/>
    <w:rsid w:val="00E84FA0"/>
    <w:rsid w:val="00E8603E"/>
    <w:rsid w:val="00E91FC1"/>
    <w:rsid w:val="00E9332E"/>
    <w:rsid w:val="00EA6913"/>
    <w:rsid w:val="00EB40FF"/>
    <w:rsid w:val="00EC0736"/>
    <w:rsid w:val="00EC2532"/>
    <w:rsid w:val="00EC25A2"/>
    <w:rsid w:val="00ED651D"/>
    <w:rsid w:val="00EE6EC0"/>
    <w:rsid w:val="00EF0321"/>
    <w:rsid w:val="00F01C4F"/>
    <w:rsid w:val="00F04503"/>
    <w:rsid w:val="00F1233A"/>
    <w:rsid w:val="00F13A53"/>
    <w:rsid w:val="00F13E13"/>
    <w:rsid w:val="00F22DBF"/>
    <w:rsid w:val="00F25964"/>
    <w:rsid w:val="00F30E7F"/>
    <w:rsid w:val="00F3119A"/>
    <w:rsid w:val="00F33185"/>
    <w:rsid w:val="00F40BB5"/>
    <w:rsid w:val="00F43348"/>
    <w:rsid w:val="00F44F58"/>
    <w:rsid w:val="00F46D35"/>
    <w:rsid w:val="00F47246"/>
    <w:rsid w:val="00F50252"/>
    <w:rsid w:val="00F53F11"/>
    <w:rsid w:val="00F54B7F"/>
    <w:rsid w:val="00F60328"/>
    <w:rsid w:val="00F60EF4"/>
    <w:rsid w:val="00F61006"/>
    <w:rsid w:val="00F67761"/>
    <w:rsid w:val="00F677DD"/>
    <w:rsid w:val="00F6796D"/>
    <w:rsid w:val="00F70F03"/>
    <w:rsid w:val="00F72D94"/>
    <w:rsid w:val="00F94E3B"/>
    <w:rsid w:val="00F955FB"/>
    <w:rsid w:val="00F969CA"/>
    <w:rsid w:val="00FA4F1E"/>
    <w:rsid w:val="00FA6C73"/>
    <w:rsid w:val="00FB4FFA"/>
    <w:rsid w:val="00FB6FC6"/>
    <w:rsid w:val="00FB7713"/>
    <w:rsid w:val="00FC1E59"/>
    <w:rsid w:val="00FC2304"/>
    <w:rsid w:val="00FC5262"/>
    <w:rsid w:val="00FD3000"/>
    <w:rsid w:val="00FD35D9"/>
    <w:rsid w:val="00FD5EFF"/>
    <w:rsid w:val="00FD6C94"/>
    <w:rsid w:val="00FE0A21"/>
    <w:rsid w:val="00FE270D"/>
    <w:rsid w:val="00FE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63BBDC"/>
  <w15:chartTrackingRefBased/>
  <w15:docId w15:val="{034B410E-6EF8-49C8-B9B1-98B36A2D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4359C"/>
    <w:pPr>
      <w:keepNext/>
      <w:numPr>
        <w:numId w:val="7"/>
      </w:numPr>
      <w:spacing w:before="440" w:after="440" w:line="240" w:lineRule="auto"/>
      <w:outlineLvl w:val="0"/>
    </w:pPr>
    <w:rPr>
      <w:rFonts w:ascii="Times New Roman Bold" w:eastAsia="Times New Roman" w:hAnsi="Times New Roman Bold" w:cs="Arial"/>
      <w:b/>
      <w:bCs/>
      <w:caps/>
      <w:kern w:val="32"/>
    </w:rPr>
  </w:style>
  <w:style w:type="paragraph" w:styleId="Heading2">
    <w:name w:val="heading 2"/>
    <w:basedOn w:val="Normal"/>
    <w:next w:val="Normal"/>
    <w:link w:val="Heading2Char"/>
    <w:qFormat/>
    <w:rsid w:val="00D4359C"/>
    <w:pPr>
      <w:keepNext/>
      <w:numPr>
        <w:ilvl w:val="1"/>
        <w:numId w:val="7"/>
      </w:numPr>
      <w:tabs>
        <w:tab w:val="clear" w:pos="1080"/>
        <w:tab w:val="num" w:pos="900"/>
      </w:tabs>
      <w:spacing w:before="440" w:after="220" w:line="240" w:lineRule="auto"/>
      <w:ind w:left="900"/>
      <w:outlineLvl w:val="1"/>
    </w:pPr>
    <w:rPr>
      <w:rFonts w:ascii="Times New Roman" w:eastAsia="Times New Roman" w:hAnsi="Times New Roman" w:cs="Arial"/>
      <w:b/>
      <w:bCs/>
      <w:iCs/>
      <w:szCs w:val="28"/>
    </w:rPr>
  </w:style>
  <w:style w:type="paragraph" w:styleId="Heading3">
    <w:name w:val="heading 3"/>
    <w:basedOn w:val="Normal"/>
    <w:next w:val="Normal"/>
    <w:link w:val="Heading3Char"/>
    <w:qFormat/>
    <w:rsid w:val="00D4359C"/>
    <w:pPr>
      <w:keepNext/>
      <w:numPr>
        <w:ilvl w:val="2"/>
        <w:numId w:val="7"/>
      </w:numPr>
      <w:spacing w:before="440" w:after="220" w:line="240" w:lineRule="auto"/>
      <w:outlineLvl w:val="2"/>
    </w:pPr>
    <w:rPr>
      <w:rFonts w:ascii="Times New Roman" w:eastAsia="Times New Roman" w:hAnsi="Times New Roman"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E66"/>
    <w:rPr>
      <w:color w:val="0000FF" w:themeColor="hyperlink"/>
      <w:u w:val="single"/>
    </w:rPr>
  </w:style>
  <w:style w:type="character" w:customStyle="1" w:styleId="UnresolvedMention1">
    <w:name w:val="Unresolved Mention1"/>
    <w:basedOn w:val="DefaultParagraphFont"/>
    <w:uiPriority w:val="99"/>
    <w:semiHidden/>
    <w:unhideWhenUsed/>
    <w:rsid w:val="00AF3E66"/>
    <w:rPr>
      <w:color w:val="808080"/>
      <w:shd w:val="clear" w:color="auto" w:fill="E6E6E6"/>
    </w:rPr>
  </w:style>
  <w:style w:type="character" w:styleId="FollowedHyperlink">
    <w:name w:val="FollowedHyperlink"/>
    <w:basedOn w:val="DefaultParagraphFont"/>
    <w:uiPriority w:val="99"/>
    <w:semiHidden/>
    <w:unhideWhenUsed/>
    <w:rsid w:val="00D249C2"/>
    <w:rPr>
      <w:color w:val="800080" w:themeColor="followedHyperlink"/>
      <w:u w:val="single"/>
    </w:rPr>
  </w:style>
  <w:style w:type="paragraph" w:styleId="ListParagraph">
    <w:name w:val="List Paragraph"/>
    <w:basedOn w:val="Normal"/>
    <w:uiPriority w:val="34"/>
    <w:qFormat/>
    <w:rsid w:val="002D2A24"/>
    <w:pPr>
      <w:ind w:left="720"/>
      <w:contextualSpacing/>
    </w:pPr>
  </w:style>
  <w:style w:type="paragraph" w:styleId="FootnoteText">
    <w:name w:val="footnote text"/>
    <w:basedOn w:val="Normal"/>
    <w:link w:val="FootnoteTextChar"/>
    <w:uiPriority w:val="99"/>
    <w:rsid w:val="00DB2E2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B2E2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DB2E25"/>
    <w:rPr>
      <w:vertAlign w:val="superscript"/>
    </w:rPr>
  </w:style>
  <w:style w:type="character" w:styleId="CommentReference">
    <w:name w:val="annotation reference"/>
    <w:basedOn w:val="DefaultParagraphFont"/>
    <w:uiPriority w:val="99"/>
    <w:unhideWhenUsed/>
    <w:rsid w:val="00290857"/>
    <w:rPr>
      <w:sz w:val="16"/>
      <w:szCs w:val="16"/>
    </w:rPr>
  </w:style>
  <w:style w:type="paragraph" w:styleId="CommentText">
    <w:name w:val="annotation text"/>
    <w:basedOn w:val="Normal"/>
    <w:link w:val="CommentTextChar"/>
    <w:uiPriority w:val="99"/>
    <w:unhideWhenUsed/>
    <w:rsid w:val="00290857"/>
    <w:pPr>
      <w:spacing w:line="240" w:lineRule="auto"/>
    </w:pPr>
    <w:rPr>
      <w:sz w:val="20"/>
      <w:szCs w:val="20"/>
    </w:rPr>
  </w:style>
  <w:style w:type="character" w:customStyle="1" w:styleId="CommentTextChar">
    <w:name w:val="Comment Text Char"/>
    <w:basedOn w:val="DefaultParagraphFont"/>
    <w:link w:val="CommentText"/>
    <w:uiPriority w:val="99"/>
    <w:rsid w:val="00290857"/>
    <w:rPr>
      <w:sz w:val="20"/>
      <w:szCs w:val="20"/>
    </w:rPr>
  </w:style>
  <w:style w:type="paragraph" w:styleId="CommentSubject">
    <w:name w:val="annotation subject"/>
    <w:basedOn w:val="CommentText"/>
    <w:next w:val="CommentText"/>
    <w:link w:val="CommentSubjectChar"/>
    <w:uiPriority w:val="99"/>
    <w:semiHidden/>
    <w:unhideWhenUsed/>
    <w:rsid w:val="00290857"/>
    <w:rPr>
      <w:b/>
      <w:bCs/>
    </w:rPr>
  </w:style>
  <w:style w:type="character" w:customStyle="1" w:styleId="CommentSubjectChar">
    <w:name w:val="Comment Subject Char"/>
    <w:basedOn w:val="CommentTextChar"/>
    <w:link w:val="CommentSubject"/>
    <w:uiPriority w:val="99"/>
    <w:semiHidden/>
    <w:rsid w:val="00290857"/>
    <w:rPr>
      <w:b/>
      <w:bCs/>
      <w:sz w:val="20"/>
      <w:szCs w:val="20"/>
    </w:rPr>
  </w:style>
  <w:style w:type="paragraph" w:styleId="BalloonText">
    <w:name w:val="Balloon Text"/>
    <w:basedOn w:val="Normal"/>
    <w:link w:val="BalloonTextChar"/>
    <w:uiPriority w:val="99"/>
    <w:semiHidden/>
    <w:unhideWhenUsed/>
    <w:rsid w:val="00290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857"/>
    <w:rPr>
      <w:rFonts w:ascii="Segoe UI" w:hAnsi="Segoe UI" w:cs="Segoe UI"/>
      <w:sz w:val="18"/>
      <w:szCs w:val="18"/>
    </w:rPr>
  </w:style>
  <w:style w:type="character" w:customStyle="1" w:styleId="Heading1Char">
    <w:name w:val="Heading 1 Char"/>
    <w:basedOn w:val="DefaultParagraphFont"/>
    <w:link w:val="Heading1"/>
    <w:rsid w:val="00D4359C"/>
    <w:rPr>
      <w:rFonts w:ascii="Times New Roman Bold" w:eastAsia="Times New Roman" w:hAnsi="Times New Roman Bold" w:cs="Arial"/>
      <w:b/>
      <w:bCs/>
      <w:caps/>
      <w:kern w:val="32"/>
    </w:rPr>
  </w:style>
  <w:style w:type="character" w:customStyle="1" w:styleId="Heading2Char">
    <w:name w:val="Heading 2 Char"/>
    <w:basedOn w:val="DefaultParagraphFont"/>
    <w:link w:val="Heading2"/>
    <w:rsid w:val="00D4359C"/>
    <w:rPr>
      <w:rFonts w:ascii="Times New Roman" w:eastAsia="Times New Roman" w:hAnsi="Times New Roman" w:cs="Arial"/>
      <w:b/>
      <w:bCs/>
      <w:iCs/>
      <w:szCs w:val="28"/>
    </w:rPr>
  </w:style>
  <w:style w:type="character" w:customStyle="1" w:styleId="Heading3Char">
    <w:name w:val="Heading 3 Char"/>
    <w:basedOn w:val="DefaultParagraphFont"/>
    <w:link w:val="Heading3"/>
    <w:rsid w:val="00D4359C"/>
    <w:rPr>
      <w:rFonts w:ascii="Times New Roman" w:eastAsia="Times New Roman" w:hAnsi="Times New Roman" w:cs="Arial"/>
      <w:b/>
      <w:bCs/>
      <w:i/>
      <w:szCs w:val="26"/>
    </w:rPr>
  </w:style>
  <w:style w:type="paragraph" w:styleId="Header">
    <w:name w:val="header"/>
    <w:basedOn w:val="Normal"/>
    <w:link w:val="HeaderChar"/>
    <w:unhideWhenUsed/>
    <w:rsid w:val="00803E34"/>
    <w:pPr>
      <w:tabs>
        <w:tab w:val="center" w:pos="4680"/>
        <w:tab w:val="right" w:pos="9360"/>
      </w:tabs>
      <w:spacing w:after="0" w:line="240" w:lineRule="auto"/>
    </w:pPr>
  </w:style>
  <w:style w:type="character" w:customStyle="1" w:styleId="HeaderChar">
    <w:name w:val="Header Char"/>
    <w:basedOn w:val="DefaultParagraphFont"/>
    <w:link w:val="Header"/>
    <w:rsid w:val="00803E34"/>
  </w:style>
  <w:style w:type="paragraph" w:styleId="Footer">
    <w:name w:val="footer"/>
    <w:basedOn w:val="Normal"/>
    <w:link w:val="FooterChar"/>
    <w:uiPriority w:val="99"/>
    <w:unhideWhenUsed/>
    <w:rsid w:val="00803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E34"/>
  </w:style>
  <w:style w:type="paragraph" w:styleId="EndnoteText">
    <w:name w:val="endnote text"/>
    <w:basedOn w:val="Normal"/>
    <w:link w:val="EndnoteTextChar"/>
    <w:uiPriority w:val="99"/>
    <w:semiHidden/>
    <w:unhideWhenUsed/>
    <w:rsid w:val="005C7A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7A9C"/>
    <w:rPr>
      <w:sz w:val="20"/>
      <w:szCs w:val="20"/>
    </w:rPr>
  </w:style>
  <w:style w:type="character" w:styleId="EndnoteReference">
    <w:name w:val="endnote reference"/>
    <w:basedOn w:val="DefaultParagraphFont"/>
    <w:uiPriority w:val="99"/>
    <w:semiHidden/>
    <w:unhideWhenUsed/>
    <w:rsid w:val="005C7A9C"/>
    <w:rPr>
      <w:vertAlign w:val="superscript"/>
    </w:rPr>
  </w:style>
  <w:style w:type="paragraph" w:customStyle="1" w:styleId="Default">
    <w:name w:val="Default"/>
    <w:rsid w:val="004B2A9D"/>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4A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B5AFD"/>
    <w:pPr>
      <w:spacing w:after="0"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AB5AFD"/>
    <w:rPr>
      <w:shd w:val="clear" w:color="auto" w:fill="FFEE80"/>
    </w:rPr>
  </w:style>
  <w:style w:type="character" w:customStyle="1" w:styleId="normaltextrun1">
    <w:name w:val="normaltextrun1"/>
    <w:basedOn w:val="DefaultParagraphFont"/>
    <w:rsid w:val="00AB5AFD"/>
  </w:style>
  <w:style w:type="character" w:customStyle="1" w:styleId="eop">
    <w:name w:val="eop"/>
    <w:basedOn w:val="DefaultParagraphFont"/>
    <w:rsid w:val="00AB5AFD"/>
  </w:style>
  <w:style w:type="paragraph" w:styleId="TOCHeading">
    <w:name w:val="TOC Heading"/>
    <w:basedOn w:val="Heading1"/>
    <w:next w:val="Normal"/>
    <w:uiPriority w:val="39"/>
    <w:unhideWhenUsed/>
    <w:qFormat/>
    <w:rsid w:val="00222A70"/>
    <w:pPr>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kern w:val="0"/>
      <w:sz w:val="32"/>
      <w:szCs w:val="32"/>
    </w:rPr>
  </w:style>
  <w:style w:type="paragraph" w:styleId="TOC1">
    <w:name w:val="toc 1"/>
    <w:basedOn w:val="Normal"/>
    <w:next w:val="Normal"/>
    <w:autoRedefine/>
    <w:uiPriority w:val="39"/>
    <w:unhideWhenUsed/>
    <w:rsid w:val="00222A7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4389">
      <w:bodyDiv w:val="1"/>
      <w:marLeft w:val="0"/>
      <w:marRight w:val="0"/>
      <w:marTop w:val="0"/>
      <w:marBottom w:val="0"/>
      <w:divBdr>
        <w:top w:val="none" w:sz="0" w:space="0" w:color="auto"/>
        <w:left w:val="none" w:sz="0" w:space="0" w:color="auto"/>
        <w:bottom w:val="none" w:sz="0" w:space="0" w:color="auto"/>
        <w:right w:val="none" w:sz="0" w:space="0" w:color="auto"/>
      </w:divBdr>
    </w:div>
    <w:div w:id="253394447">
      <w:bodyDiv w:val="1"/>
      <w:marLeft w:val="0"/>
      <w:marRight w:val="0"/>
      <w:marTop w:val="0"/>
      <w:marBottom w:val="0"/>
      <w:divBdr>
        <w:top w:val="none" w:sz="0" w:space="0" w:color="auto"/>
        <w:left w:val="none" w:sz="0" w:space="0" w:color="auto"/>
        <w:bottom w:val="none" w:sz="0" w:space="0" w:color="auto"/>
        <w:right w:val="none" w:sz="0" w:space="0" w:color="auto"/>
      </w:divBdr>
    </w:div>
    <w:div w:id="434911210">
      <w:bodyDiv w:val="1"/>
      <w:marLeft w:val="0"/>
      <w:marRight w:val="0"/>
      <w:marTop w:val="0"/>
      <w:marBottom w:val="0"/>
      <w:divBdr>
        <w:top w:val="none" w:sz="0" w:space="0" w:color="auto"/>
        <w:left w:val="none" w:sz="0" w:space="0" w:color="auto"/>
        <w:bottom w:val="none" w:sz="0" w:space="0" w:color="auto"/>
        <w:right w:val="none" w:sz="0" w:space="0" w:color="auto"/>
      </w:divBdr>
    </w:div>
    <w:div w:id="467283198">
      <w:bodyDiv w:val="1"/>
      <w:marLeft w:val="0"/>
      <w:marRight w:val="0"/>
      <w:marTop w:val="0"/>
      <w:marBottom w:val="0"/>
      <w:divBdr>
        <w:top w:val="none" w:sz="0" w:space="0" w:color="auto"/>
        <w:left w:val="none" w:sz="0" w:space="0" w:color="auto"/>
        <w:bottom w:val="none" w:sz="0" w:space="0" w:color="auto"/>
        <w:right w:val="none" w:sz="0" w:space="0" w:color="auto"/>
      </w:divBdr>
    </w:div>
    <w:div w:id="747045735">
      <w:bodyDiv w:val="1"/>
      <w:marLeft w:val="0"/>
      <w:marRight w:val="0"/>
      <w:marTop w:val="0"/>
      <w:marBottom w:val="0"/>
      <w:divBdr>
        <w:top w:val="none" w:sz="0" w:space="0" w:color="auto"/>
        <w:left w:val="none" w:sz="0" w:space="0" w:color="auto"/>
        <w:bottom w:val="none" w:sz="0" w:space="0" w:color="auto"/>
        <w:right w:val="none" w:sz="0" w:space="0" w:color="auto"/>
      </w:divBdr>
    </w:div>
    <w:div w:id="920018068">
      <w:bodyDiv w:val="1"/>
      <w:marLeft w:val="0"/>
      <w:marRight w:val="0"/>
      <w:marTop w:val="0"/>
      <w:marBottom w:val="0"/>
      <w:divBdr>
        <w:top w:val="none" w:sz="0" w:space="0" w:color="auto"/>
        <w:left w:val="none" w:sz="0" w:space="0" w:color="auto"/>
        <w:bottom w:val="none" w:sz="0" w:space="0" w:color="auto"/>
        <w:right w:val="none" w:sz="0" w:space="0" w:color="auto"/>
      </w:divBdr>
      <w:divsChild>
        <w:div w:id="1375738319">
          <w:marLeft w:val="0"/>
          <w:marRight w:val="0"/>
          <w:marTop w:val="0"/>
          <w:marBottom w:val="0"/>
          <w:divBdr>
            <w:top w:val="none" w:sz="0" w:space="0" w:color="auto"/>
            <w:left w:val="none" w:sz="0" w:space="0" w:color="auto"/>
            <w:bottom w:val="none" w:sz="0" w:space="0" w:color="auto"/>
            <w:right w:val="none" w:sz="0" w:space="0" w:color="auto"/>
          </w:divBdr>
          <w:divsChild>
            <w:div w:id="2137719503">
              <w:marLeft w:val="0"/>
              <w:marRight w:val="0"/>
              <w:marTop w:val="0"/>
              <w:marBottom w:val="0"/>
              <w:divBdr>
                <w:top w:val="none" w:sz="0" w:space="0" w:color="auto"/>
                <w:left w:val="none" w:sz="0" w:space="0" w:color="auto"/>
                <w:bottom w:val="none" w:sz="0" w:space="0" w:color="auto"/>
                <w:right w:val="none" w:sz="0" w:space="0" w:color="auto"/>
              </w:divBdr>
              <w:divsChild>
                <w:div w:id="698895992">
                  <w:marLeft w:val="0"/>
                  <w:marRight w:val="0"/>
                  <w:marTop w:val="0"/>
                  <w:marBottom w:val="0"/>
                  <w:divBdr>
                    <w:top w:val="none" w:sz="0" w:space="0" w:color="auto"/>
                    <w:left w:val="none" w:sz="0" w:space="0" w:color="auto"/>
                    <w:bottom w:val="none" w:sz="0" w:space="0" w:color="auto"/>
                    <w:right w:val="none" w:sz="0" w:space="0" w:color="auto"/>
                  </w:divBdr>
                  <w:divsChild>
                    <w:div w:id="1784693902">
                      <w:marLeft w:val="0"/>
                      <w:marRight w:val="0"/>
                      <w:marTop w:val="0"/>
                      <w:marBottom w:val="0"/>
                      <w:divBdr>
                        <w:top w:val="none" w:sz="0" w:space="0" w:color="auto"/>
                        <w:left w:val="none" w:sz="0" w:space="0" w:color="auto"/>
                        <w:bottom w:val="none" w:sz="0" w:space="0" w:color="auto"/>
                        <w:right w:val="none" w:sz="0" w:space="0" w:color="auto"/>
                      </w:divBdr>
                      <w:divsChild>
                        <w:div w:id="407195516">
                          <w:marLeft w:val="0"/>
                          <w:marRight w:val="0"/>
                          <w:marTop w:val="0"/>
                          <w:marBottom w:val="0"/>
                          <w:divBdr>
                            <w:top w:val="none" w:sz="0" w:space="0" w:color="auto"/>
                            <w:left w:val="none" w:sz="0" w:space="0" w:color="auto"/>
                            <w:bottom w:val="none" w:sz="0" w:space="0" w:color="auto"/>
                            <w:right w:val="none" w:sz="0" w:space="0" w:color="auto"/>
                          </w:divBdr>
                          <w:divsChild>
                            <w:div w:id="450828257">
                              <w:marLeft w:val="0"/>
                              <w:marRight w:val="0"/>
                              <w:marTop w:val="0"/>
                              <w:marBottom w:val="0"/>
                              <w:divBdr>
                                <w:top w:val="none" w:sz="0" w:space="0" w:color="auto"/>
                                <w:left w:val="none" w:sz="0" w:space="0" w:color="auto"/>
                                <w:bottom w:val="none" w:sz="0" w:space="0" w:color="auto"/>
                                <w:right w:val="none" w:sz="0" w:space="0" w:color="auto"/>
                              </w:divBdr>
                              <w:divsChild>
                                <w:div w:id="1994989451">
                                  <w:marLeft w:val="0"/>
                                  <w:marRight w:val="0"/>
                                  <w:marTop w:val="0"/>
                                  <w:marBottom w:val="0"/>
                                  <w:divBdr>
                                    <w:top w:val="none" w:sz="0" w:space="0" w:color="auto"/>
                                    <w:left w:val="none" w:sz="0" w:space="0" w:color="auto"/>
                                    <w:bottom w:val="none" w:sz="0" w:space="0" w:color="auto"/>
                                    <w:right w:val="none" w:sz="0" w:space="0" w:color="auto"/>
                                  </w:divBdr>
                                  <w:divsChild>
                                    <w:div w:id="1870869874">
                                      <w:marLeft w:val="0"/>
                                      <w:marRight w:val="0"/>
                                      <w:marTop w:val="0"/>
                                      <w:marBottom w:val="0"/>
                                      <w:divBdr>
                                        <w:top w:val="none" w:sz="0" w:space="0" w:color="auto"/>
                                        <w:left w:val="none" w:sz="0" w:space="0" w:color="auto"/>
                                        <w:bottom w:val="none" w:sz="0" w:space="0" w:color="auto"/>
                                        <w:right w:val="none" w:sz="0" w:space="0" w:color="auto"/>
                                      </w:divBdr>
                                      <w:divsChild>
                                        <w:div w:id="120538503">
                                          <w:marLeft w:val="0"/>
                                          <w:marRight w:val="0"/>
                                          <w:marTop w:val="0"/>
                                          <w:marBottom w:val="0"/>
                                          <w:divBdr>
                                            <w:top w:val="none" w:sz="0" w:space="0" w:color="auto"/>
                                            <w:left w:val="none" w:sz="0" w:space="0" w:color="auto"/>
                                            <w:bottom w:val="none" w:sz="0" w:space="0" w:color="auto"/>
                                            <w:right w:val="none" w:sz="0" w:space="0" w:color="auto"/>
                                          </w:divBdr>
                                          <w:divsChild>
                                            <w:div w:id="1873765853">
                                              <w:marLeft w:val="0"/>
                                              <w:marRight w:val="0"/>
                                              <w:marTop w:val="0"/>
                                              <w:marBottom w:val="0"/>
                                              <w:divBdr>
                                                <w:top w:val="none" w:sz="0" w:space="0" w:color="auto"/>
                                                <w:left w:val="none" w:sz="0" w:space="0" w:color="auto"/>
                                                <w:bottom w:val="none" w:sz="0" w:space="0" w:color="auto"/>
                                                <w:right w:val="none" w:sz="0" w:space="0" w:color="auto"/>
                                              </w:divBdr>
                                              <w:divsChild>
                                                <w:div w:id="905148230">
                                                  <w:marLeft w:val="0"/>
                                                  <w:marRight w:val="0"/>
                                                  <w:marTop w:val="0"/>
                                                  <w:marBottom w:val="0"/>
                                                  <w:divBdr>
                                                    <w:top w:val="none" w:sz="0" w:space="0" w:color="auto"/>
                                                    <w:left w:val="none" w:sz="0" w:space="0" w:color="auto"/>
                                                    <w:bottom w:val="none" w:sz="0" w:space="0" w:color="auto"/>
                                                    <w:right w:val="none" w:sz="0" w:space="0" w:color="auto"/>
                                                  </w:divBdr>
                                                  <w:divsChild>
                                                    <w:div w:id="178811977">
                                                      <w:marLeft w:val="0"/>
                                                      <w:marRight w:val="0"/>
                                                      <w:marTop w:val="0"/>
                                                      <w:marBottom w:val="0"/>
                                                      <w:divBdr>
                                                        <w:top w:val="single" w:sz="12" w:space="0" w:color="ABABAB"/>
                                                        <w:left w:val="single" w:sz="6" w:space="0" w:color="ABABAB"/>
                                                        <w:bottom w:val="none" w:sz="0" w:space="0" w:color="auto"/>
                                                        <w:right w:val="single" w:sz="6" w:space="0" w:color="ABABAB"/>
                                                      </w:divBdr>
                                                      <w:divsChild>
                                                        <w:div w:id="837768268">
                                                          <w:marLeft w:val="0"/>
                                                          <w:marRight w:val="0"/>
                                                          <w:marTop w:val="0"/>
                                                          <w:marBottom w:val="0"/>
                                                          <w:divBdr>
                                                            <w:top w:val="none" w:sz="0" w:space="0" w:color="auto"/>
                                                            <w:left w:val="none" w:sz="0" w:space="0" w:color="auto"/>
                                                            <w:bottom w:val="none" w:sz="0" w:space="0" w:color="auto"/>
                                                            <w:right w:val="none" w:sz="0" w:space="0" w:color="auto"/>
                                                          </w:divBdr>
                                                          <w:divsChild>
                                                            <w:div w:id="533425611">
                                                              <w:marLeft w:val="0"/>
                                                              <w:marRight w:val="0"/>
                                                              <w:marTop w:val="0"/>
                                                              <w:marBottom w:val="0"/>
                                                              <w:divBdr>
                                                                <w:top w:val="none" w:sz="0" w:space="0" w:color="auto"/>
                                                                <w:left w:val="none" w:sz="0" w:space="0" w:color="auto"/>
                                                                <w:bottom w:val="none" w:sz="0" w:space="0" w:color="auto"/>
                                                                <w:right w:val="none" w:sz="0" w:space="0" w:color="auto"/>
                                                              </w:divBdr>
                                                              <w:divsChild>
                                                                <w:div w:id="421266193">
                                                                  <w:marLeft w:val="0"/>
                                                                  <w:marRight w:val="0"/>
                                                                  <w:marTop w:val="0"/>
                                                                  <w:marBottom w:val="0"/>
                                                                  <w:divBdr>
                                                                    <w:top w:val="none" w:sz="0" w:space="0" w:color="auto"/>
                                                                    <w:left w:val="none" w:sz="0" w:space="0" w:color="auto"/>
                                                                    <w:bottom w:val="none" w:sz="0" w:space="0" w:color="auto"/>
                                                                    <w:right w:val="none" w:sz="0" w:space="0" w:color="auto"/>
                                                                  </w:divBdr>
                                                                  <w:divsChild>
                                                                    <w:div w:id="121071934">
                                                                      <w:marLeft w:val="0"/>
                                                                      <w:marRight w:val="0"/>
                                                                      <w:marTop w:val="0"/>
                                                                      <w:marBottom w:val="0"/>
                                                                      <w:divBdr>
                                                                        <w:top w:val="none" w:sz="0" w:space="0" w:color="auto"/>
                                                                        <w:left w:val="none" w:sz="0" w:space="0" w:color="auto"/>
                                                                        <w:bottom w:val="none" w:sz="0" w:space="0" w:color="auto"/>
                                                                        <w:right w:val="none" w:sz="0" w:space="0" w:color="auto"/>
                                                                      </w:divBdr>
                                                                      <w:divsChild>
                                                                        <w:div w:id="1480263414">
                                                                          <w:marLeft w:val="0"/>
                                                                          <w:marRight w:val="0"/>
                                                                          <w:marTop w:val="0"/>
                                                                          <w:marBottom w:val="0"/>
                                                                          <w:divBdr>
                                                                            <w:top w:val="none" w:sz="0" w:space="0" w:color="auto"/>
                                                                            <w:left w:val="none" w:sz="0" w:space="0" w:color="auto"/>
                                                                            <w:bottom w:val="none" w:sz="0" w:space="0" w:color="auto"/>
                                                                            <w:right w:val="none" w:sz="0" w:space="0" w:color="auto"/>
                                                                          </w:divBdr>
                                                                          <w:divsChild>
                                                                            <w:div w:id="210003083">
                                                                              <w:marLeft w:val="0"/>
                                                                              <w:marRight w:val="0"/>
                                                                              <w:marTop w:val="0"/>
                                                                              <w:marBottom w:val="0"/>
                                                                              <w:divBdr>
                                                                                <w:top w:val="none" w:sz="0" w:space="0" w:color="auto"/>
                                                                                <w:left w:val="none" w:sz="0" w:space="0" w:color="auto"/>
                                                                                <w:bottom w:val="none" w:sz="0" w:space="0" w:color="auto"/>
                                                                                <w:right w:val="none" w:sz="0" w:space="0" w:color="auto"/>
                                                                              </w:divBdr>
                                                                              <w:divsChild>
                                                                                <w:div w:id="7531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064695">
      <w:bodyDiv w:val="1"/>
      <w:marLeft w:val="0"/>
      <w:marRight w:val="0"/>
      <w:marTop w:val="0"/>
      <w:marBottom w:val="0"/>
      <w:divBdr>
        <w:top w:val="none" w:sz="0" w:space="0" w:color="auto"/>
        <w:left w:val="none" w:sz="0" w:space="0" w:color="auto"/>
        <w:bottom w:val="none" w:sz="0" w:space="0" w:color="auto"/>
        <w:right w:val="none" w:sz="0" w:space="0" w:color="auto"/>
      </w:divBdr>
    </w:div>
    <w:div w:id="989290321">
      <w:bodyDiv w:val="1"/>
      <w:marLeft w:val="0"/>
      <w:marRight w:val="0"/>
      <w:marTop w:val="0"/>
      <w:marBottom w:val="0"/>
      <w:divBdr>
        <w:top w:val="none" w:sz="0" w:space="0" w:color="auto"/>
        <w:left w:val="none" w:sz="0" w:space="0" w:color="auto"/>
        <w:bottom w:val="none" w:sz="0" w:space="0" w:color="auto"/>
        <w:right w:val="none" w:sz="0" w:space="0" w:color="auto"/>
      </w:divBdr>
    </w:div>
    <w:div w:id="1117332282">
      <w:bodyDiv w:val="1"/>
      <w:marLeft w:val="0"/>
      <w:marRight w:val="0"/>
      <w:marTop w:val="0"/>
      <w:marBottom w:val="0"/>
      <w:divBdr>
        <w:top w:val="none" w:sz="0" w:space="0" w:color="auto"/>
        <w:left w:val="none" w:sz="0" w:space="0" w:color="auto"/>
        <w:bottom w:val="none" w:sz="0" w:space="0" w:color="auto"/>
        <w:right w:val="none" w:sz="0" w:space="0" w:color="auto"/>
      </w:divBdr>
    </w:div>
    <w:div w:id="1342927333">
      <w:bodyDiv w:val="1"/>
      <w:marLeft w:val="0"/>
      <w:marRight w:val="0"/>
      <w:marTop w:val="0"/>
      <w:marBottom w:val="0"/>
      <w:divBdr>
        <w:top w:val="none" w:sz="0" w:space="0" w:color="auto"/>
        <w:left w:val="none" w:sz="0" w:space="0" w:color="auto"/>
        <w:bottom w:val="none" w:sz="0" w:space="0" w:color="auto"/>
        <w:right w:val="none" w:sz="0" w:space="0" w:color="auto"/>
      </w:divBdr>
    </w:div>
    <w:div w:id="1535999503">
      <w:bodyDiv w:val="1"/>
      <w:marLeft w:val="0"/>
      <w:marRight w:val="0"/>
      <w:marTop w:val="0"/>
      <w:marBottom w:val="0"/>
      <w:divBdr>
        <w:top w:val="none" w:sz="0" w:space="0" w:color="auto"/>
        <w:left w:val="none" w:sz="0" w:space="0" w:color="auto"/>
        <w:bottom w:val="none" w:sz="0" w:space="0" w:color="auto"/>
        <w:right w:val="none" w:sz="0" w:space="0" w:color="auto"/>
      </w:divBdr>
    </w:div>
    <w:div w:id="1609386358">
      <w:bodyDiv w:val="1"/>
      <w:marLeft w:val="0"/>
      <w:marRight w:val="0"/>
      <w:marTop w:val="0"/>
      <w:marBottom w:val="0"/>
      <w:divBdr>
        <w:top w:val="none" w:sz="0" w:space="0" w:color="auto"/>
        <w:left w:val="none" w:sz="0" w:space="0" w:color="auto"/>
        <w:bottom w:val="none" w:sz="0" w:space="0" w:color="auto"/>
        <w:right w:val="none" w:sz="0" w:space="0" w:color="auto"/>
      </w:divBdr>
    </w:div>
    <w:div w:id="1616600340">
      <w:bodyDiv w:val="1"/>
      <w:marLeft w:val="0"/>
      <w:marRight w:val="0"/>
      <w:marTop w:val="0"/>
      <w:marBottom w:val="0"/>
      <w:divBdr>
        <w:top w:val="none" w:sz="0" w:space="0" w:color="auto"/>
        <w:left w:val="none" w:sz="0" w:space="0" w:color="auto"/>
        <w:bottom w:val="none" w:sz="0" w:space="0" w:color="auto"/>
        <w:right w:val="none" w:sz="0" w:space="0" w:color="auto"/>
      </w:divBdr>
    </w:div>
    <w:div w:id="1981491267">
      <w:bodyDiv w:val="1"/>
      <w:marLeft w:val="0"/>
      <w:marRight w:val="0"/>
      <w:marTop w:val="0"/>
      <w:marBottom w:val="0"/>
      <w:divBdr>
        <w:top w:val="none" w:sz="0" w:space="0" w:color="auto"/>
        <w:left w:val="none" w:sz="0" w:space="0" w:color="auto"/>
        <w:bottom w:val="none" w:sz="0" w:space="0" w:color="auto"/>
        <w:right w:val="none" w:sz="0" w:space="0" w:color="auto"/>
      </w:divBdr>
    </w:div>
    <w:div w:id="203299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cquisition.gov/PSC_Manu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fast.faa.gov/docs/acquisitionManagementPolicy/acquisitionManagement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0D48B-A790-44FF-A5A7-897DAA5E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11</Pages>
  <Words>3516</Words>
  <Characters>20047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Ahmadi, Lenita (OST)</dc:creator>
  <cp:keywords/>
  <dc:description/>
  <cp:lastModifiedBy>Johnson, Jennifer (OST)</cp:lastModifiedBy>
  <cp:revision>9</cp:revision>
  <cp:lastPrinted>2019-03-13T20:11:00Z</cp:lastPrinted>
  <dcterms:created xsi:type="dcterms:W3CDTF">2019-03-29T17:23:00Z</dcterms:created>
  <dcterms:modified xsi:type="dcterms:W3CDTF">2019-04-01T13:53:00Z</dcterms:modified>
</cp:coreProperties>
</file>