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532" w:rsidRDefault="00284577">
      <w:pPr>
        <w:pStyle w:val="Heading1"/>
        <w:jc w:val="center"/>
        <w:rPr>
          <w:rFonts w:eastAsia="Times New Roman"/>
        </w:rPr>
      </w:pPr>
      <w:bookmarkStart w:id="0" w:name="_GoBack"/>
      <w:bookmarkEnd w:id="0"/>
      <w:r>
        <w:rPr>
          <w:rFonts w:eastAsia="Times New Roman"/>
        </w:rPr>
        <w:t>Report on DOT Significant Rulemakings</w:t>
      </w:r>
    </w:p>
    <w:p w:rsidR="00832532" w:rsidRDefault="00284577">
      <w:pPr>
        <w:jc w:val="center"/>
        <w:rPr>
          <w:rFonts w:ascii="Times" w:eastAsia="Times New Roman" w:hAnsi="Times" w:cs="Times"/>
          <w:sz w:val="36"/>
          <w:szCs w:val="36"/>
        </w:rPr>
      </w:pPr>
      <w:r>
        <w:rPr>
          <w:rFonts w:ascii="Times" w:eastAsia="Times New Roman" w:hAnsi="Times" w:cs="Times"/>
          <w:sz w:val="36"/>
          <w:szCs w:val="36"/>
        </w:rPr>
        <w:t>Table of Contents</w:t>
      </w:r>
    </w:p>
    <w:p w:rsidR="00832532" w:rsidRDefault="00284577">
      <w:pPr>
        <w:rPr>
          <w:rFonts w:ascii="Times" w:eastAsia="Times New Roman" w:hAnsi="Times" w:cs="Times"/>
        </w:rPr>
      </w:pPr>
      <w:r>
        <w:rPr>
          <w:rFonts w:ascii="Times" w:eastAsia="Times New Roman" w:hAnsi="Times" w:cs="Times"/>
          <w:b/>
          <w:bCs/>
        </w:rPr>
        <w:t>Federal Aviation Administration</w:t>
      </w:r>
    </w:p>
    <w:p w:rsidR="00832532" w:rsidRDefault="00284577">
      <w:pPr>
        <w:divId w:val="298875824"/>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rsidR="00832532" w:rsidRDefault="00832532">
      <w:pPr>
        <w:rPr>
          <w:rFonts w:ascii="Times" w:eastAsia="Times New Roman" w:hAnsi="Times" w:cs="Times"/>
          <w:sz w:val="20"/>
          <w:szCs w:val="20"/>
        </w:rPr>
      </w:pPr>
    </w:p>
    <w:p w:rsidR="00832532" w:rsidRDefault="00284577">
      <w:pPr>
        <w:divId w:val="936668566"/>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Student Pilot Application Requirements (formerly Photo Requirements for Pilot Certificates)</w:t>
        </w:r>
      </w:hyperlink>
    </w:p>
    <w:p w:rsidR="00832532" w:rsidRDefault="00832532">
      <w:pPr>
        <w:rPr>
          <w:rFonts w:ascii="Times" w:eastAsia="Times New Roman" w:hAnsi="Times" w:cs="Times"/>
          <w:sz w:val="20"/>
          <w:szCs w:val="20"/>
        </w:rPr>
      </w:pPr>
    </w:p>
    <w:p w:rsidR="00832532" w:rsidRDefault="00284577">
      <w:pPr>
        <w:divId w:val="1314021578"/>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 xml:space="preserve">Operation and Certification of Small Unmanned Aircraft Systems </w:t>
        </w:r>
      </w:hyperlink>
    </w:p>
    <w:p w:rsidR="00832532" w:rsidRDefault="00832532">
      <w:pPr>
        <w:rPr>
          <w:rFonts w:ascii="Times" w:eastAsia="Times New Roman" w:hAnsi="Times" w:cs="Times"/>
          <w:sz w:val="20"/>
          <w:szCs w:val="20"/>
        </w:rPr>
      </w:pPr>
    </w:p>
    <w:p w:rsidR="00832532" w:rsidRDefault="00284577">
      <w:pPr>
        <w:divId w:val="1279533740"/>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Prohibition Against Certain Flights Within the Territory and Airspace of Afghanistan</w:t>
        </w:r>
      </w:hyperlink>
    </w:p>
    <w:p w:rsidR="00832532" w:rsidRDefault="00832532">
      <w:pPr>
        <w:rPr>
          <w:rFonts w:ascii="Times" w:eastAsia="Times New Roman" w:hAnsi="Times" w:cs="Times"/>
          <w:sz w:val="20"/>
          <w:szCs w:val="20"/>
        </w:rPr>
      </w:pPr>
    </w:p>
    <w:p w:rsidR="00832532" w:rsidRDefault="00284577">
      <w:pPr>
        <w:divId w:val="1029255467"/>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Requirement for Wildlife Assessments at Certificated Airports</w:t>
        </w:r>
      </w:hyperlink>
    </w:p>
    <w:p w:rsidR="00832532" w:rsidRDefault="00832532">
      <w:pPr>
        <w:rPr>
          <w:rFonts w:ascii="Times" w:eastAsia="Times New Roman" w:hAnsi="Times" w:cs="Times"/>
          <w:sz w:val="20"/>
          <w:szCs w:val="20"/>
        </w:rPr>
      </w:pPr>
    </w:p>
    <w:p w:rsidR="00832532" w:rsidRDefault="00284577">
      <w:pPr>
        <w:divId w:val="1247543997"/>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Regulation Of Flight Operations Conducted By Alaska Guide Pilots</w:t>
        </w:r>
      </w:hyperlink>
    </w:p>
    <w:p w:rsidR="00832532" w:rsidRDefault="00832532">
      <w:pPr>
        <w:rPr>
          <w:rFonts w:ascii="Times" w:eastAsia="Times New Roman" w:hAnsi="Times" w:cs="Times"/>
          <w:sz w:val="20"/>
          <w:szCs w:val="20"/>
        </w:rPr>
      </w:pPr>
    </w:p>
    <w:p w:rsidR="00832532" w:rsidRDefault="00284577">
      <w:pPr>
        <w:divId w:val="298192539"/>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Air Carrier Maintenance Training Program</w:t>
        </w:r>
      </w:hyperlink>
    </w:p>
    <w:p w:rsidR="00832532" w:rsidRDefault="00832532">
      <w:pPr>
        <w:rPr>
          <w:rFonts w:ascii="Times" w:eastAsia="Times New Roman" w:hAnsi="Times" w:cs="Times"/>
          <w:sz w:val="20"/>
          <w:szCs w:val="20"/>
        </w:rPr>
      </w:pPr>
    </w:p>
    <w:p w:rsidR="00832532" w:rsidRDefault="00284577">
      <w:pPr>
        <w:divId w:val="1788111761"/>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 xml:space="preserve">Pilot Professional Development </w:t>
        </w:r>
      </w:hyperlink>
    </w:p>
    <w:p w:rsidR="00832532" w:rsidRDefault="00832532">
      <w:pPr>
        <w:rPr>
          <w:rFonts w:ascii="Times" w:eastAsia="Times New Roman" w:hAnsi="Times" w:cs="Times"/>
          <w:sz w:val="20"/>
          <w:szCs w:val="20"/>
        </w:rPr>
      </w:pPr>
    </w:p>
    <w:p w:rsidR="00832532" w:rsidRDefault="00284577">
      <w:pPr>
        <w:divId w:val="941497288"/>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Slot Management and Transparency for LaGuardia Airport, John F. Kennedy International Airport, and Newark Liberty International Airport</w:t>
        </w:r>
      </w:hyperlink>
    </w:p>
    <w:p w:rsidR="00832532" w:rsidRDefault="00832532">
      <w:pPr>
        <w:rPr>
          <w:rFonts w:ascii="Times" w:eastAsia="Times New Roman" w:hAnsi="Times" w:cs="Times"/>
          <w:sz w:val="20"/>
          <w:szCs w:val="20"/>
        </w:rPr>
      </w:pPr>
    </w:p>
    <w:p w:rsidR="00832532" w:rsidRDefault="00284577">
      <w:pPr>
        <w:divId w:val="1699231078"/>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Drug and Alcohol Testing of Certain Maintenance Provider Employees Located Outside of the United States</w:t>
        </w:r>
      </w:hyperlink>
    </w:p>
    <w:p w:rsidR="00832532" w:rsidRDefault="00832532">
      <w:pPr>
        <w:rPr>
          <w:rFonts w:ascii="Times" w:eastAsia="Times New Roman" w:hAnsi="Times" w:cs="Times"/>
          <w:sz w:val="20"/>
          <w:szCs w:val="20"/>
        </w:rPr>
      </w:pPr>
    </w:p>
    <w:p w:rsidR="00832532" w:rsidRDefault="00284577">
      <w:pPr>
        <w:divId w:val="882249810"/>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Prohibition of Tail End Ferry in Part 121 (Reauthorization)</w:t>
        </w:r>
      </w:hyperlink>
    </w:p>
    <w:p w:rsidR="00832532" w:rsidRDefault="00832532">
      <w:pPr>
        <w:rPr>
          <w:rFonts w:ascii="Times" w:eastAsia="Times New Roman" w:hAnsi="Times" w:cs="Times"/>
          <w:sz w:val="20"/>
          <w:szCs w:val="20"/>
        </w:rPr>
      </w:pPr>
    </w:p>
    <w:p w:rsidR="00832532" w:rsidRDefault="00284577">
      <w:pPr>
        <w:divId w:val="785855362"/>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Applying the Flight, Duty, and Rest Rules of 14 CFR part 135 to Tail-End Ferry Operations (FAA Reauthorization</w:t>
        </w:r>
      </w:hyperlink>
    </w:p>
    <w:p w:rsidR="00832532" w:rsidRDefault="00832532">
      <w:pPr>
        <w:rPr>
          <w:rFonts w:ascii="Times" w:eastAsia="Times New Roman" w:hAnsi="Times" w:cs="Times"/>
          <w:sz w:val="20"/>
          <w:szCs w:val="20"/>
        </w:rPr>
      </w:pPr>
    </w:p>
    <w:p w:rsidR="00832532" w:rsidRDefault="00284577">
      <w:pPr>
        <w:divId w:val="466242009"/>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Pilot Records Database (HR 5900)</w:t>
        </w:r>
      </w:hyperlink>
    </w:p>
    <w:p w:rsidR="00832532" w:rsidRDefault="00832532">
      <w:pPr>
        <w:rPr>
          <w:rFonts w:ascii="Times" w:eastAsia="Times New Roman" w:hAnsi="Times" w:cs="Times"/>
          <w:sz w:val="20"/>
          <w:szCs w:val="20"/>
        </w:rPr>
      </w:pPr>
    </w:p>
    <w:p w:rsidR="00832532" w:rsidRDefault="00284577">
      <w:pPr>
        <w:divId w:val="556818549"/>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Pilot Biometric Certificates (FAA Reauthorization)</w:t>
        </w:r>
      </w:hyperlink>
    </w:p>
    <w:p w:rsidR="00832532" w:rsidRDefault="00832532">
      <w:pPr>
        <w:rPr>
          <w:rFonts w:ascii="Times" w:eastAsia="Times New Roman" w:hAnsi="Times" w:cs="Times"/>
          <w:sz w:val="20"/>
          <w:szCs w:val="20"/>
        </w:rPr>
      </w:pPr>
    </w:p>
    <w:p w:rsidR="00832532" w:rsidRDefault="00284577">
      <w:pPr>
        <w:divId w:val="57095503"/>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Aircraft Registration and Airmen Certification Fees</w:t>
        </w:r>
      </w:hyperlink>
    </w:p>
    <w:p w:rsidR="00832532" w:rsidRDefault="00832532">
      <w:pPr>
        <w:rPr>
          <w:rFonts w:ascii="Times" w:eastAsia="Times New Roman" w:hAnsi="Times" w:cs="Times"/>
          <w:sz w:val="20"/>
          <w:szCs w:val="20"/>
        </w:rPr>
      </w:pPr>
    </w:p>
    <w:p w:rsidR="00832532" w:rsidRDefault="00284577">
      <w:pPr>
        <w:divId w:val="1114638092"/>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 xml:space="preserve">Permanent Requirement for Helicopters to use the New York North Shore Helicopter Route </w:t>
        </w:r>
      </w:hyperlink>
    </w:p>
    <w:p w:rsidR="00832532" w:rsidRDefault="00832532">
      <w:pPr>
        <w:rPr>
          <w:rFonts w:ascii="Times" w:eastAsia="Times New Roman" w:hAnsi="Times" w:cs="Times"/>
          <w:sz w:val="20"/>
          <w:szCs w:val="20"/>
        </w:rPr>
      </w:pPr>
    </w:p>
    <w:p w:rsidR="00832532" w:rsidRDefault="00284577">
      <w:pPr>
        <w:divId w:val="1457522003"/>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Medical Self-Evaluation for Certain Noncommercial Operations in Lieu of Airman Medical Certification</w:t>
        </w:r>
      </w:hyperlink>
    </w:p>
    <w:p w:rsidR="00832532" w:rsidRDefault="00832532">
      <w:pPr>
        <w:rPr>
          <w:rFonts w:ascii="Times" w:eastAsia="Times New Roman" w:hAnsi="Times" w:cs="Times"/>
          <w:sz w:val="20"/>
          <w:szCs w:val="20"/>
        </w:rPr>
      </w:pPr>
    </w:p>
    <w:p w:rsidR="00832532" w:rsidRDefault="00284577">
      <w:pPr>
        <w:divId w:val="1430194339"/>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Helicopter Air Ambulance Pilot Training and Operational Requirements (HAA II) (FAA Reauthorization)</w:t>
        </w:r>
      </w:hyperlink>
    </w:p>
    <w:p w:rsidR="00832532" w:rsidRDefault="00832532">
      <w:pPr>
        <w:rPr>
          <w:rFonts w:ascii="Times" w:eastAsia="Times New Roman" w:hAnsi="Times" w:cs="Times"/>
          <w:sz w:val="20"/>
          <w:szCs w:val="20"/>
        </w:rPr>
      </w:pPr>
    </w:p>
    <w:p w:rsidR="00832532" w:rsidRDefault="00284577">
      <w:pPr>
        <w:divId w:val="1876577531"/>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Part 23 Reorganization</w:t>
        </w:r>
      </w:hyperlink>
    </w:p>
    <w:p w:rsidR="00832532" w:rsidRDefault="00832532">
      <w:pPr>
        <w:rPr>
          <w:rFonts w:ascii="Times" w:eastAsia="Times New Roman" w:hAnsi="Times" w:cs="Times"/>
          <w:sz w:val="20"/>
          <w:szCs w:val="20"/>
        </w:rPr>
      </w:pPr>
    </w:p>
    <w:p w:rsidR="00832532" w:rsidRDefault="00284577">
      <w:pPr>
        <w:rPr>
          <w:rFonts w:ascii="Times" w:eastAsia="Times New Roman" w:hAnsi="Times" w:cs="Times"/>
        </w:rPr>
      </w:pPr>
      <w:r>
        <w:rPr>
          <w:rFonts w:ascii="Times" w:eastAsia="Times New Roman" w:hAnsi="Times" w:cs="Times"/>
          <w:b/>
          <w:bCs/>
        </w:rPr>
        <w:t>Federal Highway Administration</w:t>
      </w:r>
    </w:p>
    <w:p w:rsidR="00832532" w:rsidRDefault="00284577">
      <w:pPr>
        <w:divId w:val="1165971153"/>
        <w:rPr>
          <w:rFonts w:ascii="Times" w:eastAsia="Times New Roman" w:hAnsi="Times" w:cs="Times"/>
        </w:rPr>
      </w:pPr>
      <w:r>
        <w:rPr>
          <w:rFonts w:ascii="Times" w:eastAsia="Times New Roman" w:hAnsi="Times" w:cs="Times"/>
        </w:rPr>
        <w:lastRenderedPageBreak/>
        <w:t>20. </w:t>
      </w:r>
      <w:hyperlink w:anchor="20" w:history="1">
        <w:r>
          <w:rPr>
            <w:rStyle w:val="Hyperlink"/>
            <w:rFonts w:ascii="Times" w:eastAsia="Times New Roman" w:hAnsi="Times" w:cs="Times"/>
          </w:rPr>
          <w:t>National Tunnel Inspection Standards (MAP-21)</w:t>
        </w:r>
      </w:hyperlink>
    </w:p>
    <w:p w:rsidR="00832532" w:rsidRDefault="00832532">
      <w:pPr>
        <w:rPr>
          <w:rFonts w:ascii="Times" w:eastAsia="Times New Roman" w:hAnsi="Times" w:cs="Times"/>
          <w:sz w:val="20"/>
          <w:szCs w:val="20"/>
        </w:rPr>
      </w:pPr>
    </w:p>
    <w:p w:rsidR="00832532" w:rsidRDefault="00284577">
      <w:pPr>
        <w:divId w:val="1506628288"/>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Pavement Markings</w:t>
        </w:r>
      </w:hyperlink>
    </w:p>
    <w:p w:rsidR="00832532" w:rsidRDefault="00832532">
      <w:pPr>
        <w:rPr>
          <w:rFonts w:ascii="Times" w:eastAsia="Times New Roman" w:hAnsi="Times" w:cs="Times"/>
          <w:sz w:val="20"/>
          <w:szCs w:val="20"/>
        </w:rPr>
      </w:pPr>
    </w:p>
    <w:p w:rsidR="00832532" w:rsidRDefault="00284577">
      <w:pPr>
        <w:divId w:val="1022053132"/>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National Goals and Performance Management Measures (MAP-21)</w:t>
        </w:r>
      </w:hyperlink>
    </w:p>
    <w:p w:rsidR="00832532" w:rsidRDefault="00832532">
      <w:pPr>
        <w:rPr>
          <w:rFonts w:ascii="Times" w:eastAsia="Times New Roman" w:hAnsi="Times" w:cs="Times"/>
          <w:sz w:val="20"/>
          <w:szCs w:val="20"/>
        </w:rPr>
      </w:pPr>
    </w:p>
    <w:p w:rsidR="00832532" w:rsidRDefault="00284577">
      <w:pPr>
        <w:divId w:val="605044229"/>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Highway Worker Safety (MAP-21)</w:t>
        </w:r>
      </w:hyperlink>
    </w:p>
    <w:p w:rsidR="00832532" w:rsidRDefault="00832532">
      <w:pPr>
        <w:rPr>
          <w:rFonts w:ascii="Times" w:eastAsia="Times New Roman" w:hAnsi="Times" w:cs="Times"/>
          <w:sz w:val="20"/>
          <w:szCs w:val="20"/>
        </w:rPr>
      </w:pPr>
    </w:p>
    <w:p w:rsidR="00832532" w:rsidRDefault="00284577">
      <w:pPr>
        <w:divId w:val="1840273912"/>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Statewide and Nonmetropolitan Transportation Planning; Metropolitan Transportation Planning (MAP-21)</w:t>
        </w:r>
      </w:hyperlink>
    </w:p>
    <w:p w:rsidR="00832532" w:rsidRDefault="00832532">
      <w:pPr>
        <w:rPr>
          <w:rFonts w:ascii="Times" w:eastAsia="Times New Roman" w:hAnsi="Times" w:cs="Times"/>
          <w:sz w:val="20"/>
          <w:szCs w:val="20"/>
        </w:rPr>
      </w:pPr>
    </w:p>
    <w:p w:rsidR="00832532" w:rsidRDefault="00284577">
      <w:pPr>
        <w:divId w:val="276330645"/>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National Goals and Performance Management Measures (MAP-21)</w:t>
        </w:r>
      </w:hyperlink>
    </w:p>
    <w:p w:rsidR="00832532" w:rsidRDefault="00832532">
      <w:pPr>
        <w:rPr>
          <w:rFonts w:ascii="Times" w:eastAsia="Times New Roman" w:hAnsi="Times" w:cs="Times"/>
          <w:sz w:val="20"/>
          <w:szCs w:val="20"/>
        </w:rPr>
      </w:pPr>
    </w:p>
    <w:p w:rsidR="00832532" w:rsidRDefault="00284577">
      <w:pPr>
        <w:divId w:val="504131945"/>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National Goals and Performance Management Measures (MAP-21)</w:t>
        </w:r>
      </w:hyperlink>
    </w:p>
    <w:p w:rsidR="00832532" w:rsidRDefault="00832532">
      <w:pPr>
        <w:rPr>
          <w:rFonts w:ascii="Times" w:eastAsia="Times New Roman" w:hAnsi="Times" w:cs="Times"/>
          <w:sz w:val="20"/>
          <w:szCs w:val="20"/>
        </w:rPr>
      </w:pPr>
    </w:p>
    <w:p w:rsidR="00832532" w:rsidRDefault="00284577">
      <w:pPr>
        <w:divId w:val="1852717143"/>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National Bridge Inspection Standards (MAP-21)</w:t>
        </w:r>
      </w:hyperlink>
    </w:p>
    <w:p w:rsidR="00832532" w:rsidRDefault="00832532">
      <w:pPr>
        <w:rPr>
          <w:rFonts w:ascii="Times" w:eastAsia="Times New Roman" w:hAnsi="Times" w:cs="Times"/>
          <w:sz w:val="20"/>
          <w:szCs w:val="20"/>
        </w:rPr>
      </w:pPr>
    </w:p>
    <w:p w:rsidR="00832532" w:rsidRDefault="00284577">
      <w:pPr>
        <w:divId w:val="2046787570"/>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Highway Safety Improvement Program (MAP-21)</w:t>
        </w:r>
      </w:hyperlink>
    </w:p>
    <w:p w:rsidR="00832532" w:rsidRDefault="00832532">
      <w:pPr>
        <w:rPr>
          <w:rFonts w:ascii="Times" w:eastAsia="Times New Roman" w:hAnsi="Times" w:cs="Times"/>
          <w:sz w:val="20"/>
          <w:szCs w:val="20"/>
        </w:rPr>
      </w:pPr>
    </w:p>
    <w:p w:rsidR="00832532" w:rsidRDefault="00284577">
      <w:pPr>
        <w:divId w:val="315843570"/>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Asset Management Plan (MAP-21)</w:t>
        </w:r>
      </w:hyperlink>
    </w:p>
    <w:p w:rsidR="00832532" w:rsidRDefault="00832532">
      <w:pPr>
        <w:rPr>
          <w:rFonts w:ascii="Times" w:eastAsia="Times New Roman" w:hAnsi="Times" w:cs="Times"/>
          <w:sz w:val="20"/>
          <w:szCs w:val="20"/>
        </w:rPr>
      </w:pPr>
    </w:p>
    <w:p w:rsidR="00832532" w:rsidRDefault="00284577">
      <w:pPr>
        <w:divId w:val="1613895530"/>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Congestion Mitigation and Air Quality Improvement Program (MAP-21)</w:t>
        </w:r>
      </w:hyperlink>
    </w:p>
    <w:p w:rsidR="00832532" w:rsidRDefault="00832532">
      <w:pPr>
        <w:rPr>
          <w:rFonts w:ascii="Times" w:eastAsia="Times New Roman" w:hAnsi="Times" w:cs="Times"/>
          <w:sz w:val="20"/>
          <w:szCs w:val="20"/>
        </w:rPr>
      </w:pPr>
    </w:p>
    <w:p w:rsidR="00832532" w:rsidRDefault="00284577">
      <w:pPr>
        <w:divId w:val="1162349492"/>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Buy America (RRR)</w:t>
        </w:r>
      </w:hyperlink>
    </w:p>
    <w:p w:rsidR="00832532" w:rsidRDefault="00832532">
      <w:pPr>
        <w:rPr>
          <w:rFonts w:ascii="Times" w:eastAsia="Times New Roman" w:hAnsi="Times" w:cs="Times"/>
          <w:sz w:val="20"/>
          <w:szCs w:val="20"/>
        </w:rPr>
      </w:pPr>
    </w:p>
    <w:p w:rsidR="00832532" w:rsidRDefault="00284577">
      <w:pPr>
        <w:divId w:val="202401814"/>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Opportunities to Improve State Reporting Requirements Under the Highway Safety Improvement Program (HSIP) and the Highway Safety Program (HSP) (RRR)</w:t>
        </w:r>
      </w:hyperlink>
    </w:p>
    <w:p w:rsidR="00832532" w:rsidRDefault="00832532">
      <w:pPr>
        <w:rPr>
          <w:rFonts w:ascii="Times" w:eastAsia="Times New Roman" w:hAnsi="Times" w:cs="Times"/>
          <w:sz w:val="20"/>
          <w:szCs w:val="20"/>
        </w:rPr>
      </w:pPr>
    </w:p>
    <w:p w:rsidR="00832532" w:rsidRDefault="00284577">
      <w:pPr>
        <w:rPr>
          <w:rFonts w:ascii="Times" w:eastAsia="Times New Roman" w:hAnsi="Times" w:cs="Times"/>
        </w:rPr>
      </w:pPr>
      <w:r>
        <w:rPr>
          <w:rFonts w:ascii="Times" w:eastAsia="Times New Roman" w:hAnsi="Times" w:cs="Times"/>
          <w:b/>
          <w:bCs/>
        </w:rPr>
        <w:t>Federal Motor Carrier Safety Administration</w:t>
      </w:r>
    </w:p>
    <w:p w:rsidR="00832532" w:rsidRDefault="00284577">
      <w:pPr>
        <w:divId w:val="1199854461"/>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Application by Certain Mexico-Domiciled Motor Carriers to Operate Beyond U.S. Municipalities and Commercial Zones on the U.S.-Mexico Border</w:t>
        </w:r>
      </w:hyperlink>
    </w:p>
    <w:p w:rsidR="00832532" w:rsidRDefault="00832532">
      <w:pPr>
        <w:rPr>
          <w:rFonts w:ascii="Times" w:eastAsia="Times New Roman" w:hAnsi="Times" w:cs="Times"/>
          <w:sz w:val="20"/>
          <w:szCs w:val="20"/>
        </w:rPr>
      </w:pPr>
    </w:p>
    <w:p w:rsidR="00832532" w:rsidRDefault="00284577">
      <w:pPr>
        <w:divId w:val="241061611"/>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Safety Monitoring System and Compliance Initiative for Mexico-Domiciled Motor Carriers Operating in the United States</w:t>
        </w:r>
      </w:hyperlink>
    </w:p>
    <w:p w:rsidR="00832532" w:rsidRDefault="00832532">
      <w:pPr>
        <w:rPr>
          <w:rFonts w:ascii="Times" w:eastAsia="Times New Roman" w:hAnsi="Times" w:cs="Times"/>
          <w:sz w:val="20"/>
          <w:szCs w:val="20"/>
        </w:rPr>
      </w:pPr>
    </w:p>
    <w:p w:rsidR="00832532" w:rsidRDefault="00284577">
      <w:pPr>
        <w:divId w:val="538401362"/>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Certification of Safety Auditors, Safety Investigators, and Safety Inspectors</w:t>
        </w:r>
      </w:hyperlink>
    </w:p>
    <w:p w:rsidR="00832532" w:rsidRDefault="00832532">
      <w:pPr>
        <w:rPr>
          <w:rFonts w:ascii="Times" w:eastAsia="Times New Roman" w:hAnsi="Times" w:cs="Times"/>
          <w:sz w:val="20"/>
          <w:szCs w:val="20"/>
        </w:rPr>
      </w:pPr>
    </w:p>
    <w:p w:rsidR="00832532" w:rsidRDefault="00284577">
      <w:pPr>
        <w:divId w:val="714696352"/>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Limitations on the Issuance of Commercial Driver Licenses with a Hazardous Materials Endorsement</w:t>
        </w:r>
      </w:hyperlink>
    </w:p>
    <w:p w:rsidR="00832532" w:rsidRDefault="00832532">
      <w:pPr>
        <w:rPr>
          <w:rFonts w:ascii="Times" w:eastAsia="Times New Roman" w:hAnsi="Times" w:cs="Times"/>
          <w:sz w:val="20"/>
          <w:szCs w:val="20"/>
        </w:rPr>
      </w:pPr>
    </w:p>
    <w:p w:rsidR="00832532" w:rsidRDefault="00284577">
      <w:pPr>
        <w:divId w:val="843783465"/>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Consumer Complaint Information</w:t>
        </w:r>
      </w:hyperlink>
    </w:p>
    <w:p w:rsidR="00832532" w:rsidRDefault="00832532">
      <w:pPr>
        <w:rPr>
          <w:rFonts w:ascii="Times" w:eastAsia="Times New Roman" w:hAnsi="Times" w:cs="Times"/>
          <w:sz w:val="20"/>
          <w:szCs w:val="20"/>
        </w:rPr>
      </w:pPr>
    </w:p>
    <w:p w:rsidR="00832532" w:rsidRDefault="00284577">
      <w:pPr>
        <w:divId w:val="1016224579"/>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Carrier Safety Fitness Determination</w:t>
        </w:r>
      </w:hyperlink>
    </w:p>
    <w:p w:rsidR="00832532" w:rsidRDefault="00832532">
      <w:pPr>
        <w:rPr>
          <w:rFonts w:ascii="Times" w:eastAsia="Times New Roman" w:hAnsi="Times" w:cs="Times"/>
          <w:sz w:val="20"/>
          <w:szCs w:val="20"/>
        </w:rPr>
      </w:pPr>
    </w:p>
    <w:p w:rsidR="00832532" w:rsidRDefault="00284577">
      <w:pPr>
        <w:divId w:val="1090346086"/>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New Entrant Safety Assurance Process: Implementation of Section 210(b) of the Motor Carrier Safety Improvement Act of 1999</w:t>
        </w:r>
      </w:hyperlink>
    </w:p>
    <w:p w:rsidR="00832532" w:rsidRDefault="00832532">
      <w:pPr>
        <w:rPr>
          <w:rFonts w:ascii="Times" w:eastAsia="Times New Roman" w:hAnsi="Times" w:cs="Times"/>
          <w:sz w:val="20"/>
          <w:szCs w:val="20"/>
        </w:rPr>
      </w:pPr>
    </w:p>
    <w:p w:rsidR="00832532" w:rsidRDefault="00284577">
      <w:pPr>
        <w:divId w:val="1729064963"/>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Commercial Driver's License Drug and Alcohol Clearinghouse (MAP-21)</w:t>
        </w:r>
      </w:hyperlink>
    </w:p>
    <w:p w:rsidR="00832532" w:rsidRDefault="00832532">
      <w:pPr>
        <w:rPr>
          <w:rFonts w:ascii="Times" w:eastAsia="Times New Roman" w:hAnsi="Times" w:cs="Times"/>
          <w:sz w:val="20"/>
          <w:szCs w:val="20"/>
        </w:rPr>
      </w:pPr>
    </w:p>
    <w:p w:rsidR="00832532" w:rsidRDefault="00284577">
      <w:pPr>
        <w:divId w:val="963196208"/>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Electronic Logging Devices and Hours of Service Supporting Documents (MAP-21) (RRR)</w:t>
        </w:r>
      </w:hyperlink>
    </w:p>
    <w:p w:rsidR="00832532" w:rsidRDefault="00832532">
      <w:pPr>
        <w:rPr>
          <w:rFonts w:ascii="Times" w:eastAsia="Times New Roman" w:hAnsi="Times" w:cs="Times"/>
          <w:sz w:val="20"/>
          <w:szCs w:val="20"/>
        </w:rPr>
      </w:pPr>
    </w:p>
    <w:p w:rsidR="00832532" w:rsidRDefault="00284577">
      <w:pPr>
        <w:divId w:val="112984498"/>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MAP-21 Enhancements and Other Updates to the Unified Registration System</w:t>
        </w:r>
      </w:hyperlink>
    </w:p>
    <w:p w:rsidR="00832532" w:rsidRDefault="00832532">
      <w:pPr>
        <w:rPr>
          <w:rFonts w:ascii="Times" w:eastAsia="Times New Roman" w:hAnsi="Times" w:cs="Times"/>
          <w:sz w:val="20"/>
          <w:szCs w:val="20"/>
        </w:rPr>
      </w:pPr>
    </w:p>
    <w:p w:rsidR="00832532" w:rsidRDefault="00284577">
      <w:pPr>
        <w:divId w:val="569773320"/>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Prohibition of Coercion (MAP-21)</w:t>
        </w:r>
      </w:hyperlink>
    </w:p>
    <w:p w:rsidR="00832532" w:rsidRDefault="00832532">
      <w:pPr>
        <w:rPr>
          <w:rFonts w:ascii="Times" w:eastAsia="Times New Roman" w:hAnsi="Times" w:cs="Times"/>
          <w:sz w:val="20"/>
          <w:szCs w:val="20"/>
        </w:rPr>
      </w:pPr>
    </w:p>
    <w:p w:rsidR="00832532" w:rsidRDefault="00284577">
      <w:pPr>
        <w:divId w:val="2104714689"/>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Heavy Vehicle Speed Limiters</w:t>
        </w:r>
      </w:hyperlink>
    </w:p>
    <w:p w:rsidR="00832532" w:rsidRDefault="00832532">
      <w:pPr>
        <w:rPr>
          <w:rFonts w:ascii="Times" w:eastAsia="Times New Roman" w:hAnsi="Times" w:cs="Times"/>
          <w:sz w:val="20"/>
          <w:szCs w:val="20"/>
        </w:rPr>
      </w:pPr>
    </w:p>
    <w:p w:rsidR="00832532" w:rsidRDefault="00284577">
      <w:pPr>
        <w:divId w:val="1411463418"/>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Entry-Level Driver Training</w:t>
        </w:r>
      </w:hyperlink>
    </w:p>
    <w:p w:rsidR="00832532" w:rsidRDefault="00832532">
      <w:pPr>
        <w:rPr>
          <w:rFonts w:ascii="Times" w:eastAsia="Times New Roman" w:hAnsi="Times" w:cs="Times"/>
          <w:sz w:val="20"/>
          <w:szCs w:val="20"/>
        </w:rPr>
      </w:pPr>
    </w:p>
    <w:p w:rsidR="00832532" w:rsidRDefault="00284577">
      <w:pPr>
        <w:divId w:val="1721858994"/>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Commercial Driver's License Requirements of MAP-21 and the Military Commercial Driver's License Act of 2012</w:t>
        </w:r>
      </w:hyperlink>
    </w:p>
    <w:p w:rsidR="00832532" w:rsidRDefault="00832532">
      <w:pPr>
        <w:rPr>
          <w:rFonts w:ascii="Times" w:eastAsia="Times New Roman" w:hAnsi="Times" w:cs="Times"/>
          <w:sz w:val="20"/>
          <w:szCs w:val="20"/>
        </w:rPr>
      </w:pPr>
    </w:p>
    <w:p w:rsidR="00832532" w:rsidRDefault="00284577">
      <w:pPr>
        <w:divId w:val="2109036864"/>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 xml:space="preserve"> Financial Responsibility for Motor Carriers, Freight Forwarders, and Brokers </w:t>
        </w:r>
      </w:hyperlink>
    </w:p>
    <w:p w:rsidR="00832532" w:rsidRDefault="00832532">
      <w:pPr>
        <w:rPr>
          <w:rFonts w:ascii="Times" w:eastAsia="Times New Roman" w:hAnsi="Times" w:cs="Times"/>
          <w:sz w:val="20"/>
          <w:szCs w:val="20"/>
        </w:rPr>
      </w:pPr>
    </w:p>
    <w:p w:rsidR="00832532" w:rsidRDefault="00284577">
      <w:pPr>
        <w:rPr>
          <w:rFonts w:ascii="Times" w:eastAsia="Times New Roman" w:hAnsi="Times" w:cs="Times"/>
        </w:rPr>
      </w:pPr>
      <w:r>
        <w:rPr>
          <w:rFonts w:ascii="Times" w:eastAsia="Times New Roman" w:hAnsi="Times" w:cs="Times"/>
          <w:b/>
          <w:bCs/>
        </w:rPr>
        <w:t>Federal Railroad Administration</w:t>
      </w:r>
    </w:p>
    <w:p w:rsidR="00832532" w:rsidRDefault="00284577">
      <w:pPr>
        <w:divId w:val="558131813"/>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Risk Reduction Program</w:t>
        </w:r>
      </w:hyperlink>
    </w:p>
    <w:p w:rsidR="00832532" w:rsidRDefault="00832532">
      <w:pPr>
        <w:rPr>
          <w:rFonts w:ascii="Times" w:eastAsia="Times New Roman" w:hAnsi="Times" w:cs="Times"/>
          <w:sz w:val="20"/>
          <w:szCs w:val="20"/>
        </w:rPr>
      </w:pPr>
    </w:p>
    <w:p w:rsidR="00832532" w:rsidRDefault="00284577">
      <w:pPr>
        <w:divId w:val="1332220984"/>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Emergency Escape Breathing Apparatus</w:t>
        </w:r>
      </w:hyperlink>
    </w:p>
    <w:p w:rsidR="00832532" w:rsidRDefault="00832532">
      <w:pPr>
        <w:rPr>
          <w:rFonts w:ascii="Times" w:eastAsia="Times New Roman" w:hAnsi="Times" w:cs="Times"/>
          <w:sz w:val="20"/>
          <w:szCs w:val="20"/>
        </w:rPr>
      </w:pPr>
    </w:p>
    <w:p w:rsidR="00832532" w:rsidRDefault="00284577">
      <w:pPr>
        <w:divId w:val="1095056476"/>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High-Speed Rail Corridor Development and Capital Investment Grants to Support Intercity Passenger Rail Service</w:t>
        </w:r>
      </w:hyperlink>
    </w:p>
    <w:p w:rsidR="00832532" w:rsidRDefault="00832532">
      <w:pPr>
        <w:rPr>
          <w:rFonts w:ascii="Times" w:eastAsia="Times New Roman" w:hAnsi="Times" w:cs="Times"/>
          <w:sz w:val="20"/>
          <w:szCs w:val="20"/>
        </w:rPr>
      </w:pPr>
    </w:p>
    <w:p w:rsidR="00832532" w:rsidRDefault="00284577">
      <w:pPr>
        <w:divId w:val="825323250"/>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High-Speed Intercity Passenger Rail (HSIPR) Program; Buy America Program Requirements</w:t>
        </w:r>
      </w:hyperlink>
    </w:p>
    <w:p w:rsidR="00832532" w:rsidRDefault="00832532">
      <w:pPr>
        <w:rPr>
          <w:rFonts w:ascii="Times" w:eastAsia="Times New Roman" w:hAnsi="Times" w:cs="Times"/>
          <w:sz w:val="20"/>
          <w:szCs w:val="20"/>
        </w:rPr>
      </w:pPr>
    </w:p>
    <w:p w:rsidR="00832532" w:rsidRDefault="00284577">
      <w:pPr>
        <w:divId w:val="1528954929"/>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Railroad System Safety Program</w:t>
        </w:r>
      </w:hyperlink>
    </w:p>
    <w:p w:rsidR="00832532" w:rsidRDefault="00832532">
      <w:pPr>
        <w:rPr>
          <w:rFonts w:ascii="Times" w:eastAsia="Times New Roman" w:hAnsi="Times" w:cs="Times"/>
          <w:sz w:val="20"/>
          <w:szCs w:val="20"/>
        </w:rPr>
      </w:pPr>
    </w:p>
    <w:p w:rsidR="00832532" w:rsidRDefault="00284577">
      <w:pPr>
        <w:divId w:val="1596476110"/>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Passenger Equipment Safety Standards Amendments</w:t>
        </w:r>
      </w:hyperlink>
    </w:p>
    <w:p w:rsidR="00832532" w:rsidRDefault="00832532">
      <w:pPr>
        <w:rPr>
          <w:rFonts w:ascii="Times" w:eastAsia="Times New Roman" w:hAnsi="Times" w:cs="Times"/>
          <w:sz w:val="20"/>
          <w:szCs w:val="20"/>
        </w:rPr>
      </w:pPr>
    </w:p>
    <w:p w:rsidR="00832532" w:rsidRDefault="00284577">
      <w:pPr>
        <w:divId w:val="1623071324"/>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Securement of Unattended Equipment</w:t>
        </w:r>
      </w:hyperlink>
    </w:p>
    <w:p w:rsidR="00832532" w:rsidRDefault="00832532">
      <w:pPr>
        <w:rPr>
          <w:rFonts w:ascii="Times" w:eastAsia="Times New Roman" w:hAnsi="Times" w:cs="Times"/>
          <w:sz w:val="20"/>
          <w:szCs w:val="20"/>
        </w:rPr>
      </w:pPr>
    </w:p>
    <w:p w:rsidR="00832532" w:rsidRDefault="00284577">
      <w:pPr>
        <w:divId w:val="1034504028"/>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Train Crew Staffing and Location</w:t>
        </w:r>
      </w:hyperlink>
    </w:p>
    <w:p w:rsidR="00832532" w:rsidRDefault="00832532">
      <w:pPr>
        <w:rPr>
          <w:rFonts w:ascii="Times" w:eastAsia="Times New Roman" w:hAnsi="Times" w:cs="Times"/>
          <w:sz w:val="20"/>
          <w:szCs w:val="20"/>
        </w:rPr>
      </w:pPr>
    </w:p>
    <w:p w:rsidR="00832532" w:rsidRDefault="00284577">
      <w:pPr>
        <w:rPr>
          <w:rFonts w:ascii="Times" w:eastAsia="Times New Roman" w:hAnsi="Times" w:cs="Times"/>
        </w:rPr>
      </w:pPr>
      <w:r>
        <w:rPr>
          <w:rFonts w:ascii="Times" w:eastAsia="Times New Roman" w:hAnsi="Times" w:cs="Times"/>
          <w:b/>
          <w:bCs/>
        </w:rPr>
        <w:t>Federal Transit Administration</w:t>
      </w:r>
    </w:p>
    <w:p w:rsidR="00832532" w:rsidRDefault="00284577">
      <w:pPr>
        <w:divId w:val="541869190"/>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Private Sector Participation</w:t>
        </w:r>
      </w:hyperlink>
    </w:p>
    <w:p w:rsidR="00832532" w:rsidRDefault="00832532">
      <w:pPr>
        <w:rPr>
          <w:rFonts w:ascii="Times" w:eastAsia="Times New Roman" w:hAnsi="Times" w:cs="Times"/>
          <w:sz w:val="20"/>
          <w:szCs w:val="20"/>
        </w:rPr>
      </w:pPr>
    </w:p>
    <w:p w:rsidR="00832532" w:rsidRDefault="00284577">
      <w:pPr>
        <w:divId w:val="1529103835"/>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Transit Asset Management</w:t>
        </w:r>
      </w:hyperlink>
    </w:p>
    <w:p w:rsidR="00832532" w:rsidRDefault="00832532">
      <w:pPr>
        <w:rPr>
          <w:rFonts w:ascii="Times" w:eastAsia="Times New Roman" w:hAnsi="Times" w:cs="Times"/>
          <w:sz w:val="20"/>
          <w:szCs w:val="20"/>
        </w:rPr>
      </w:pPr>
    </w:p>
    <w:p w:rsidR="00832532" w:rsidRDefault="00284577">
      <w:pPr>
        <w:divId w:val="1939631519"/>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Statewide and Nonmetropolitan Transportation Planning; Metropolitan Transportation Planning (MAP-21)</w:t>
        </w:r>
      </w:hyperlink>
    </w:p>
    <w:p w:rsidR="00832532" w:rsidRDefault="00832532">
      <w:pPr>
        <w:rPr>
          <w:rFonts w:ascii="Times" w:eastAsia="Times New Roman" w:hAnsi="Times" w:cs="Times"/>
          <w:sz w:val="20"/>
          <w:szCs w:val="20"/>
        </w:rPr>
      </w:pPr>
    </w:p>
    <w:p w:rsidR="00832532" w:rsidRDefault="00284577">
      <w:pPr>
        <w:divId w:val="199170601"/>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Bus Testing: Pass/Fail and Safety Criteria (MAP-21)</w:t>
        </w:r>
      </w:hyperlink>
    </w:p>
    <w:p w:rsidR="00832532" w:rsidRDefault="00832532">
      <w:pPr>
        <w:rPr>
          <w:rFonts w:ascii="Times" w:eastAsia="Times New Roman" w:hAnsi="Times" w:cs="Times"/>
          <w:sz w:val="20"/>
          <w:szCs w:val="20"/>
        </w:rPr>
      </w:pPr>
    </w:p>
    <w:p w:rsidR="00832532" w:rsidRDefault="00284577">
      <w:pPr>
        <w:divId w:val="744494896"/>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Buy America: Amendments (MAP-21)</w:t>
        </w:r>
      </w:hyperlink>
    </w:p>
    <w:p w:rsidR="00832532" w:rsidRDefault="00832532">
      <w:pPr>
        <w:rPr>
          <w:rFonts w:ascii="Times" w:eastAsia="Times New Roman" w:hAnsi="Times" w:cs="Times"/>
          <w:sz w:val="20"/>
          <w:szCs w:val="20"/>
        </w:rPr>
      </w:pPr>
    </w:p>
    <w:p w:rsidR="00832532" w:rsidRDefault="00284577">
      <w:pPr>
        <w:divId w:val="141698322"/>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Core Capacity Projects (MAP-21)</w:t>
        </w:r>
      </w:hyperlink>
    </w:p>
    <w:p w:rsidR="00832532" w:rsidRDefault="00832532">
      <w:pPr>
        <w:rPr>
          <w:rFonts w:ascii="Times" w:eastAsia="Times New Roman" w:hAnsi="Times" w:cs="Times"/>
          <w:sz w:val="20"/>
          <w:szCs w:val="20"/>
        </w:rPr>
      </w:pPr>
    </w:p>
    <w:p w:rsidR="00832532" w:rsidRDefault="00284577">
      <w:pPr>
        <w:divId w:val="989283211"/>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New and Small Start Projects (MAP-21)</w:t>
        </w:r>
      </w:hyperlink>
    </w:p>
    <w:p w:rsidR="00832532" w:rsidRDefault="00832532">
      <w:pPr>
        <w:rPr>
          <w:rFonts w:ascii="Times" w:eastAsia="Times New Roman" w:hAnsi="Times" w:cs="Times"/>
          <w:sz w:val="20"/>
          <w:szCs w:val="20"/>
        </w:rPr>
      </w:pPr>
    </w:p>
    <w:p w:rsidR="00832532" w:rsidRDefault="00284577">
      <w:pPr>
        <w:divId w:val="937367254"/>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National and Public Transportation Safety Plans (MAP-21) and Transit Asset Management</w:t>
        </w:r>
      </w:hyperlink>
    </w:p>
    <w:p w:rsidR="00832532" w:rsidRDefault="00832532">
      <w:pPr>
        <w:rPr>
          <w:rFonts w:ascii="Times" w:eastAsia="Times New Roman" w:hAnsi="Times" w:cs="Times"/>
          <w:sz w:val="20"/>
          <w:szCs w:val="20"/>
        </w:rPr>
      </w:pPr>
    </w:p>
    <w:p w:rsidR="00832532" w:rsidRDefault="00284577">
      <w:pPr>
        <w:divId w:val="764690459"/>
        <w:rPr>
          <w:rFonts w:ascii="Times" w:eastAsia="Times New Roman" w:hAnsi="Times" w:cs="Times"/>
        </w:rPr>
      </w:pPr>
      <w:r>
        <w:rPr>
          <w:rFonts w:ascii="Times" w:eastAsia="Times New Roman" w:hAnsi="Times" w:cs="Times"/>
        </w:rPr>
        <w:lastRenderedPageBreak/>
        <w:t>64. </w:t>
      </w:r>
      <w:hyperlink w:anchor="64" w:history="1">
        <w:r>
          <w:rPr>
            <w:rStyle w:val="Hyperlink"/>
            <w:rFonts w:ascii="Times" w:eastAsia="Times New Roman" w:hAnsi="Times" w:cs="Times"/>
          </w:rPr>
          <w:t>Public Transportation Safety Program</w:t>
        </w:r>
      </w:hyperlink>
    </w:p>
    <w:p w:rsidR="00832532" w:rsidRDefault="00832532">
      <w:pPr>
        <w:rPr>
          <w:rFonts w:ascii="Times" w:eastAsia="Times New Roman" w:hAnsi="Times" w:cs="Times"/>
          <w:sz w:val="20"/>
          <w:szCs w:val="20"/>
        </w:rPr>
      </w:pPr>
    </w:p>
    <w:p w:rsidR="00832532" w:rsidRDefault="00284577">
      <w:pPr>
        <w:divId w:val="1880360688"/>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Public Transportation Agency Safety Plans</w:t>
        </w:r>
      </w:hyperlink>
    </w:p>
    <w:p w:rsidR="00832532" w:rsidRDefault="00832532">
      <w:pPr>
        <w:rPr>
          <w:rFonts w:ascii="Times" w:eastAsia="Times New Roman" w:hAnsi="Times" w:cs="Times"/>
          <w:sz w:val="20"/>
          <w:szCs w:val="20"/>
        </w:rPr>
      </w:pPr>
    </w:p>
    <w:p w:rsidR="00832532" w:rsidRDefault="00284577">
      <w:pPr>
        <w:divId w:val="1020811880"/>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Proposed Interim Policy Guidance: Federal Transit Administration Capital Investment Grant Program</w:t>
        </w:r>
      </w:hyperlink>
    </w:p>
    <w:p w:rsidR="00832532" w:rsidRDefault="00832532">
      <w:pPr>
        <w:rPr>
          <w:rFonts w:ascii="Times" w:eastAsia="Times New Roman" w:hAnsi="Times" w:cs="Times"/>
          <w:sz w:val="20"/>
          <w:szCs w:val="20"/>
        </w:rPr>
      </w:pPr>
    </w:p>
    <w:p w:rsidR="00832532" w:rsidRDefault="00284577">
      <w:pPr>
        <w:rPr>
          <w:rFonts w:ascii="Times" w:eastAsia="Times New Roman" w:hAnsi="Times" w:cs="Times"/>
        </w:rPr>
      </w:pPr>
      <w:r>
        <w:rPr>
          <w:rFonts w:ascii="Times" w:eastAsia="Times New Roman" w:hAnsi="Times" w:cs="Times"/>
          <w:b/>
          <w:bCs/>
        </w:rPr>
        <w:t>Maritime Administration</w:t>
      </w:r>
    </w:p>
    <w:p w:rsidR="00832532" w:rsidRDefault="00284577">
      <w:pPr>
        <w:divId w:val="2020425005"/>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Cargo Preference</w:t>
        </w:r>
      </w:hyperlink>
    </w:p>
    <w:p w:rsidR="00832532" w:rsidRDefault="00832532">
      <w:pPr>
        <w:rPr>
          <w:rFonts w:ascii="Times" w:eastAsia="Times New Roman" w:hAnsi="Times" w:cs="Times"/>
          <w:sz w:val="20"/>
          <w:szCs w:val="20"/>
        </w:rPr>
      </w:pPr>
    </w:p>
    <w:p w:rsidR="00832532" w:rsidRDefault="00284577">
      <w:pPr>
        <w:rPr>
          <w:rFonts w:ascii="Times" w:eastAsia="Times New Roman" w:hAnsi="Times" w:cs="Times"/>
        </w:rPr>
      </w:pPr>
      <w:r>
        <w:rPr>
          <w:rFonts w:ascii="Times" w:eastAsia="Times New Roman" w:hAnsi="Times" w:cs="Times"/>
          <w:b/>
          <w:bCs/>
        </w:rPr>
        <w:t>National Highway Traffic Safety Administration</w:t>
      </w:r>
    </w:p>
    <w:p w:rsidR="00832532" w:rsidRDefault="00284577">
      <w:pPr>
        <w:divId w:val="1993018653"/>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Tire Fuel Efficiency Consumer Information - Part 2</w:t>
        </w:r>
      </w:hyperlink>
    </w:p>
    <w:p w:rsidR="00832532" w:rsidRDefault="00832532">
      <w:pPr>
        <w:rPr>
          <w:rFonts w:ascii="Times" w:eastAsia="Times New Roman" w:hAnsi="Times" w:cs="Times"/>
          <w:sz w:val="20"/>
          <w:szCs w:val="20"/>
        </w:rPr>
      </w:pPr>
    </w:p>
    <w:p w:rsidR="00832532" w:rsidRDefault="00284577">
      <w:pPr>
        <w:divId w:val="253176158"/>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Mandatory Event Data Recorder Requirements</w:t>
        </w:r>
      </w:hyperlink>
    </w:p>
    <w:p w:rsidR="00832532" w:rsidRDefault="00832532">
      <w:pPr>
        <w:rPr>
          <w:rFonts w:ascii="Times" w:eastAsia="Times New Roman" w:hAnsi="Times" w:cs="Times"/>
          <w:sz w:val="20"/>
          <w:szCs w:val="20"/>
        </w:rPr>
      </w:pPr>
    </w:p>
    <w:p w:rsidR="00832532" w:rsidRDefault="00284577">
      <w:pPr>
        <w:divId w:val="218369703"/>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 xml:space="preserve">Heavy Vehicle Speed Limiters </w:t>
        </w:r>
      </w:hyperlink>
    </w:p>
    <w:p w:rsidR="00832532" w:rsidRDefault="00832532">
      <w:pPr>
        <w:rPr>
          <w:rFonts w:ascii="Times" w:eastAsia="Times New Roman" w:hAnsi="Times" w:cs="Times"/>
          <w:sz w:val="20"/>
          <w:szCs w:val="20"/>
        </w:rPr>
      </w:pPr>
    </w:p>
    <w:p w:rsidR="00832532" w:rsidRDefault="00284577">
      <w:pPr>
        <w:divId w:val="733043829"/>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 xml:space="preserve">Sound for Hybrid and Electric Vehicles </w:t>
        </w:r>
      </w:hyperlink>
    </w:p>
    <w:p w:rsidR="00832532" w:rsidRDefault="00832532">
      <w:pPr>
        <w:rPr>
          <w:rFonts w:ascii="Times" w:eastAsia="Times New Roman" w:hAnsi="Times" w:cs="Times"/>
          <w:sz w:val="20"/>
          <w:szCs w:val="20"/>
        </w:rPr>
      </w:pPr>
    </w:p>
    <w:p w:rsidR="00832532" w:rsidRDefault="00284577">
      <w:pPr>
        <w:divId w:val="381907850"/>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 xml:space="preserve">Establish Side Impact Performance Requirements for Child Restraint Systems (MAP-21) </w:t>
        </w:r>
      </w:hyperlink>
    </w:p>
    <w:p w:rsidR="00832532" w:rsidRDefault="00832532">
      <w:pPr>
        <w:rPr>
          <w:rFonts w:ascii="Times" w:eastAsia="Times New Roman" w:hAnsi="Times" w:cs="Times"/>
          <w:sz w:val="20"/>
          <w:szCs w:val="20"/>
        </w:rPr>
      </w:pPr>
    </w:p>
    <w:p w:rsidR="00832532" w:rsidRDefault="00284577">
      <w:pPr>
        <w:divId w:val="842671463"/>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 xml:space="preserve">Motorcoach Rollover Structural Integrity (MAP-21) </w:t>
        </w:r>
      </w:hyperlink>
    </w:p>
    <w:p w:rsidR="00832532" w:rsidRDefault="00832532">
      <w:pPr>
        <w:rPr>
          <w:rFonts w:ascii="Times" w:eastAsia="Times New Roman" w:hAnsi="Times" w:cs="Times"/>
          <w:sz w:val="20"/>
          <w:szCs w:val="20"/>
        </w:rPr>
      </w:pPr>
    </w:p>
    <w:p w:rsidR="00832532" w:rsidRDefault="00284577">
      <w:pPr>
        <w:divId w:val="1708917452"/>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FMVSS No. 218 and Enforcement Policy Concerning Novelty Helmets</w:t>
        </w:r>
      </w:hyperlink>
    </w:p>
    <w:p w:rsidR="00832532" w:rsidRDefault="00832532">
      <w:pPr>
        <w:rPr>
          <w:rFonts w:ascii="Times" w:eastAsia="Times New Roman" w:hAnsi="Times" w:cs="Times"/>
          <w:sz w:val="20"/>
          <w:szCs w:val="20"/>
        </w:rPr>
      </w:pPr>
    </w:p>
    <w:p w:rsidR="00832532" w:rsidRDefault="00284577">
      <w:pPr>
        <w:divId w:val="1162742412"/>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Uniform Procedures for State Highway Safety Programs (MAP-21)</w:t>
        </w:r>
      </w:hyperlink>
    </w:p>
    <w:p w:rsidR="00832532" w:rsidRDefault="00832532">
      <w:pPr>
        <w:rPr>
          <w:rFonts w:ascii="Times" w:eastAsia="Times New Roman" w:hAnsi="Times" w:cs="Times"/>
          <w:sz w:val="20"/>
          <w:szCs w:val="20"/>
        </w:rPr>
      </w:pPr>
    </w:p>
    <w:p w:rsidR="00832532" w:rsidRDefault="00284577">
      <w:pPr>
        <w:divId w:val="688609110"/>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Rear Seat Belt Reminder System</w:t>
        </w:r>
      </w:hyperlink>
    </w:p>
    <w:p w:rsidR="00832532" w:rsidRDefault="00832532">
      <w:pPr>
        <w:rPr>
          <w:rFonts w:ascii="Times" w:eastAsia="Times New Roman" w:hAnsi="Times" w:cs="Times"/>
          <w:sz w:val="20"/>
          <w:szCs w:val="20"/>
        </w:rPr>
      </w:pPr>
    </w:p>
    <w:p w:rsidR="00832532" w:rsidRDefault="00284577">
      <w:pPr>
        <w:divId w:val="285040294"/>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Fuel Efficiency Standards for Medium- and Heavy-Duty Vehicles and Work Trucks: Phase 2</w:t>
        </w:r>
      </w:hyperlink>
    </w:p>
    <w:p w:rsidR="00832532" w:rsidRDefault="00832532">
      <w:pPr>
        <w:rPr>
          <w:rFonts w:ascii="Times" w:eastAsia="Times New Roman" w:hAnsi="Times" w:cs="Times"/>
          <w:sz w:val="20"/>
          <w:szCs w:val="20"/>
        </w:rPr>
      </w:pPr>
    </w:p>
    <w:p w:rsidR="00832532" w:rsidRDefault="00284577">
      <w:pPr>
        <w:divId w:val="973407790"/>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Federal Motor Vehicle Safety Standard (FMVSS) 150 - Vehicle to Vehicle (V2V) Communication</w:t>
        </w:r>
      </w:hyperlink>
    </w:p>
    <w:p w:rsidR="00832532" w:rsidRDefault="00832532">
      <w:pPr>
        <w:rPr>
          <w:rFonts w:ascii="Times" w:eastAsia="Times New Roman" w:hAnsi="Times" w:cs="Times"/>
          <w:sz w:val="20"/>
          <w:szCs w:val="20"/>
        </w:rPr>
      </w:pPr>
    </w:p>
    <w:p w:rsidR="00832532" w:rsidRDefault="00284577">
      <w:pPr>
        <w:divId w:val="310600692"/>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Rear Impact Guards and Other Safety Strategies for Single Unit Trucks</w:t>
        </w:r>
      </w:hyperlink>
    </w:p>
    <w:p w:rsidR="00832532" w:rsidRDefault="00832532">
      <w:pPr>
        <w:rPr>
          <w:rFonts w:ascii="Times" w:eastAsia="Times New Roman" w:hAnsi="Times" w:cs="Times"/>
          <w:sz w:val="20"/>
          <w:szCs w:val="20"/>
        </w:rPr>
      </w:pPr>
    </w:p>
    <w:p w:rsidR="00832532" w:rsidRDefault="00284577">
      <w:pPr>
        <w:rPr>
          <w:rFonts w:ascii="Times" w:eastAsia="Times New Roman" w:hAnsi="Times" w:cs="Times"/>
        </w:rPr>
      </w:pPr>
      <w:r>
        <w:rPr>
          <w:rFonts w:ascii="Times" w:eastAsia="Times New Roman" w:hAnsi="Times" w:cs="Times"/>
          <w:b/>
          <w:bCs/>
        </w:rPr>
        <w:t>Office of the Secretary</w:t>
      </w:r>
    </w:p>
    <w:p w:rsidR="00832532" w:rsidRDefault="00284577">
      <w:pPr>
        <w:divId w:val="799113191"/>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Smoking of Electronic Cigarettes On Commercial Aircraft</w:t>
        </w:r>
      </w:hyperlink>
    </w:p>
    <w:p w:rsidR="00832532" w:rsidRDefault="00832532">
      <w:pPr>
        <w:rPr>
          <w:rFonts w:ascii="Times" w:eastAsia="Times New Roman" w:hAnsi="Times" w:cs="Times"/>
          <w:sz w:val="20"/>
          <w:szCs w:val="20"/>
        </w:rPr>
      </w:pPr>
    </w:p>
    <w:p w:rsidR="00832532" w:rsidRDefault="00284577">
      <w:pPr>
        <w:divId w:val="1636594407"/>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Airline Pricing Transparency and Other Consumer Protection Issues</w:t>
        </w:r>
      </w:hyperlink>
    </w:p>
    <w:p w:rsidR="00832532" w:rsidRDefault="00832532">
      <w:pPr>
        <w:rPr>
          <w:rFonts w:ascii="Times" w:eastAsia="Times New Roman" w:hAnsi="Times" w:cs="Times"/>
          <w:sz w:val="20"/>
          <w:szCs w:val="20"/>
        </w:rPr>
      </w:pPr>
    </w:p>
    <w:p w:rsidR="00832532" w:rsidRDefault="00284577">
      <w:pPr>
        <w:divId w:val="877887414"/>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Carrier-Supplied Medical Oxygen, Service Animals, Accessible Lavatories on Single-Aisle Aircraft, Service Request Reporting, and Seating Accommodations with Extra Legroom</w:t>
        </w:r>
      </w:hyperlink>
    </w:p>
    <w:p w:rsidR="00832532" w:rsidRDefault="00832532">
      <w:pPr>
        <w:rPr>
          <w:rFonts w:ascii="Times" w:eastAsia="Times New Roman" w:hAnsi="Times" w:cs="Times"/>
          <w:sz w:val="20"/>
          <w:szCs w:val="20"/>
        </w:rPr>
      </w:pPr>
    </w:p>
    <w:p w:rsidR="00832532" w:rsidRDefault="00284577">
      <w:pPr>
        <w:divId w:val="326370694"/>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Transportation Services for Individuals with Disabilities: Over-the-Road Buses (RRR)</w:t>
        </w:r>
      </w:hyperlink>
    </w:p>
    <w:p w:rsidR="00832532" w:rsidRDefault="00832532">
      <w:pPr>
        <w:rPr>
          <w:rFonts w:ascii="Times" w:eastAsia="Times New Roman" w:hAnsi="Times" w:cs="Times"/>
          <w:sz w:val="20"/>
          <w:szCs w:val="20"/>
        </w:rPr>
      </w:pPr>
    </w:p>
    <w:p w:rsidR="00832532" w:rsidRDefault="00284577">
      <w:pPr>
        <w:divId w:val="2107650398"/>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Use of Mobile Wireless Devices for Voice Calls on Aircraft</w:t>
        </w:r>
      </w:hyperlink>
    </w:p>
    <w:p w:rsidR="00832532" w:rsidRDefault="00832532">
      <w:pPr>
        <w:rPr>
          <w:rFonts w:ascii="Times" w:eastAsia="Times New Roman" w:hAnsi="Times" w:cs="Times"/>
          <w:sz w:val="20"/>
          <w:szCs w:val="20"/>
        </w:rPr>
      </w:pPr>
    </w:p>
    <w:p w:rsidR="00832532" w:rsidRDefault="00284577">
      <w:pPr>
        <w:divId w:val="1860464880"/>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Reporting Ancillary Airline Passenger Revenues</w:t>
        </w:r>
      </w:hyperlink>
    </w:p>
    <w:p w:rsidR="00832532" w:rsidRDefault="00832532">
      <w:pPr>
        <w:rPr>
          <w:rFonts w:ascii="Times" w:eastAsia="Times New Roman" w:hAnsi="Times" w:cs="Times"/>
          <w:sz w:val="20"/>
          <w:szCs w:val="20"/>
        </w:rPr>
      </w:pPr>
    </w:p>
    <w:p w:rsidR="00832532" w:rsidRDefault="00284577">
      <w:pPr>
        <w:divId w:val="1208647031"/>
        <w:rPr>
          <w:rFonts w:ascii="Times" w:eastAsia="Times New Roman" w:hAnsi="Times" w:cs="Times"/>
        </w:rPr>
      </w:pPr>
      <w:r>
        <w:rPr>
          <w:rFonts w:ascii="Times" w:eastAsia="Times New Roman" w:hAnsi="Times" w:cs="Times"/>
        </w:rPr>
        <w:lastRenderedPageBreak/>
        <w:t>86. </w:t>
      </w:r>
      <w:hyperlink w:anchor="86" w:history="1">
        <w:r>
          <w:rPr>
            <w:rStyle w:val="Hyperlink"/>
            <w:rFonts w:ascii="Times" w:eastAsia="Times New Roman" w:hAnsi="Times" w:cs="Times"/>
          </w:rPr>
          <w:t>Accessible In-Flight Entertainment</w:t>
        </w:r>
      </w:hyperlink>
    </w:p>
    <w:p w:rsidR="00832532" w:rsidRDefault="00832532">
      <w:pPr>
        <w:rPr>
          <w:rFonts w:ascii="Times" w:eastAsia="Times New Roman" w:hAnsi="Times" w:cs="Times"/>
          <w:sz w:val="20"/>
          <w:szCs w:val="20"/>
        </w:rPr>
      </w:pPr>
    </w:p>
    <w:p w:rsidR="00832532" w:rsidRDefault="00284577">
      <w:pPr>
        <w:divId w:val="1733040096"/>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Adoption of Governmentwide Uniform Administrative Requirements, Cost Principles, and Audit Requirements for Federal Awards</w:t>
        </w:r>
      </w:hyperlink>
    </w:p>
    <w:p w:rsidR="00832532" w:rsidRDefault="00832532">
      <w:pPr>
        <w:rPr>
          <w:rFonts w:ascii="Times" w:eastAsia="Times New Roman" w:hAnsi="Times" w:cs="Times"/>
          <w:sz w:val="20"/>
          <w:szCs w:val="20"/>
        </w:rPr>
      </w:pPr>
    </w:p>
    <w:p w:rsidR="00832532" w:rsidRDefault="00284577">
      <w:pPr>
        <w:divId w:val="1813862768"/>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Reporting of Statistics For Mishandled Baggage and Wheelchairs</w:t>
        </w:r>
      </w:hyperlink>
    </w:p>
    <w:p w:rsidR="00832532" w:rsidRDefault="00832532">
      <w:pPr>
        <w:rPr>
          <w:rFonts w:ascii="Times" w:eastAsia="Times New Roman" w:hAnsi="Times" w:cs="Times"/>
          <w:sz w:val="20"/>
          <w:szCs w:val="20"/>
        </w:rPr>
      </w:pPr>
    </w:p>
    <w:p w:rsidR="00832532" w:rsidRDefault="00284577">
      <w:pPr>
        <w:rPr>
          <w:rFonts w:ascii="Times" w:eastAsia="Times New Roman" w:hAnsi="Times" w:cs="Times"/>
        </w:rPr>
      </w:pPr>
      <w:r>
        <w:rPr>
          <w:rFonts w:ascii="Times" w:eastAsia="Times New Roman" w:hAnsi="Times" w:cs="Times"/>
          <w:b/>
          <w:bCs/>
        </w:rPr>
        <w:t>Pipeline and Hazardous Materials Safety Administration</w:t>
      </w:r>
    </w:p>
    <w:p w:rsidR="00832532" w:rsidRDefault="00284577">
      <w:pPr>
        <w:divId w:val="961031768"/>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Pipeline Safety: Enforcement of State Excavation Damage Laws</w:t>
        </w:r>
      </w:hyperlink>
    </w:p>
    <w:p w:rsidR="00832532" w:rsidRDefault="00832532">
      <w:pPr>
        <w:rPr>
          <w:rFonts w:ascii="Times" w:eastAsia="Times New Roman" w:hAnsi="Times" w:cs="Times"/>
          <w:sz w:val="20"/>
          <w:szCs w:val="20"/>
        </w:rPr>
      </w:pPr>
    </w:p>
    <w:p w:rsidR="00832532" w:rsidRDefault="00284577">
      <w:pPr>
        <w:divId w:val="1870797309"/>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Hazardous Materials: Safety Requirements for External Product Piping on Cargo Tanks Transporting Flammable Liquids (Wetlines) (MAP-21)</w:t>
        </w:r>
      </w:hyperlink>
    </w:p>
    <w:p w:rsidR="00832532" w:rsidRDefault="00832532">
      <w:pPr>
        <w:rPr>
          <w:rFonts w:ascii="Times" w:eastAsia="Times New Roman" w:hAnsi="Times" w:cs="Times"/>
          <w:sz w:val="20"/>
          <w:szCs w:val="20"/>
        </w:rPr>
      </w:pPr>
    </w:p>
    <w:p w:rsidR="00832532" w:rsidRDefault="00284577">
      <w:pPr>
        <w:divId w:val="151334112"/>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Pipeline Safety: Safety of On-Shore Liquid Hazardous Pipelines</w:t>
        </w:r>
      </w:hyperlink>
    </w:p>
    <w:p w:rsidR="00832532" w:rsidRDefault="00832532">
      <w:pPr>
        <w:rPr>
          <w:rFonts w:ascii="Times" w:eastAsia="Times New Roman" w:hAnsi="Times" w:cs="Times"/>
          <w:sz w:val="20"/>
          <w:szCs w:val="20"/>
        </w:rPr>
      </w:pPr>
    </w:p>
    <w:p w:rsidR="00832532" w:rsidRDefault="00284577">
      <w:pPr>
        <w:divId w:val="465464432"/>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Pipeline Safety: Excess Flow Valves In Applications Other Than Single-Family Residences in Gas Distribution Systems</w:t>
        </w:r>
      </w:hyperlink>
    </w:p>
    <w:p w:rsidR="00832532" w:rsidRDefault="00832532">
      <w:pPr>
        <w:rPr>
          <w:rFonts w:ascii="Times" w:eastAsia="Times New Roman" w:hAnsi="Times" w:cs="Times"/>
          <w:sz w:val="20"/>
          <w:szCs w:val="20"/>
        </w:rPr>
      </w:pPr>
    </w:p>
    <w:p w:rsidR="00832532" w:rsidRDefault="00284577">
      <w:pPr>
        <w:divId w:val="692338207"/>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Pipeline Safety: Gas Transmission</w:t>
        </w:r>
      </w:hyperlink>
    </w:p>
    <w:p w:rsidR="00832532" w:rsidRDefault="00832532">
      <w:pPr>
        <w:rPr>
          <w:rFonts w:ascii="Times" w:eastAsia="Times New Roman" w:hAnsi="Times" w:cs="Times"/>
          <w:sz w:val="20"/>
          <w:szCs w:val="20"/>
        </w:rPr>
      </w:pPr>
    </w:p>
    <w:p w:rsidR="00832532" w:rsidRDefault="00284577">
      <w:pPr>
        <w:divId w:val="1056851920"/>
        <w:rPr>
          <w:rFonts w:ascii="Times" w:eastAsia="Times New Roman" w:hAnsi="Times" w:cs="Times"/>
        </w:rPr>
      </w:pPr>
      <w:r>
        <w:rPr>
          <w:rFonts w:ascii="Times" w:eastAsia="Times New Roman" w:hAnsi="Times" w:cs="Times"/>
        </w:rPr>
        <w:t>94. </w:t>
      </w:r>
      <w:hyperlink w:anchor="94" w:history="1">
        <w:r>
          <w:rPr>
            <w:rStyle w:val="Hyperlink"/>
            <w:rFonts w:ascii="Times" w:eastAsia="Times New Roman" w:hAnsi="Times" w:cs="Times"/>
          </w:rPr>
          <w:t>Pipeline Safety: Operator Qualification, Cost Recovery, Accident and Incident Notification, and Other Changes (RRR)</w:t>
        </w:r>
      </w:hyperlink>
    </w:p>
    <w:p w:rsidR="00832532" w:rsidRDefault="00832532">
      <w:pPr>
        <w:rPr>
          <w:rFonts w:ascii="Times" w:eastAsia="Times New Roman" w:hAnsi="Times" w:cs="Times"/>
          <w:sz w:val="20"/>
          <w:szCs w:val="20"/>
        </w:rPr>
      </w:pPr>
    </w:p>
    <w:p w:rsidR="00832532" w:rsidRDefault="00284577">
      <w:pPr>
        <w:divId w:val="129054235"/>
        <w:rPr>
          <w:rFonts w:ascii="Times" w:eastAsia="Times New Roman" w:hAnsi="Times" w:cs="Times"/>
        </w:rPr>
      </w:pPr>
      <w:r>
        <w:rPr>
          <w:rFonts w:ascii="Times" w:eastAsia="Times New Roman" w:hAnsi="Times" w:cs="Times"/>
        </w:rPr>
        <w:t>95. </w:t>
      </w:r>
      <w:hyperlink w:anchor="95" w:history="1">
        <w:r>
          <w:rPr>
            <w:rStyle w:val="Hyperlink"/>
            <w:rFonts w:ascii="Times" w:eastAsia="Times New Roman" w:hAnsi="Times" w:cs="Times"/>
          </w:rPr>
          <w:t xml:space="preserve">Pipeline Safety: Amendments to Parts 192 and 195 to require Valve installation and Minimum Rupture Detection Standards </w:t>
        </w:r>
      </w:hyperlink>
    </w:p>
    <w:p w:rsidR="00832532" w:rsidRDefault="00832532">
      <w:pPr>
        <w:rPr>
          <w:rFonts w:ascii="Times" w:eastAsia="Times New Roman" w:hAnsi="Times" w:cs="Times"/>
          <w:sz w:val="20"/>
          <w:szCs w:val="20"/>
        </w:rPr>
      </w:pPr>
    </w:p>
    <w:p w:rsidR="00832532" w:rsidRDefault="00284577">
      <w:pPr>
        <w:divId w:val="883102686"/>
        <w:rPr>
          <w:rFonts w:ascii="Times" w:eastAsia="Times New Roman" w:hAnsi="Times" w:cs="Times"/>
        </w:rPr>
      </w:pPr>
      <w:r>
        <w:rPr>
          <w:rFonts w:ascii="Times" w:eastAsia="Times New Roman" w:hAnsi="Times" w:cs="Times"/>
        </w:rPr>
        <w:t>96. </w:t>
      </w:r>
      <w:hyperlink w:anchor="96" w:history="1">
        <w:r>
          <w:rPr>
            <w:rStyle w:val="Hyperlink"/>
            <w:rFonts w:ascii="Times" w:eastAsia="Times New Roman" w:hAnsi="Times" w:cs="Times"/>
          </w:rPr>
          <w:t>Hazardous Materials: Review and Update of Rail Carrier Regulations in Part 174</w:t>
        </w:r>
      </w:hyperlink>
    </w:p>
    <w:p w:rsidR="00832532" w:rsidRDefault="00832532">
      <w:pPr>
        <w:rPr>
          <w:rFonts w:ascii="Times" w:eastAsia="Times New Roman" w:hAnsi="Times" w:cs="Times"/>
          <w:sz w:val="20"/>
          <w:szCs w:val="20"/>
        </w:rPr>
      </w:pPr>
    </w:p>
    <w:p w:rsidR="00832532" w:rsidRDefault="00284577">
      <w:pPr>
        <w:divId w:val="1195576097"/>
        <w:rPr>
          <w:rFonts w:ascii="Times" w:eastAsia="Times New Roman" w:hAnsi="Times" w:cs="Times"/>
        </w:rPr>
      </w:pPr>
      <w:r>
        <w:rPr>
          <w:rFonts w:ascii="Times" w:eastAsia="Times New Roman" w:hAnsi="Times" w:cs="Times"/>
        </w:rPr>
        <w:t>97. </w:t>
      </w:r>
      <w:hyperlink w:anchor="97" w:history="1">
        <w:r>
          <w:rPr>
            <w:rStyle w:val="Hyperlink"/>
            <w:rFonts w:ascii="Times" w:eastAsia="Times New Roman" w:hAnsi="Times" w:cs="Times"/>
          </w:rPr>
          <w:t>Hazardous Materials: Oil Spill Response Plans for High-Hazard Flammable Trains</w:t>
        </w:r>
      </w:hyperlink>
    </w:p>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832532">
        <w:trPr>
          <w:tblCellSpacing w:w="24" w:type="dxa"/>
        </w:trPr>
        <w:tc>
          <w:tcPr>
            <w:tcW w:w="0" w:type="auto"/>
            <w:gridSpan w:val="2"/>
            <w:vAlign w:val="center"/>
            <w:hideMark/>
          </w:tcPr>
          <w:p w:rsidR="00832532" w:rsidRDefault="00B83055">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2120-AJ38</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certain airport certificate holders to develop, implement, maintain, and adhere to a safety management system (SMS) for its aviation related activities. An SMS is a formalized approach to managing safety by developing an organization-wide safety policy, developing formal methods of identifying hazards, analyzing and mitigating risk, developing methods for ensuring continuous safety improvement, and creating organization-wide safety promotion strategies.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Peer Review</w:t>
                  </w:r>
                  <w:r>
                    <w:rPr>
                      <w:rFonts w:ascii="Times" w:eastAsia="Times New Roman" w:hAnsi="Times" w:cs="Times"/>
                      <w:sz w:val="20"/>
                      <w:szCs w:val="20"/>
                    </w:rPr>
                    <w:br/>
                    <w:t>Foreign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10/23/2015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Student Pilot Application Requirements (formerly 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Student Pilot Application Requirements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2120-AJ42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applicants to apply for a student pilot certificate through a Flight Standards District Office, designated pilot examiner, airman certification representative associated with a pilot school, or certified flight instructor. This rulemaking would respond to section 4012 of the Intelligence Reform and Terrorism Prevention Act and facilitates security vetting by the Transportation Security Administration of student pilot applicants prior to certificate issuance. Section 321 of the FAA Modernization and Reform Act of 2012 supersedes section 4022 of the Intelligence Reform and Terrorism Prevention Act, which provided the basis for the proposed rule. The FAA has initiated a new rulemaking (RIN 2120-AK33) to address the new requirements for pilot certificates set forth in section 321.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78"/>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Final : 06/17/2012</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01/11/2012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05/20/2014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02/13/2012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08/14/2015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 xml:space="preserve">Operation and Certification of Small Unmanned Aircraft Systems </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Unmanned Aircraft</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2120-AJ60</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02/23/2015; C/P End: 04/24/2015</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adopt specific rules to allow the operation of small unmanned aircraft systems in the National Airspace System. These changes would address the operation of unmanned aircraft systems, certification of their operators, registration, and display of registration markings. The rulemaking would also find that airworthiness certification is not required for small unmanned aircraft system operations that would be subject to this proposed rule. Lastly, the rulemaking would prohibit model aircraft from endangering the safety of the National Airspace System.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04"/>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01/24/2011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08/29/2011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12/27/2011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Resent 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12/30/2011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03/07/2012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07/02/2014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02/03/2011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09/18/2014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10/23/2014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03/07/2011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02/15/2015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03/10/2011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02/23/2015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07/14/2011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04/24/2015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9544</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2120-AJ69</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2120-AJ71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require certificated airports to complete a wildlife hazard assessment (WHA) and a wildlife hazard management plan (WHMP). It also would require periodic completion of a WHA, provide an option for continuous wildlife monitoring as an alternative to a periodic WHA, and clarify the requirements for airport wildlife biologists conducting a WHA or implementing a WHMP. This action would improve safety at airports through proactive identification and mitigation of wildlife hazards.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2120-AJ78</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2120-AJ79</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 xml:space="preserve">Pilot Professional Development </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2120-AJ87</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04/20/2015</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Publication Approved</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11/26/2015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2120-AJ89</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01/08/2015; Comments End 04/08/2015; Comment Period Extended 04/13/2015; End of Extended Comment Period 05/08/2015.</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w:t>
            </w:r>
            <w:r w:rsidR="008E4A28">
              <w:rPr>
                <w:rFonts w:ascii="Times" w:eastAsia="Times New Roman" w:hAnsi="Times" w:cs="Times"/>
                <w:sz w:val="20"/>
                <w:szCs w:val="20"/>
              </w:rPr>
              <w:t>area’s</w:t>
            </w:r>
            <w:r>
              <w:rPr>
                <w:rFonts w:ascii="Times" w:eastAsia="Times New Roman" w:hAnsi="Times" w:cs="Times"/>
                <w:sz w:val="20"/>
                <w:szCs w:val="20"/>
              </w:rPr>
              <w:t xml:space="preserve">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Foreign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FAA-2014-1073</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06/22/2011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06/22/2011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04/25/2011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03/09/2013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01/08/2015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04/08/2015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1273</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2120-AK09</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03/17/2014; Comment Period Ends 05/16/2014; Extended Comment Period 05/01/2014; Extended Comment Period End 07/17/2014. ANPRM: Publication Approved 03/05/2014;Publication Date 03/17/2014;End of Comment Period 05/16/2014;Extension of Comment Period 05/01/2014;End of Extended of Comment Period 07/17/2014.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Reform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This rulemaking is required by the FAA Modernization and Reform Act of 2012.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FAA-2012-1058</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3253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Prohibition of Tail End Ferry in Part 121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Green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2120-AK22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01/16/2016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3253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Black</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2120-AK26</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08/03/2015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11/03/2015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01/18/2016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3253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Black</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2120-AK31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01/28/2016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3253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Green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2120-AK33</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3253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Black</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2120-AK37</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04/07/2016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07/06/2016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10/19/2016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3253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 xml:space="preserve">Permanent Requirement for Helicopters to use the New York North Shore Helicopter Route </w:t>
                  </w:r>
                </w:p>
              </w:tc>
              <w:tc>
                <w:tcPr>
                  <w:tcW w:w="360" w:type="dxa"/>
                  <w:tcBorders>
                    <w:top w:val="outset" w:sz="6" w:space="0" w:color="000000"/>
                    <w:left w:val="outset" w:sz="6" w:space="0" w:color="000000"/>
                    <w:bottom w:val="outset" w:sz="6" w:space="0" w:color="000000"/>
                    <w:right w:val="outset" w:sz="6" w:space="0" w:color="00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Black</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2120-AK39</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 will protect and enhance public welfare by making the current rule permanent, thereby continuing to reduce helicopter overflights and attendant noise disturbance over nearby communities.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3253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Medical Self-Evaluation for Certain Noncommercial Operations in Lieu of Airman Medical Certification</w:t>
                  </w:r>
                </w:p>
              </w:tc>
              <w:tc>
                <w:tcPr>
                  <w:tcW w:w="360" w:type="dxa"/>
                  <w:tcBorders>
                    <w:top w:val="outset" w:sz="6" w:space="0" w:color="000000"/>
                    <w:left w:val="outset" w:sz="6" w:space="0" w:color="000000"/>
                    <w:bottom w:val="outset" w:sz="6" w:space="0" w:color="000000"/>
                    <w:right w:val="outset" w:sz="6" w:space="0" w:color="00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Black</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Self-Certification</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2120-AK45</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allowing certain operations to be conducted by individuals exercising private-pilot privileges without holding a current FAA airman medical certificate. The intended effect of this action is to provide relief from having to obtain a medical certificate for pilots engaged in low-risk flying, such as private pilots operating a small, general aviation aircraft.</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02/04/2014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08/14/2014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01/25/2016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3253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Black</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Air Ambulance II</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2120-AK57</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08/18/2014</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10/28/2015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02/29/2016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03/17/2016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3253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Part 23 Reorganization</w:t>
                  </w:r>
                </w:p>
              </w:tc>
              <w:tc>
                <w:tcPr>
                  <w:tcW w:w="360" w:type="dxa"/>
                  <w:tcBorders>
                    <w:top w:val="outset" w:sz="6" w:space="0" w:color="000000"/>
                    <w:left w:val="outset" w:sz="6" w:space="0" w:color="000000"/>
                    <w:bottom w:val="outset" w:sz="6" w:space="0" w:color="000000"/>
                    <w:right w:val="outset" w:sz="6" w:space="0" w:color="00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Black</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23 Reorganization</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2120-AK65</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Title 14, Code of Federal Regulations (14 CFR) part 23 as a set of performance based regulations for the design and certification of small transport category aircraft. This rulemaking would: (1) Reorganize part 23 into performance-based requirements by removing the detailed design requirements from part 23. </w:t>
            </w:r>
            <w:r w:rsidR="008E4A28">
              <w:rPr>
                <w:rFonts w:ascii="Times" w:eastAsia="Times New Roman" w:hAnsi="Times" w:cs="Times"/>
                <w:sz w:val="20"/>
                <w:szCs w:val="20"/>
              </w:rPr>
              <w:t>The detailed design provisions that would assist applicants in complying with the new performance-based requirements would be identified in means of compliance (MOC) documents to support this effort; (2) Promote the adoption of the newly created performance-based airworthiness design standard as an internationally accepted standard by the majority of other civil aviation authorities; (3) Re-align the part 23 requirements to promote the development of entry-level airplanes similar to those certified under Certification Specification for Very Light Aircraft (CS-VLA); (4) enhance the FAA's ability to address new technology; (5) Increase the general aviation (GA) level of safety provided by new and modified airplanes; (6) Amend the stall, stall warning, and spin requirements to reduce fatal accidents and increase crashworthiness by allowing new methods for occupant protection; (7) Address icing conditions that are currently not included in part 23 regulations.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017"/>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NPRM (Pub. L. 113-53) : 12/15/2015</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11/27/2013</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04/01/2016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20" w:name="20"/>
            <w:r>
              <w:rPr>
                <w:rFonts w:ascii="Times" w:eastAsia="Times New Roman" w:hAnsi="Times" w:cs="Times"/>
                <w:b/>
                <w:bCs/>
                <w:sz w:val="20"/>
                <w:szCs w:val="20"/>
              </w:rPr>
              <w:lastRenderedPageBreak/>
              <w:t>Federal Highway Administration</w:t>
            </w:r>
          </w:p>
        </w:tc>
      </w:tr>
      <w:tr w:rsidR="00832532">
        <w:trPr>
          <w:tblCellSpacing w:w="24" w:type="dxa"/>
        </w:trPr>
        <w:tc>
          <w:tcPr>
            <w:tcW w:w="0" w:type="auto"/>
            <w:gridSpan w:val="2"/>
            <w:vAlign w:val="center"/>
            <w:hideMark/>
          </w:tcPr>
          <w:p w:rsidR="00832532" w:rsidRDefault="00B83055">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0"/>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National Tunnel Inspection Standards (MAP-21)</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Tunnel Inspection</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2125-AF24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11/18/08; End of Comment Period 2/17/09. NPRM: Publication Date 7/22/2010; End of Comment Period 09/20/2010. SNPRM: Publication Approved 07/25/2013;Publication Date 07/30/2013;End of Comment Period 09/30/2013.</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revises 23 CFR Part 650 -- Bridges, Structures, and Hydraulics, by adding the National Tunnel Inspection Standards (NTIS) under Subpart E. The NTIS is modeled after the existing National Bridge Inspection Standards and includes requirements for, among other things, inspection procedures, the qualifications and training of inspectors, and a National Tunnel Inventory. MAP-21 broadened FHWAÂ´s authority to include all highway tunnels. In addition, it made a number of changes to the NBIS, upon which this rulemaking is based.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400"/>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Section 1111, MAP-21 (Pub. L. 112-141) : 10/01/2015</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01/30/2008</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FHWA-2008-0038</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Final Rule/2:</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06/19/2014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06/26/2015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07/06/2015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Rule/2:</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21" w:name="21"/>
            <w:r>
              <w:rPr>
                <w:rFonts w:ascii="Times" w:eastAsia="Times New Roman" w:hAnsi="Times" w:cs="Times"/>
                <w:sz w:val="20"/>
                <w:szCs w:val="20"/>
              </w:rPr>
              <w:lastRenderedPageBreak/>
              <w:t>Federal Highway Administration</w:t>
            </w:r>
            <w:bookmarkEnd w:id="21"/>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2125-AF34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07/17/2015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10/16/2015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10/23/2015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22" w:name="22"/>
            <w:r>
              <w:rPr>
                <w:rFonts w:ascii="Times" w:eastAsia="Times New Roman" w:hAnsi="Times" w:cs="Times"/>
                <w:sz w:val="20"/>
                <w:szCs w:val="20"/>
              </w:rPr>
              <w:lastRenderedPageBreak/>
              <w:t>Federal Highway Administration</w:t>
            </w:r>
            <w:bookmarkEnd w:id="22"/>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3253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Green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2125-AF49</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3/11/14; End of C/P: 6/30/14.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publishing up to three separate rulemakings to address the different areas covered by this section. This rulemaking, the first, will cover safety.</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FHWA-2013-0020</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05/01/2015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11/24/2015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09/18/2015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23" w:name="23"/>
            <w:r>
              <w:rPr>
                <w:rFonts w:ascii="Times" w:eastAsia="Times New Roman" w:hAnsi="Times" w:cs="Times"/>
                <w:sz w:val="20"/>
                <w:szCs w:val="20"/>
              </w:rPr>
              <w:lastRenderedPageBreak/>
              <w:t>Federal Highway Administration</w:t>
            </w:r>
            <w:bookmarkEnd w:id="23"/>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3253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Green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2125-AF51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24" w:name="24"/>
            <w:r>
              <w:rPr>
                <w:rFonts w:ascii="Times" w:eastAsia="Times New Roman" w:hAnsi="Times" w:cs="Times"/>
                <w:sz w:val="20"/>
                <w:szCs w:val="20"/>
              </w:rPr>
              <w:lastRenderedPageBreak/>
              <w:t>Federal Highway Administration</w:t>
            </w:r>
            <w:bookmarkEnd w:id="24"/>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3253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Green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2125-AF52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6/2/14; End of C/P: 9/2/14.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The NPRM on Planning and Environmental Linkages (2125-AF66) has been merged with this rulemaking at the final rule stage. These provisions add an additional authority for the use of planning products in the environmental review process required under NEPA. Specifically, through this rulemaking FHWA and FTA would interpret and implement MAP-21Â´s additional authority for FHWA and FTA to use planning products developed by States, MPOs, and other agencies during the transportation planning process in the environmental review process for a project.</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FHWA-2013-0037</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08/28/2015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Highway Administration</w:t>
            </w:r>
            <w:bookmarkEnd w:id="25"/>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3253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Green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2125-AF53</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1/5/15; End of C/P: 4/6/15; End of Extended C/P: 5/8/15.</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FHWA-2013-0053</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07/19/2014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01/05/2015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04/06/2015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326</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Highway Administration</w:t>
            </w:r>
            <w:bookmarkEnd w:id="26"/>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3253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Green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2125-AF54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07/17/2015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10/16/2015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10/23/2015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01/25/2016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Highway Administration</w:t>
            </w:r>
            <w:bookmarkEnd w:id="27"/>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3253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Green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2125-AF55</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12/06/2015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28" w:name="28"/>
            <w:r>
              <w:rPr>
                <w:rFonts w:ascii="Times" w:eastAsia="Times New Roman" w:hAnsi="Times" w:cs="Times"/>
                <w:sz w:val="20"/>
                <w:szCs w:val="20"/>
              </w:rPr>
              <w:lastRenderedPageBreak/>
              <w:t>Federal Highway Administration</w:t>
            </w:r>
            <w:bookmarkEnd w:id="28"/>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3253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Highway Safety Improvement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Green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HSIP</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2125-AF56</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03/28/2014; End of C/P: 05/27/2014; End of Extended C/P: 06/30/2014.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924 to incorporate changes made by MAP-21. Specifically, MAP-21 removed the requirement for States to prepare a Transparency Report, removed the High Risk Rural Roads set-aside, and removed the 10% flexibility provision for States to use safety funding in accordance with 23 U.S.C. 148(e). MAP-21 also adds data system and improvement requirements, State Strategic Highway Safety Plan update requirements, special rules, and State performance targets.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FHWA-2013-0019</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03/13/2015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04/08/2015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08/03/2015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Highway Administration</w:t>
            </w:r>
            <w:bookmarkEnd w:id="29"/>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3253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Green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Asset Management Plan</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2125-AF57</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2/20/15; End of C/P: 4/21/15; End of Extended C/P: 5/29/15.</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w:t>
            </w:r>
            <w:r w:rsidR="0017343C">
              <w:rPr>
                <w:rFonts w:ascii="Times" w:eastAsia="Times New Roman" w:hAnsi="Times" w:cs="Times"/>
                <w:sz w:val="20"/>
                <w:szCs w:val="20"/>
              </w:rPr>
              <w:t xml:space="preserve">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w:t>
            </w:r>
            <w:r>
              <w:rPr>
                <w:rFonts w:ascii="Times" w:eastAsia="Times New Roman" w:hAnsi="Times" w:cs="Times"/>
                <w:sz w:val="20"/>
                <w:szCs w:val="20"/>
              </w:rPr>
              <w:t>This rulemaking would also define the minimum standards for States to use in developing and operating highway bridge and pavement management systems required under 23 U.S.C. 150(c)(3)(A)(i).</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01/10/2014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10/09/2014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10/22/2014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01/27/2015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01/28/2015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02/20/2015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04/21/2015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9231</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Highway Administration</w:t>
            </w:r>
            <w:bookmarkEnd w:id="30"/>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3253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Black</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2125-AF63</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8/4/14; End of C/P: 10/3/14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11/24/2015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31" w:name="31"/>
            <w:r>
              <w:rPr>
                <w:rFonts w:ascii="Times" w:eastAsia="Times New Roman" w:hAnsi="Times" w:cs="Times"/>
                <w:sz w:val="20"/>
                <w:szCs w:val="20"/>
              </w:rPr>
              <w:lastRenderedPageBreak/>
              <w:t>Federal Highway Administration</w:t>
            </w:r>
            <w:bookmarkEnd w:id="31"/>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3253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Black</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2125-AF65</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32" w:name="32"/>
            <w:r>
              <w:rPr>
                <w:rFonts w:ascii="Times" w:eastAsia="Times New Roman" w:hAnsi="Times" w:cs="Times"/>
                <w:sz w:val="20"/>
                <w:szCs w:val="20"/>
              </w:rPr>
              <w:lastRenderedPageBreak/>
              <w:t>Federal Highway Administration</w:t>
            </w:r>
            <w:bookmarkEnd w:id="32"/>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3253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Opportunities to Improve State Reporting Requirements Under the Highway Safety Improvement Program (HSIP) and the Highway Safety Program (HSP) (RRR)</w:t>
                  </w:r>
                </w:p>
              </w:tc>
              <w:tc>
                <w:tcPr>
                  <w:tcW w:w="360" w:type="dxa"/>
                  <w:tcBorders>
                    <w:top w:val="outset" w:sz="6" w:space="0" w:color="000000"/>
                    <w:left w:val="outset" w:sz="6" w:space="0" w:color="000000"/>
                    <w:bottom w:val="outset" w:sz="6" w:space="0" w:color="000000"/>
                    <w:right w:val="outset" w:sz="6" w:space="0" w:color="00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Black</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Highway Safety Programs (RRR)</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2125-ZA06</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11/28/14; End of C/P: 12/29/14.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DOT is exploring ways to more proactively coordinate NHTSA and FHWA highway safety oversight programs, including the HSIP and HSP. The Department plans to request public comment on further opportunities for continued improvement and coordination of these programs. These activities might extend to research, State grant allocations, performance requirements, data collection, and/or Department-wide direction given to States for safety planning, rulemaking, and enforcement.</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07/17/2014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79 FR 70914</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33" w:name="33"/>
            <w:r>
              <w:rPr>
                <w:rFonts w:ascii="Times" w:eastAsia="Times New Roman" w:hAnsi="Times" w:cs="Times"/>
                <w:b/>
                <w:bCs/>
                <w:sz w:val="20"/>
                <w:szCs w:val="20"/>
              </w:rPr>
              <w:lastRenderedPageBreak/>
              <w:t>Federal Motor Carrier Safety Administration</w:t>
            </w:r>
          </w:p>
        </w:tc>
      </w:tr>
      <w:tr w:rsidR="00832532">
        <w:trPr>
          <w:tblCellSpacing w:w="24" w:type="dxa"/>
        </w:trPr>
        <w:tc>
          <w:tcPr>
            <w:tcW w:w="0" w:type="auto"/>
            <w:gridSpan w:val="2"/>
            <w:vAlign w:val="center"/>
            <w:hideMark/>
          </w:tcPr>
          <w:p w:rsidR="00832532" w:rsidRDefault="00B83055">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3"/>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Mexico-Domiciled Motor Carriers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2126-AA34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w:t>
            </w:r>
            <w:r w:rsidR="0017343C">
              <w:rPr>
                <w:rFonts w:ascii="Times" w:eastAsia="Times New Roman" w:hAnsi="Times" w:cs="Times"/>
                <w:sz w:val="20"/>
                <w:szCs w:val="20"/>
              </w:rPr>
              <w:t>applicant’s</w:t>
            </w:r>
            <w:r>
              <w:rPr>
                <w:rFonts w:ascii="Times" w:eastAsia="Times New Roman" w:hAnsi="Times" w:cs="Times"/>
                <w:sz w:val="20"/>
                <w:szCs w:val="20"/>
              </w:rPr>
              <w:t xml:space="preserve">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Motor Carrier Safety Administration</w:t>
            </w:r>
            <w:bookmarkEnd w:id="34"/>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2126-AA35</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35" w:name="35"/>
            <w:r>
              <w:rPr>
                <w:rFonts w:ascii="Times" w:eastAsia="Times New Roman" w:hAnsi="Times" w:cs="Times"/>
                <w:sz w:val="20"/>
                <w:szCs w:val="20"/>
              </w:rPr>
              <w:lastRenderedPageBreak/>
              <w:t>Federal Motor Carrier Safety Administration</w:t>
            </w:r>
            <w:bookmarkEnd w:id="35"/>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2126-AA64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36" w:name="36"/>
            <w:r>
              <w:rPr>
                <w:rFonts w:ascii="Times" w:eastAsia="Times New Roman" w:hAnsi="Times" w:cs="Times"/>
                <w:sz w:val="20"/>
                <w:szCs w:val="20"/>
              </w:rPr>
              <w:lastRenderedPageBreak/>
              <w:t>Federal Motor Carrier Safety Administration</w:t>
            </w:r>
            <w:bookmarkEnd w:id="36"/>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Limitations on the Issuance of Commercial Driver Licenses with a Hazardous Materials Endorsement</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USA PATRIOT Act Rule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2126-AA70</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w:t>
            </w:r>
            <w:r w:rsidR="0017343C">
              <w:rPr>
                <w:rFonts w:ascii="Times" w:eastAsia="Times New Roman" w:hAnsi="Times" w:cs="Times"/>
                <w:sz w:val="20"/>
                <w:szCs w:val="20"/>
              </w:rPr>
              <w:t>driver’s</w:t>
            </w:r>
            <w:r>
              <w:rPr>
                <w:rFonts w:ascii="Times" w:eastAsia="Times New Roman" w:hAnsi="Times" w:cs="Times"/>
                <w:sz w:val="20"/>
                <w:szCs w:val="20"/>
              </w:rPr>
              <w:t xml:space="preserve">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TSAÂ´s extension of compliance date. Since this rulemaking conforms to TSAÂ´s rulemaking, the rulemaking is dependent upon TSA action. This action is considered significant because of substantial public and congressional interest, and national security.</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Motor Carrier Safety Administration</w:t>
            </w:r>
            <w:bookmarkEnd w:id="37"/>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2126-AB01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Carrier Safety Fitness Determination</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2126-AB11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carrier's performance in relation to five of the Agency's Behavioral Analysis and Safety Improvement Categories (BASICs); (2) an investigation; or (3) a combination of on-road safety data and investigation information. The intended effect of this action is to reduce crashes caused by CMV drivers and motor carriers, resulting in death, injuries, and property damage on U.S. highways, by more effectively using FMCSA data and resources to identify unfit motor carriers and to remove them from the Nation's roadways.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03/02/2015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06/23/2015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12/29/2015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Unanticipated issues requiring further analysis</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2126-AB17</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2126-AB18</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2/20/14, End of C/P 5/21/14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w:t>
            </w:r>
            <w:r w:rsidR="0017343C">
              <w:rPr>
                <w:rFonts w:ascii="Times" w:eastAsia="Times New Roman" w:hAnsi="Times" w:cs="Times"/>
                <w:sz w:val="20"/>
                <w:szCs w:val="20"/>
              </w:rPr>
              <w:t>driver’s</w:t>
            </w:r>
            <w:r>
              <w:rPr>
                <w:rFonts w:ascii="Times" w:eastAsia="Times New Roman" w:hAnsi="Times" w:cs="Times"/>
                <w:sz w:val="20"/>
                <w:szCs w:val="20"/>
              </w:rPr>
              <w:t xml:space="preserve">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w:t>
            </w:r>
            <w:r w:rsidR="0017343C">
              <w:rPr>
                <w:rFonts w:ascii="Times" w:eastAsia="Times New Roman" w:hAnsi="Times" w:cs="Times"/>
                <w:sz w:val="20"/>
                <w:szCs w:val="20"/>
              </w:rPr>
              <w:t>applicant’s</w:t>
            </w:r>
            <w:r>
              <w:rPr>
                <w:rFonts w:ascii="Times" w:eastAsia="Times New Roman" w:hAnsi="Times" w:cs="Times"/>
                <w:sz w:val="20"/>
                <w:szCs w:val="20"/>
              </w:rPr>
              <w:t xml:space="preserve">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DOTÂ´s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requires creation of the Clearinghouse by 10/1/14.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Electronic Logging Devices and Hours of Service Supporting Documents (MAP-21) (RRR)</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 (RRR)</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2126-AB20</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 Date 02/01/11; End of C/P 04/04/2011, Extension of C/P 04/13/2011; End of Extended C/P 05/23/11; Notice of Intent 02/13/2012. SNPRM Pub 3/28/14, Ext of C/P 5/16/14, End of Extended C/P 6/26/14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(1) minimum performance and design standards for hours-of-service (HOS) electronic logging devices (ELDs); (2) requirements for the mandatory use of these devices by drivers currently required to prepare HOS records of duty status (RODS); (3) requirements concerning HOS supporting documents; and (4) measures to address concerns about harassment resulting from the mandatory use of ELDs.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01/31/2011</w:t>
                  </w:r>
                  <w:r>
                    <w:rPr>
                      <w:rFonts w:ascii="Times" w:eastAsia="Times New Roman" w:hAnsi="Times" w:cs="Times"/>
                      <w:sz w:val="20"/>
                      <w:szCs w:val="20"/>
                    </w:rPr>
                    <w:br/>
                    <w:t>MAP-21 requires FMCSA to issue a final rule by October 1, 2013, a deadline that FMCSA will not be able to meet, due to the need for notice and comment on these proposals. : 10/01/2013</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06/01/2015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3253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Green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2126-AB56</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32106 of MAP-21, FMCSA proposes to: 1) adjust the URS registration fee for new interstate motor carriers, freight forwarders, brokers, intermodal equipment providers (IEPs), hazardous materials safety permit (HMSP) applicants, and cargo tank facilities under FMCSA jurisdiction that must register with the Agency to operate in interstate commerce; 2) implement several MAP-21 provisions that require changes to the URS regulations, the online Application for USDOT Number/Operating Authority Registration (Form MCSA-1) and MCSA-1 Instructions; 3) prohibit transfers of operating authority registration; 4) and make several technical amendments to the MCSA-1 Form and Instructions for purposes of clarification.</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01/08/2016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04/08/2016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04/19/2016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43" w:name="43"/>
            <w:r>
              <w:rPr>
                <w:rFonts w:ascii="Times" w:eastAsia="Times New Roman" w:hAnsi="Times" w:cs="Times"/>
                <w:sz w:val="20"/>
                <w:szCs w:val="20"/>
              </w:rPr>
              <w:lastRenderedPageBreak/>
              <w:t>Federal Motor Carrier Safety Administration</w:t>
            </w:r>
            <w:bookmarkEnd w:id="43"/>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3253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Prohibition of Coercion (MAP-21)</w:t>
                  </w:r>
                </w:p>
              </w:tc>
              <w:tc>
                <w:tcPr>
                  <w:tcW w:w="360" w:type="dxa"/>
                  <w:tcBorders>
                    <w:top w:val="outset" w:sz="6" w:space="0" w:color="008000"/>
                    <w:left w:val="outset" w:sz="6" w:space="0" w:color="008000"/>
                    <w:bottom w:val="outset" w:sz="6" w:space="0" w:color="008000"/>
                    <w:right w:val="outset" w:sz="6" w:space="0" w:color="008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Green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Coercion</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2126-AB57</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5/13/14, C/P Ends 8/11/14</w:t>
            </w:r>
          </w:p>
        </w:tc>
      </w:tr>
      <w:tr w:rsidR="00832532">
        <w:trPr>
          <w:tblCellSpacing w:w="24" w:type="dxa"/>
        </w:trPr>
        <w:tc>
          <w:tcPr>
            <w:tcW w:w="0" w:type="auto"/>
            <w:gridSpan w:val="2"/>
            <w:vAlign w:val="center"/>
            <w:hideMark/>
          </w:tcPr>
          <w:p w:rsidR="00832532" w:rsidRDefault="00284577" w:rsidP="0017343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Congress authorized and required FMCSA to ensure that the regulations adopted pursuant to the Motor Carrier Safety Act of 1984 (MCSA), as amended by the Moving Ahead for Progress in the 21st Century Act (MAP-21), do not result in coercion of drivers by motor carriers, shippers, receivers, or transportation intermediaries to operate CMVs in violation of certain provisions of the FMCSRs and the HMRs. That part of the rulemaking is authorized by sec. 32911 of MAP-21. FMCSA has also utilized the broad authority of the MCSA [49 U.S.C. 31136(A)(1)-(4)] and authorities transferred from the former Interstate Commerce Commission (ICC) under the ICC Termination Act [49 U.S.C. 13301(a)] to prohibit operators of CMVs from coercing drivers to violate certain provisions of the </w:t>
            </w:r>
            <w:r w:rsidR="0017343C">
              <w:rPr>
                <w:rFonts w:ascii="Times" w:eastAsia="Times New Roman" w:hAnsi="Times" w:cs="Times"/>
                <w:sz w:val="20"/>
                <w:szCs w:val="20"/>
              </w:rPr>
              <w:t xml:space="preserve">Agency’s </w:t>
            </w:r>
            <w:r>
              <w:rPr>
                <w:rFonts w:ascii="Times" w:eastAsia="Times New Roman" w:hAnsi="Times" w:cs="Times"/>
                <w:sz w:val="20"/>
                <w:szCs w:val="20"/>
              </w:rPr>
              <w:t xml:space="preserve">commercial regulations. The major provisions of this rule include prohibitions of coercion, procedures for drivers to report incidents of coercion to FMCSA, and rules of practice that the Agency will follow in response to reports of coercion.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05/06/2015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09/10/2015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353"/>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staffing</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Motor Carrier Safety Administration</w:t>
            </w:r>
            <w:bookmarkEnd w:id="44"/>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3253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Black</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2126-AB63</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w:t>
            </w:r>
            <w:r w:rsidR="0017343C">
              <w:rPr>
                <w:rFonts w:ascii="Times" w:eastAsia="Times New Roman" w:hAnsi="Times" w:cs="Times"/>
                <w:sz w:val="20"/>
                <w:szCs w:val="20"/>
              </w:rPr>
              <w:t>petitioner’s</w:t>
            </w:r>
            <w:r>
              <w:rPr>
                <w:rFonts w:ascii="Times" w:eastAsia="Times New Roman" w:hAnsi="Times" w:cs="Times"/>
                <w:sz w:val="20"/>
                <w:szCs w:val="20"/>
              </w:rPr>
              <w:t xml:space="preserve"> request.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Motor Carrier Safety Administration</w:t>
            </w:r>
            <w:bookmarkEnd w:id="45"/>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3253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Entry-Level Driver Training</w:t>
                  </w:r>
                </w:p>
              </w:tc>
              <w:tc>
                <w:tcPr>
                  <w:tcW w:w="360" w:type="dxa"/>
                  <w:tcBorders>
                    <w:top w:val="outset" w:sz="6" w:space="0" w:color="000000"/>
                    <w:left w:val="outset" w:sz="6" w:space="0" w:color="000000"/>
                    <w:bottom w:val="outset" w:sz="6" w:space="0" w:color="000000"/>
                    <w:right w:val="outset" w:sz="6" w:space="0" w:color="00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Black</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ELDT</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2126-AB66</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adopt new standards for mandatory training requirements for entry-level operators of commercial motor vehicles (CMVs) that are required to complete a skills test prior to obtaining a commercial driver's license (CDL). FMCSA is conducting a negotiated rulemaking (Reg-Neg) proceeding to implement the new entry-level driver training (ELDT) provisions in the Moving Ahead for Progress in the 21st Century Act (MAP-21) and other relevant laws. Therefore, FMCSA proposes to require persons applying for new or upgraded CDLs to complete classroom, range, and behind-the-wheel training from a training provider listed on a National Registry. Training modules for those individuals applying for a Hazardous Materials (HM), Passenger (P), or School Bus (S) Endorsement may also be proposed. This notice of proposed rulemaking would strengthen the Agency's ELDT requirements, which would enhance the safety of CMV operations on our Nation's highways.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Negotiated Rulemaking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10/24/2013</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10/06/2015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46" w:name="46"/>
            <w:r>
              <w:rPr>
                <w:rFonts w:ascii="Times" w:eastAsia="Times New Roman" w:hAnsi="Times" w:cs="Times"/>
                <w:sz w:val="20"/>
                <w:szCs w:val="20"/>
              </w:rPr>
              <w:lastRenderedPageBreak/>
              <w:t>Federal Motor Carrier Safety Administration</w:t>
            </w:r>
            <w:bookmarkEnd w:id="46"/>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3253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Commercial Driver's License Requirements of MAP-21 and the Military Commercial Driver's License Act of 2012</w:t>
                  </w:r>
                </w:p>
              </w:tc>
              <w:tc>
                <w:tcPr>
                  <w:tcW w:w="360" w:type="dxa"/>
                  <w:tcBorders>
                    <w:top w:val="outset" w:sz="6" w:space="0" w:color="000000"/>
                    <w:left w:val="outset" w:sz="6" w:space="0" w:color="000000"/>
                    <w:bottom w:val="outset" w:sz="6" w:space="0" w:color="000000"/>
                    <w:right w:val="outset" w:sz="6" w:space="0" w:color="00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Black</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MAP-21 CDL Requirements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2126-AB68</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grant military veterans an exemption from the domicile requirement, allowing the State they are stationed in to issue them a commercial driver's license. In addition, this rule would establish the requirements for the States to submit the State CDL Program Plans required under section 32305 of the Moving Ahead for Progress in the 21st Century Act (MAP-21).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11/01/2013</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01/04/2016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02/15/2016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05/26/2016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07/26/2016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353"/>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staffing</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47" w:name="47"/>
            <w:r>
              <w:rPr>
                <w:rFonts w:ascii="Times" w:eastAsia="Times New Roman" w:hAnsi="Times" w:cs="Times"/>
                <w:sz w:val="20"/>
                <w:szCs w:val="20"/>
              </w:rPr>
              <w:lastRenderedPageBreak/>
              <w:t>Federal Motor Carrier Safety Administration</w:t>
            </w:r>
            <w:bookmarkEnd w:id="47"/>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3253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 xml:space="preserve">Financial Responsibility for Motor Carriers, Freight Forwarders, and Brokers </w:t>
                  </w:r>
                </w:p>
              </w:tc>
              <w:tc>
                <w:tcPr>
                  <w:tcW w:w="360" w:type="dxa"/>
                  <w:tcBorders>
                    <w:top w:val="outset" w:sz="6" w:space="0" w:color="000000"/>
                    <w:left w:val="outset" w:sz="6" w:space="0" w:color="000000"/>
                    <w:bottom w:val="outset" w:sz="6" w:space="0" w:color="000000"/>
                    <w:right w:val="outset" w:sz="6" w:space="0" w:color="00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Black</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Minimum Levels of Financial Responsibility</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2126-AB74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11/28/14, C/P ended 2/25/15 ANPRM: Publication Date 11/28/2014;End of Comment Period 02/26/2015.</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FMCSA is proposing a rulemaking to increase the minimum levels of financial responsibility for motor carriers, including liability coverage for bodily injury or property damage in the case of freight and passenger motor carriers. The legislative history of the Federal minimum insurance requirements strongly suggests that Congress recognized that crash costs would change and that DOT would regularly examine the levels and make adjustments as necessary. In completing the report Congress required under section 32104 of the Moving Ahead for Progress in the 21st Century Act (MAP-21), FMCSA has determined that the current financial responsibility minimums are inadequate to fully cover the costs of some crashes in light of increased medical costs and DOT's revised value of statistical life estimates. The FMCSA is also considering proposing to extend the financial responsibility requirements to private motor carriers, as authorized by section 4120 of the Safe, Accountable, Flexible, Efficient, Transportation Equity Act: A Legacy for Users (SAFETEA-LU). In addition, FMCSA is considering financial responsibility requirements for passenger carrier brokers, implementation of certain MAP-21 provisions concerning broker and freight forwarder financial responsibility, revisions of the rules concerning self-insurance and trip insurance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04/14/2014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48" w:name="48"/>
            <w:r>
              <w:rPr>
                <w:rFonts w:ascii="Times" w:eastAsia="Times New Roman" w:hAnsi="Times" w:cs="Times"/>
                <w:b/>
                <w:bCs/>
                <w:sz w:val="20"/>
                <w:szCs w:val="20"/>
              </w:rPr>
              <w:lastRenderedPageBreak/>
              <w:t>Federal Railroad Administration</w:t>
            </w:r>
          </w:p>
        </w:tc>
      </w:tr>
      <w:tr w:rsidR="00832532">
        <w:trPr>
          <w:tblCellSpacing w:w="24" w:type="dxa"/>
        </w:trPr>
        <w:tc>
          <w:tcPr>
            <w:tcW w:w="0" w:type="auto"/>
            <w:gridSpan w:val="2"/>
            <w:vAlign w:val="center"/>
            <w:hideMark/>
          </w:tcPr>
          <w:p w:rsidR="00832532" w:rsidRDefault="00B83055">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8"/>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2130-AC11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 NPRM: Publication Date 02/27/14; End of Comment Period 04/27/15.</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03/28/2016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Federal Railroad Administration</w:t>
            </w:r>
            <w:bookmarkEnd w:id="49"/>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2130-AC14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10/09/2015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12/08/2015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50" w:name="50"/>
            <w:r>
              <w:rPr>
                <w:rFonts w:ascii="Times" w:eastAsia="Times New Roman" w:hAnsi="Times" w:cs="Times"/>
                <w:sz w:val="20"/>
                <w:szCs w:val="20"/>
              </w:rPr>
              <w:lastRenderedPageBreak/>
              <w:t>Federal Railroad Administration</w:t>
            </w:r>
            <w:bookmarkEnd w:id="50"/>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2130-AC17</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Federal Railroad Administration</w:t>
            </w:r>
            <w:bookmarkEnd w:id="51"/>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2130-AC23</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FRAÂ´s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(Â§301), high-speed corridor development (Â§501), and congestion grants (Â§302). FRA has consolidated these and other closely related programs into the HSIPR program, as detailed in FRAÂ´s HSIPR Interim Guidance (74 Fed. Reg. 29900 (June 23, 2009)) and FY 2010 Interim Guidance (75 Fed. Reg. 38344 and 38365 (July 1, 2010)). Spending authorized under PRIIA is subject to the Buy America provision of 49 U.S.C. Â§ 24405(a). This rulemaking would provide standards to govern FRAÂ´s application of the Buy America provision of 49 U.S.C. Â§ 24405(a) to all PRIIA-authorized spending as part of the HSIPR program. A NPRM was scheduled for publication on 06/25/12.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52" w:name="52"/>
            <w:r>
              <w:rPr>
                <w:rFonts w:ascii="Times" w:eastAsia="Times New Roman" w:hAnsi="Times" w:cs="Times"/>
                <w:sz w:val="20"/>
                <w:szCs w:val="20"/>
              </w:rPr>
              <w:lastRenderedPageBreak/>
              <w:t>Federal Railroad Administration</w:t>
            </w:r>
            <w:bookmarkEnd w:id="52"/>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Railroad System Safety Program</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Railroad System Safety Program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2130-AC31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9/07/12; End of Comment Period: 11/06/12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improve passenger railroad safety through structured, proactive processes and procedures developed by passenger railroad operators. It would require passenger railroads to establish a System Safety Program that would systematically evaluate and manage risks in order to reduce the number and rates of railroad accidents, incidents, injuries and fatalities. This rulemaking was bifurcated from 2130-AC11.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519"/>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FRA-2011-0060</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53" w:name="53"/>
            <w:r>
              <w:rPr>
                <w:rFonts w:ascii="Times" w:eastAsia="Times New Roman" w:hAnsi="Times" w:cs="Times"/>
                <w:sz w:val="20"/>
                <w:szCs w:val="20"/>
              </w:rPr>
              <w:lastRenderedPageBreak/>
              <w:t>Federal Railroad Administration</w:t>
            </w:r>
            <w:bookmarkEnd w:id="53"/>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3253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Passenger Equipment Safety Standards Amendments</w:t>
                  </w:r>
                </w:p>
              </w:tc>
              <w:tc>
                <w:tcPr>
                  <w:tcW w:w="360" w:type="dxa"/>
                  <w:tcBorders>
                    <w:top w:val="outset" w:sz="6" w:space="0" w:color="000000"/>
                    <w:left w:val="outset" w:sz="6" w:space="0" w:color="000000"/>
                    <w:bottom w:val="outset" w:sz="6" w:space="0" w:color="000000"/>
                    <w:right w:val="outset" w:sz="6" w:space="0" w:color="00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Black</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Safety Standards Amendments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2130-AC46</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Federal Railroad Administration</w:t>
            </w:r>
            <w:bookmarkEnd w:id="54"/>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3253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Securement of Unattended Equipment</w:t>
                  </w:r>
                </w:p>
              </w:tc>
              <w:tc>
                <w:tcPr>
                  <w:tcW w:w="360" w:type="dxa"/>
                  <w:tcBorders>
                    <w:top w:val="outset" w:sz="6" w:space="0" w:color="000000"/>
                    <w:left w:val="outset" w:sz="6" w:space="0" w:color="000000"/>
                    <w:bottom w:val="outset" w:sz="6" w:space="0" w:color="000000"/>
                    <w:right w:val="outset" w:sz="6" w:space="0" w:color="00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Black</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Securement of Unattended Equipment</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2130-AC47</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09/09/2014; End of Comment Period 11/10/2014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brake system safety standards for freight and other non-passenger trains and equipment to ensure better compliance of the requirements relating to the securement of unattended equipment. Specifically, FRA would codify some of the requirements already included in its Emergency Order Establishing Additional Requirements for Attendance and Securement of Certain Freight Trains and Vehicles on Mainline Track or Mainline Siding Outside of a Yard or Terminal ("Emergency Order 28"). 78 FR 48218 (Aug. 7, 2013). Amendments to FRA's existing regulations would include additional securement requirements for unattended equipment, primarily for those that include cars containing certain hazardous materials, and additional communication requirements relating to job briefings and securement verification. This rulemaking was recently downgraded to nonsignificant and will not appear on next month's report.</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03/26/2014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55" w:name="55"/>
            <w:r>
              <w:rPr>
                <w:rFonts w:ascii="Times" w:eastAsia="Times New Roman" w:hAnsi="Times" w:cs="Times"/>
                <w:sz w:val="20"/>
                <w:szCs w:val="20"/>
              </w:rPr>
              <w:lastRenderedPageBreak/>
              <w:t>Federal Railroad Administration</w:t>
            </w:r>
            <w:bookmarkEnd w:id="55"/>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3253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Black</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2130-AC48</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minimum requirements for the size of different train crew staffs depending on the type of operation. The minimum crew staffing requirements would reflect the safety risks posed to railroad employees, the general public, and the environment. This rulemaking would also establish minimum requirements for the roles and responsibilities of the second train crew member on a moving train, and promote safe and effective teamwork. Additionally, this rulemaking would permit a railroad to submit information to FRA and seek approval if it wants to continue an existing operation with a one-person train crew or start up an operation with less than two crew members.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12/17/2014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01/05/2015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10/12/2015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56" w:name="56"/>
            <w:r>
              <w:rPr>
                <w:rFonts w:ascii="Times" w:eastAsia="Times New Roman" w:hAnsi="Times" w:cs="Times"/>
                <w:b/>
                <w:bCs/>
                <w:sz w:val="20"/>
                <w:szCs w:val="20"/>
              </w:rPr>
              <w:lastRenderedPageBreak/>
              <w:t>Federal Transit Administration</w:t>
            </w:r>
          </w:p>
        </w:tc>
      </w:tr>
      <w:tr w:rsidR="00832532">
        <w:trPr>
          <w:tblCellSpacing w:w="24" w:type="dxa"/>
        </w:trPr>
        <w:tc>
          <w:tcPr>
            <w:tcW w:w="0" w:type="auto"/>
            <w:gridSpan w:val="2"/>
            <w:vAlign w:val="center"/>
            <w:hideMark/>
          </w:tcPr>
          <w:p w:rsidR="00832532" w:rsidRDefault="00B83055">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6"/>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3253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Green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2132-AB06</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develop procedures to address the impediments to the private sector's participation in public transportation capital projects through public private partnerships (P3s) and private investment. It will also include procedures to ensure the protection of the public interest and public investment in public transportation projects involving private participants.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07/23/2015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08/21/2015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11/24/2015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01/25/2016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57" w:name="57"/>
            <w:r>
              <w:rPr>
                <w:rFonts w:ascii="Times" w:eastAsia="Times New Roman" w:hAnsi="Times" w:cs="Times"/>
                <w:sz w:val="20"/>
                <w:szCs w:val="20"/>
              </w:rPr>
              <w:lastRenderedPageBreak/>
              <w:t>Federal Transit Administration</w:t>
            </w:r>
            <w:bookmarkEnd w:id="57"/>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3253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Green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2132-AB07</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832532">
        <w:trPr>
          <w:tblCellSpacing w:w="24" w:type="dxa"/>
        </w:trPr>
        <w:tc>
          <w:tcPr>
            <w:tcW w:w="0" w:type="auto"/>
            <w:gridSpan w:val="2"/>
            <w:vAlign w:val="center"/>
            <w:hideMark/>
          </w:tcPr>
          <w:p w:rsidR="00832532" w:rsidRDefault="00284577" w:rsidP="0017343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ANPRM has been consolidated with the ANPRM for the National and Public Transportation Agency Safety Plans. See 2132-AB20. This rule will establish a system for Transit Asset Management (TAM) for all operators of public transportation, for all modes of transportation throughout the United States. This national sys</w:t>
            </w:r>
            <w:r w:rsidR="0017343C">
              <w:rPr>
                <w:rFonts w:ascii="Times" w:eastAsia="Times New Roman" w:hAnsi="Times" w:cs="Times"/>
                <w:sz w:val="20"/>
                <w:szCs w:val="20"/>
              </w:rPr>
              <w:t>tem will be based on the term “</w:t>
            </w:r>
            <w:r>
              <w:rPr>
                <w:rFonts w:ascii="Times" w:eastAsia="Times New Roman" w:hAnsi="Times" w:cs="Times"/>
                <w:sz w:val="20"/>
                <w:szCs w:val="20"/>
              </w:rPr>
              <w:t xml:space="preserve">State of </w:t>
            </w:r>
            <w:r w:rsidR="0017343C">
              <w:rPr>
                <w:rFonts w:ascii="Times" w:eastAsia="Times New Roman" w:hAnsi="Times" w:cs="Times"/>
                <w:sz w:val="20"/>
                <w:szCs w:val="20"/>
              </w:rPr>
              <w:t xml:space="preserve">Good Repair” </w:t>
            </w:r>
            <w:r>
              <w:rPr>
                <w:rFonts w:ascii="Times" w:eastAsia="Times New Roman" w:hAnsi="Times" w:cs="Times"/>
                <w:sz w:val="20"/>
                <w:szCs w:val="20"/>
              </w:rPr>
              <w:t xml:space="preserve">to be developed through rulemaking, which will generate accurate data about the condition of the transit </w:t>
            </w:r>
            <w:r w:rsidR="0017343C">
              <w:rPr>
                <w:rFonts w:ascii="Times" w:eastAsia="Times New Roman" w:hAnsi="Times" w:cs="Times"/>
                <w:sz w:val="20"/>
                <w:szCs w:val="20"/>
              </w:rPr>
              <w:t>agencies’</w:t>
            </w:r>
            <w:r>
              <w:rPr>
                <w:rFonts w:ascii="Times" w:eastAsia="Times New Roman" w:hAnsi="Times" w:cs="Times"/>
                <w:sz w:val="20"/>
                <w:szCs w:val="20"/>
              </w:rPr>
              <w:t xml:space="preserve"> assets, and performance measures for improving the conditions of those assets.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03/11/2015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03/03/2015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06/18/2015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10/02/2015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08/10/2015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12/02/2015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Federal Transit Administration</w:t>
            </w:r>
            <w:bookmarkEnd w:id="58"/>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3253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Green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2132-AB10</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05/23/2014;Publication Date 06/02/2014;End of Comment Period 09/02/2014.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replaced 49 USC 5303 and 5304, to require a continuing, comprehensive, and coordinated transportation planning and programming process in metropolitan areas, nonmetropolitan areas, and Statewide. The NPRM on Planning and Environmental Linkages (2132-AB21) has been merged with this rulemaking at the final rule stage. These provisions add an additional authority for the use of planning products in the environmental review process required under NEPA. Specifically, through this rulemaking, FHWA and FTA would interpret and implement MAP-21Â´s additional authority for FHWA and FTA to use planning products developed by States, MPOs, and other agencies during the transportation planning process in the environmental review process for a project.</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08/28/2015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59" w:name="59"/>
            <w:r>
              <w:rPr>
                <w:rFonts w:ascii="Times" w:eastAsia="Times New Roman" w:hAnsi="Times" w:cs="Times"/>
                <w:sz w:val="20"/>
                <w:szCs w:val="20"/>
              </w:rPr>
              <w:lastRenderedPageBreak/>
              <w:t>Federal Transit Administration</w:t>
            </w:r>
            <w:bookmarkEnd w:id="59"/>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3253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Black</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2132-AB11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FTAÂ´s Bus Testing regulation (49 CFR part 665) to implement 49 USC section 5318, as amended by MAP-21, specifically, to establish a pass/fail standard and minimum safety performance standards pursuant to 49 USC 5329(b).</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06/04/2015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06/04/2015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06/16/2015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02/16/2014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60" w:name="60"/>
            <w:r>
              <w:rPr>
                <w:rFonts w:ascii="Times" w:eastAsia="Times New Roman" w:hAnsi="Times" w:cs="Times"/>
                <w:sz w:val="20"/>
                <w:szCs w:val="20"/>
              </w:rPr>
              <w:lastRenderedPageBreak/>
              <w:t>Federal Transit Administration</w:t>
            </w:r>
            <w:bookmarkEnd w:id="60"/>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3253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Black</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2132-AB16</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06/20/2015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07/17/2015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10/19/2015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61" w:name="61"/>
            <w:r>
              <w:rPr>
                <w:rFonts w:ascii="Times" w:eastAsia="Times New Roman" w:hAnsi="Times" w:cs="Times"/>
                <w:sz w:val="20"/>
                <w:szCs w:val="20"/>
              </w:rPr>
              <w:lastRenderedPageBreak/>
              <w:t>Federal Transit Administration</w:t>
            </w:r>
            <w:bookmarkEnd w:id="61"/>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3253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Green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2132-AB17</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;Publication Date ;End of Comment Period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62" w:name="62"/>
            <w:r>
              <w:rPr>
                <w:rFonts w:ascii="Times" w:eastAsia="Times New Roman" w:hAnsi="Times" w:cs="Times"/>
                <w:sz w:val="20"/>
                <w:szCs w:val="20"/>
              </w:rPr>
              <w:lastRenderedPageBreak/>
              <w:t>Federal Transit Administration</w:t>
            </w:r>
            <w:bookmarkEnd w:id="62"/>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3253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Green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2132-AB18</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63" w:name="63"/>
            <w:r>
              <w:rPr>
                <w:rFonts w:ascii="Times" w:eastAsia="Times New Roman" w:hAnsi="Times" w:cs="Times"/>
                <w:sz w:val="20"/>
                <w:szCs w:val="20"/>
              </w:rPr>
              <w:lastRenderedPageBreak/>
              <w:t>Federal Transit Administration</w:t>
            </w:r>
            <w:bookmarkEnd w:id="63"/>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3253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Green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2132-AB20</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will ultimately be broken into three separate rulemakings for the National Plan and the Agency Plans, and the training certification program. Transit Asset Management: See 2132-AB07.</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64" w:name="64"/>
            <w:r>
              <w:rPr>
                <w:rFonts w:ascii="Times" w:eastAsia="Times New Roman" w:hAnsi="Times" w:cs="Times"/>
                <w:sz w:val="20"/>
                <w:szCs w:val="20"/>
              </w:rPr>
              <w:lastRenderedPageBreak/>
              <w:t>Federal Transit Administration</w:t>
            </w:r>
            <w:bookmarkEnd w:id="64"/>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3253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Public Transportation Safety Program</w:t>
                  </w:r>
                </w:p>
              </w:tc>
              <w:tc>
                <w:tcPr>
                  <w:tcW w:w="360" w:type="dxa"/>
                  <w:tcBorders>
                    <w:top w:val="outset" w:sz="6" w:space="0" w:color="000000"/>
                    <w:left w:val="outset" w:sz="6" w:space="0" w:color="000000"/>
                    <w:bottom w:val="outset" w:sz="6" w:space="0" w:color="000000"/>
                    <w:right w:val="outset" w:sz="6" w:space="0" w:color="00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Black</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Public Transportation Safety Program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2132-AB22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National Public Transportation Safety Program (National Safety Program). The National Safety Program will serve as the umbrella rule for the several other safety rulemakings, including the Safety Certification Training Program, Transit Agency Safety Plan, and State Safety Oversight. This rule will also set out the rules of practice for enforcement and adjudication under the National Safety Program.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05/04/2015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10/16/2015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01/21/2016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65" w:name="65"/>
            <w:r>
              <w:rPr>
                <w:rFonts w:ascii="Times" w:eastAsia="Times New Roman" w:hAnsi="Times" w:cs="Times"/>
                <w:sz w:val="20"/>
                <w:szCs w:val="20"/>
              </w:rPr>
              <w:lastRenderedPageBreak/>
              <w:t>Federal Transit Administration</w:t>
            </w:r>
            <w:bookmarkEnd w:id="65"/>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3253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Public Transportation Agency Safety Plans</w:t>
                  </w:r>
                </w:p>
              </w:tc>
              <w:tc>
                <w:tcPr>
                  <w:tcW w:w="360" w:type="dxa"/>
                  <w:tcBorders>
                    <w:top w:val="outset" w:sz="6" w:space="0" w:color="000000"/>
                    <w:left w:val="outset" w:sz="6" w:space="0" w:color="000000"/>
                    <w:bottom w:val="outset" w:sz="6" w:space="0" w:color="000000"/>
                    <w:right w:val="outset" w:sz="6" w:space="0" w:color="00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Black</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Public Transportation Agency Safety Plans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2132-AB23</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 :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requirements for States or recipients to develop and implement individual agency safety plans. The requirements of this rulemaking will be based on the principles and concepts of Safety Management Systems (SMS). SMS is the formal, top-down, organization-wide approach to managing safety risks and assuring the effectiveness of a transit </w:t>
            </w:r>
            <w:r w:rsidR="0017343C">
              <w:rPr>
                <w:rFonts w:ascii="Times" w:eastAsia="Times New Roman" w:hAnsi="Times" w:cs="Times"/>
                <w:sz w:val="20"/>
                <w:szCs w:val="20"/>
              </w:rPr>
              <w:t>agency’s</w:t>
            </w:r>
            <w:r>
              <w:rPr>
                <w:rFonts w:ascii="Times" w:eastAsia="Times New Roman" w:hAnsi="Times" w:cs="Times"/>
                <w:sz w:val="20"/>
                <w:szCs w:val="20"/>
              </w:rPr>
              <w:t xml:space="preserve"> safety risk controls. SMS includes systematic procedures, practices, and policies for managing hazards and risks.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05/12/2015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07/17/2015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66" w:name="66"/>
            <w:r>
              <w:rPr>
                <w:rFonts w:ascii="Times" w:eastAsia="Times New Roman" w:hAnsi="Times" w:cs="Times"/>
                <w:sz w:val="20"/>
                <w:szCs w:val="20"/>
              </w:rPr>
              <w:lastRenderedPageBreak/>
              <w:t>Federal Transit Administration</w:t>
            </w:r>
            <w:bookmarkEnd w:id="66"/>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3253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Proposed Interim Policy Guidance: Federal Transit Administration Capital Investment Grant Program</w:t>
                  </w:r>
                </w:p>
              </w:tc>
              <w:tc>
                <w:tcPr>
                  <w:tcW w:w="360" w:type="dxa"/>
                  <w:tcBorders>
                    <w:top w:val="outset" w:sz="6" w:space="0" w:color="000000"/>
                    <w:left w:val="outset" w:sz="6" w:space="0" w:color="000000"/>
                    <w:bottom w:val="outset" w:sz="6" w:space="0" w:color="000000"/>
                    <w:right w:val="outset" w:sz="6" w:space="0" w:color="00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Black</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CIG</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2132-ZA03</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Request for Comments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49 U.S.C. Â§ 5309(g)(5) requires FTA to issue policy guidance regarding the review and evaluation process and criteria for the discretionary capital investment grant program each time FTA "makes significant changes to the process and criteria, but not less frequently than once every 2 years." Also, 49 U.S.C. Â§ 5334(k) requires FTA to provide an opportunity for public notice-and-comment before issuing a substantive policy statement or guidance document that "effects a significant change in existing policy." This proposed interim policy guidance complies with both statutory mandates, and specifically, it provides guidance on the project development process for New Starts, Small Starts, and Core Capacity Improvement projects; the measures and breakpoints for the congestion relief criterion for New and Small Starts projects; the new evaluation and rating process for Core Capacity Improvement projects; and ways in which all types of capital investment projects can qualify for automatic ratings on various evaluation criteria through "warrants." This guidance is significant.</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02/12/2015</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Request for Comments: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Request for Comments:</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67" w:name="67"/>
            <w:r>
              <w:rPr>
                <w:rFonts w:ascii="Times" w:eastAsia="Times New Roman" w:hAnsi="Times" w:cs="Times"/>
                <w:b/>
                <w:bCs/>
                <w:sz w:val="20"/>
                <w:szCs w:val="20"/>
              </w:rPr>
              <w:lastRenderedPageBreak/>
              <w:t>Maritime Administration</w:t>
            </w:r>
          </w:p>
        </w:tc>
      </w:tr>
      <w:tr w:rsidR="00832532">
        <w:trPr>
          <w:tblCellSpacing w:w="24" w:type="dxa"/>
        </w:trPr>
        <w:tc>
          <w:tcPr>
            <w:tcW w:w="0" w:type="auto"/>
            <w:gridSpan w:val="2"/>
            <w:vAlign w:val="center"/>
            <w:hideMark/>
          </w:tcPr>
          <w:p w:rsidR="00832532" w:rsidRDefault="00B83055">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67"/>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Cargo Preference</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Cargo Preference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2133-AB74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regulations that have not been revised substantially since 1971. The rulemaking would also implement statutory changes, including Section 3511, P.L. 110-417, of The National Defense Authorization Act for FY 2009, which provides enforcement authority.</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03/09/2015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08/19/2015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r>
                    <w:rPr>
                      <w:rFonts w:ascii="Times" w:eastAsia="Times New Roman" w:hAnsi="Times" w:cs="Times"/>
                      <w:sz w:val="20"/>
                      <w:szCs w:val="20"/>
                    </w:rPr>
                    <w:br/>
                    <w:t>Awaiting development of additional data</w:t>
                  </w:r>
                  <w:r>
                    <w:rPr>
                      <w:rFonts w:ascii="Times" w:eastAsia="Times New Roman" w:hAnsi="Times" w:cs="Times"/>
                      <w:sz w:val="20"/>
                      <w:szCs w:val="20"/>
                    </w:rPr>
                    <w:br/>
                    <w:t>Additional coordination necessary</w:t>
                  </w:r>
                  <w:r>
                    <w:rPr>
                      <w:rFonts w:ascii="Times" w:eastAsia="Times New Roman" w:hAnsi="Times" w:cs="Times"/>
                      <w:sz w:val="20"/>
                      <w:szCs w:val="20"/>
                    </w:rPr>
                    <w:br/>
                    <w:t>Additional coordination needed for regulatory evaluation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68" w:name="68"/>
            <w:r>
              <w:rPr>
                <w:rFonts w:ascii="Times" w:eastAsia="Times New Roman" w:hAnsi="Times" w:cs="Times"/>
                <w:b/>
                <w:bCs/>
                <w:sz w:val="20"/>
                <w:szCs w:val="20"/>
              </w:rPr>
              <w:lastRenderedPageBreak/>
              <w:t>National Highway Traffic Safety Administration</w:t>
            </w:r>
          </w:p>
        </w:tc>
      </w:tr>
      <w:tr w:rsidR="00832532">
        <w:trPr>
          <w:tblCellSpacing w:w="24" w:type="dxa"/>
        </w:trPr>
        <w:tc>
          <w:tcPr>
            <w:tcW w:w="0" w:type="auto"/>
            <w:gridSpan w:val="2"/>
            <w:vAlign w:val="center"/>
            <w:hideMark/>
          </w:tcPr>
          <w:p w:rsidR="00832532" w:rsidRDefault="00B83055">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68"/>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2127-AK76</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69" w:name="69"/>
            <w:r>
              <w:rPr>
                <w:rFonts w:ascii="Times" w:eastAsia="Times New Roman" w:hAnsi="Times" w:cs="Times"/>
                <w:sz w:val="20"/>
                <w:szCs w:val="20"/>
              </w:rPr>
              <w:lastRenderedPageBreak/>
              <w:t>National Highway Traffic Safety Administration</w:t>
            </w:r>
            <w:bookmarkEnd w:id="69"/>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Mandatory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2127-AK86</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70" w:name="70"/>
            <w:r>
              <w:rPr>
                <w:rFonts w:ascii="Times" w:eastAsia="Times New Roman" w:hAnsi="Times" w:cs="Times"/>
                <w:sz w:val="20"/>
                <w:szCs w:val="20"/>
              </w:rPr>
              <w:lastRenderedPageBreak/>
              <w:t>National Highway Traffic Safety Administration</w:t>
            </w:r>
            <w:bookmarkEnd w:id="70"/>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 xml:space="preserve">Heavy Vehicle Speed Limiters </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Heavy Vehicle Speed Limiters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2127-AK92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w:t>
            </w:r>
            <w:r w:rsidR="0017343C">
              <w:rPr>
                <w:rFonts w:ascii="Times" w:eastAsia="Times New Roman" w:hAnsi="Times" w:cs="Times"/>
                <w:sz w:val="20"/>
                <w:szCs w:val="20"/>
              </w:rPr>
              <w:t>petitioner’s</w:t>
            </w:r>
            <w:r>
              <w:rPr>
                <w:rFonts w:ascii="Times" w:eastAsia="Times New Roman" w:hAnsi="Times" w:cs="Times"/>
                <w:sz w:val="20"/>
                <w:szCs w:val="20"/>
              </w:rPr>
              <w:t xml:space="preserve">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71" w:name="71"/>
            <w:r>
              <w:rPr>
                <w:rFonts w:ascii="Times" w:eastAsia="Times New Roman" w:hAnsi="Times" w:cs="Times"/>
                <w:sz w:val="20"/>
                <w:szCs w:val="20"/>
              </w:rPr>
              <w:lastRenderedPageBreak/>
              <w:t>National Highway Traffic Safety Administration</w:t>
            </w:r>
            <w:bookmarkEnd w:id="71"/>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 xml:space="preserve">Sound for Hybrid and Electric Vehicles </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2127-AK93</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07/08/2015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11/05/2015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72" w:name="72"/>
            <w:r>
              <w:rPr>
                <w:rFonts w:ascii="Times" w:eastAsia="Times New Roman" w:hAnsi="Times" w:cs="Times"/>
                <w:sz w:val="20"/>
                <w:szCs w:val="20"/>
              </w:rPr>
              <w:lastRenderedPageBreak/>
              <w:t>National Highway Traffic Safety Administration</w:t>
            </w:r>
            <w:bookmarkEnd w:id="72"/>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 xml:space="preserve">Establish Side Impact Performance Requirements for Child Restraint Systems (MAP-21) </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2127-AK95</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04/20/2016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01/26/2017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04/25/2017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04/30/2017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06/30/2017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73" w:name="73"/>
            <w:r>
              <w:rPr>
                <w:rFonts w:ascii="Times" w:eastAsia="Times New Roman" w:hAnsi="Times" w:cs="Times"/>
                <w:sz w:val="20"/>
                <w:szCs w:val="20"/>
              </w:rPr>
              <w:lastRenderedPageBreak/>
              <w:t>National Highway Traffic Safety Administration</w:t>
            </w:r>
            <w:bookmarkEnd w:id="73"/>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 xml:space="preserve">Motorcoach Rollover Structural Integrity (MAP-21) </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Motorcoach Rollover Structural Integrity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2127-AK96</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NHTSAÂ´s motorcoach safety priorities. This rulemaking also addresses 6 recommendations issued by the NTSB on motorcoach roof strength and structural integrity and is responsive to requirements of the Moving Ahead for Progress in the 21st Century (MAP-21) Act.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74" w:name="74"/>
            <w:r>
              <w:rPr>
                <w:rFonts w:ascii="Times" w:eastAsia="Times New Roman" w:hAnsi="Times" w:cs="Times"/>
                <w:sz w:val="20"/>
                <w:szCs w:val="20"/>
              </w:rPr>
              <w:lastRenderedPageBreak/>
              <w:t>National Highway Traffic Safety Administration</w:t>
            </w:r>
            <w:bookmarkEnd w:id="74"/>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2127-AL01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10/12/2011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03/20/2013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02/22/2013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11/23/2011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07/23/2014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02/22/2012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05/08/2015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02/29/2012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05/21/2015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07/20/2015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75" w:name="75"/>
            <w:r>
              <w:rPr>
                <w:rFonts w:ascii="Times" w:eastAsia="Times New Roman" w:hAnsi="Times" w:cs="Times"/>
                <w:sz w:val="20"/>
                <w:szCs w:val="20"/>
              </w:rPr>
              <w:lastRenderedPageBreak/>
              <w:t>National Highway Traffic Safety Administration</w:t>
            </w:r>
            <w:bookmarkEnd w:id="75"/>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3253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Green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2127-AL30</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amended NHTSAÂ´s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proceeded with an expedited rulemaking by taking a two-pronged approach. First, on, October 5, 2012, NHTSA issued a non-significant notice of proposed rulemaking (NPRM) for the minimum requirements for the GDL grant (RIN 2127-AL29). NHTSA then incorporated the GDL provisions, including addressing comments in response to the NPRM, into the Interim Final Rule for all of the grants.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76" w:name="76"/>
            <w:r>
              <w:rPr>
                <w:rFonts w:ascii="Times" w:eastAsia="Times New Roman" w:hAnsi="Times" w:cs="Times"/>
                <w:sz w:val="20"/>
                <w:szCs w:val="20"/>
              </w:rPr>
              <w:lastRenderedPageBreak/>
              <w:t>National Highway Traffic Safety Administration</w:t>
            </w:r>
            <w:bookmarkEnd w:id="76"/>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3253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Black</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Seat Belt Reminder System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2127-AL37</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Safety Standard No. 208, Occupant Crash Protection, to require automobile manufacturers to install a seat belt reminder system for the front passenger and rear designated seating positions in passenger vehicles. The seat belt reminder system is intended to increase belt usage and thereby improve the crash protection of vehicle occupants who would otherwise have been unbelted. This rulemaking would respond in part to a petition for rulemaking submitted by Public Citizen and Advocates for Highway and Auto Safety, as well as to requirements in MAP-21.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 10/01/2014</w:t>
                  </w:r>
                  <w:r>
                    <w:rPr>
                      <w:rFonts w:ascii="Times" w:eastAsia="Times New Roman" w:hAnsi="Times" w:cs="Times"/>
                      <w:sz w:val="20"/>
                      <w:szCs w:val="20"/>
                    </w:rPr>
                    <w:br/>
                    <w:t>Final Rule : 10/01/2015</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03/03/2016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77" w:name="77"/>
            <w:r>
              <w:rPr>
                <w:rFonts w:ascii="Times" w:eastAsia="Times New Roman" w:hAnsi="Times" w:cs="Times"/>
                <w:sz w:val="20"/>
                <w:szCs w:val="20"/>
              </w:rPr>
              <w:lastRenderedPageBreak/>
              <w:t>National Highway Traffic Safety Administration</w:t>
            </w:r>
            <w:bookmarkEnd w:id="77"/>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3253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Fuel Efficiency Standards for Medium- and Heavy-Duty Vehicles and Work Trucks: Phase 2</w:t>
                  </w:r>
                </w:p>
              </w:tc>
              <w:tc>
                <w:tcPr>
                  <w:tcW w:w="360" w:type="dxa"/>
                  <w:tcBorders>
                    <w:top w:val="outset" w:sz="6" w:space="0" w:color="000000"/>
                    <w:left w:val="outset" w:sz="6" w:space="0" w:color="000000"/>
                    <w:bottom w:val="outset" w:sz="6" w:space="0" w:color="000000"/>
                    <w:right w:val="outset" w:sz="6" w:space="0" w:color="00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Black</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Cafe Phase 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2127-AL52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fuel efficiency standards for medium- and heavy-duty on-highway vehicles and work trucks for model years beyond 2018. This rulemaking would respond to requirements of the Energy Independence and Security Act of 2007 (EISA), Title 1, Subtitle A, Sections 102 and 108, as they amend 49 USC Â§ 32902, which was signed into law December 19, 2007. The statute requires that NHTSA establish a medium- and heavy-duty on-highway vehicle and work truck fuel efficiency improvement program that achieves the maximum feasible improvement, including standards that are appropriate, cost-effective, and technologically feasible. The law requires that the new standards provide at least 4 full model years of regulatory lead-time and 3 full model years of regulatory stability (i.e., the standards must remain in effect for 3 years before they may be amended). This action would follow the first ever Greenhouse Gas Emissions Standards and Fuel Efficiency Standards for Medium- and Heavy-Duty Engines and Vehicles ("Phase 1") (76 FR 57106, September 15, 2011). In June, 2013, the President's Climate Action Plan called for the Department of Transportation to develop fuel efficiency standards and the Environmental Protection Agency to develop greenhouse gas emission standards in joint rulemaking within the President's second term. In February, 2014, the President directed DOT and EPA to complete the second phase of Greenhouse Gas Emissions Standards and Fuel Efficiency Standards for Medium- and Heavy-Duty Engines and Vehicles during his second term.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11/23/2014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78" w:name="78"/>
            <w:r>
              <w:rPr>
                <w:rFonts w:ascii="Times" w:eastAsia="Times New Roman" w:hAnsi="Times" w:cs="Times"/>
                <w:sz w:val="20"/>
                <w:szCs w:val="20"/>
              </w:rPr>
              <w:lastRenderedPageBreak/>
              <w:t>National Highway Traffic Safety Administration</w:t>
            </w:r>
            <w:bookmarkEnd w:id="78"/>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3253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Black</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2127-AL55</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V2V communications uses on-board dedicated short-range radio communication (DSRC) devices to broadcast messages about a vehicle's speed, heading, brake status, and other information to other vehicles and receive the same information from the messages, with extended range and 'line-of-sight' capabilities. V2V's enhanced detection distance and ability to 'see' around corners or "through" other vehicles helps V2V-equipped vehicles uniquely perceive some threats and warn their drivers accordingly. V2V technology can also be fused with vehicle-resident technologies to potentially provide greater benefits than either approach alone. V2V can augment vehicle-resident systems by acting as a complete system, extending the ability of the overall safety system to address other crash scenarios not covered by V2V communications, such as lane and road departure. Additionally, V2V communication is currently perceived to become a foundational aspect of vehicle automation.</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79" w:name="79"/>
            <w:r>
              <w:rPr>
                <w:rFonts w:ascii="Times" w:eastAsia="Times New Roman" w:hAnsi="Times" w:cs="Times"/>
                <w:sz w:val="20"/>
                <w:szCs w:val="20"/>
              </w:rPr>
              <w:lastRenderedPageBreak/>
              <w:t>National Highway Traffic Safety Administration</w:t>
            </w:r>
            <w:bookmarkEnd w:id="79"/>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3253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Rear Impact Guards and Other Safety Strategies for Single Unit Trucks</w:t>
                  </w:r>
                </w:p>
              </w:tc>
              <w:tc>
                <w:tcPr>
                  <w:tcW w:w="360" w:type="dxa"/>
                  <w:tcBorders>
                    <w:top w:val="outset" w:sz="6" w:space="0" w:color="000000"/>
                    <w:left w:val="outset" w:sz="6" w:space="0" w:color="000000"/>
                    <w:bottom w:val="outset" w:sz="6" w:space="0" w:color="000000"/>
                    <w:right w:val="outset" w:sz="6" w:space="0" w:color="00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Black</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Impact Guards for Single Unit Trucks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2127-AL57</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requirements for rear impact guards and other safety strategies on single unit trucks to mitigate underride crashes into the rear of single unit trucks. This rulemaking would respond, in part, to a petition for rulemaking from the Insurance Institute for Highway Safety and another from Mrs. Karth and the Truck Safety Coalition regarding improved rear impact guards for single unit trucks, as outlined in the July 10, 2014 grant of the petition.</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09/03/2014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03/12/2015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04/10/2015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06/10/2015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09/18/2015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80" w:name="80"/>
            <w:r>
              <w:rPr>
                <w:rFonts w:ascii="Times" w:eastAsia="Times New Roman" w:hAnsi="Times" w:cs="Times"/>
                <w:b/>
                <w:bCs/>
                <w:sz w:val="20"/>
                <w:szCs w:val="20"/>
              </w:rPr>
              <w:lastRenderedPageBreak/>
              <w:t>Office of the Secretary</w:t>
            </w:r>
          </w:p>
        </w:tc>
      </w:tr>
      <w:tr w:rsidR="00832532">
        <w:trPr>
          <w:tblCellSpacing w:w="24" w:type="dxa"/>
        </w:trPr>
        <w:tc>
          <w:tcPr>
            <w:tcW w:w="0" w:type="auto"/>
            <w:gridSpan w:val="2"/>
            <w:vAlign w:val="center"/>
            <w:hideMark/>
          </w:tcPr>
          <w:p w:rsidR="00832532" w:rsidRDefault="00B83055">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80"/>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2105-AE06</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81" w:name="81"/>
            <w:r>
              <w:rPr>
                <w:rFonts w:ascii="Times" w:eastAsia="Times New Roman" w:hAnsi="Times" w:cs="Times"/>
                <w:sz w:val="20"/>
                <w:szCs w:val="20"/>
              </w:rPr>
              <w:lastRenderedPageBreak/>
              <w:t>Office of the Secretary</w:t>
            </w:r>
            <w:bookmarkEnd w:id="81"/>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Airline Pricing Transparency and Other Consumer Protection Issues</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2105-AE11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05/23/14; End of Extended C/P: 09/09/14.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is seeking comment on a number of proposals to enhance protections for air travelers and to improve the air travel environment, including a proposal to clarify and codify the Department's interpretation of the statutory definition of "ticket agent." This NPRM would also require airlines and ticket agents to disclose at all points of sale the fees for certain basic ancillary services associated with the air transportation consumers are buying or considering buying. Other proposals in this NPRM to enhance airline passenger protections include: expanding the pool of "reporting" carriers; requiring enhanced reporting by mainline carriers for their domestic code-share partner operations; requiring large travel agents to adopt minimum customer service standards; codifying the statutory requirement that carriers and ticket agents disclose any code-share arrangements on their websites; and prohibiting unfair and deceptive practices such as undisclosed biasing and post-purchase price increases. The Department is also considering whether to require ticket agents to disclose the carriers whose tickets they sell in order to avoid having consumers mistakenly believe they are searching all possible flight options for a particular city-pair market when in fact there may be other options available. Additionally, this NPRM would correct drafting errors and make minor changes to the Department's second Enhancing Airline Passenger Protections rule to conform to guidance issued by the Department's Office of Aviation Enforcement and Proceedings (Enforcement Office) regarding its interpretation of the rule.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82" w:name="82"/>
            <w:r>
              <w:rPr>
                <w:rFonts w:ascii="Times" w:eastAsia="Times New Roman" w:hAnsi="Times" w:cs="Times"/>
                <w:sz w:val="20"/>
                <w:szCs w:val="20"/>
              </w:rPr>
              <w:lastRenderedPageBreak/>
              <w:t>Office of the Secretary</w:t>
            </w:r>
            <w:bookmarkEnd w:id="82"/>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Carrier-Supplied Medical Oxygen, Service Animals, Accessible Lavatories on Single-Aisle Aircraft,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Medical Oxygen and other ACAA issues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2105-AE12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SNPRM: Publication Approved ;Publication Date ;End of Comment Period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third of three supplemental notices of proposed rulemaking (SNPRM) to follow-up on air travel accessibility issues discussed in the preamble of the 2008 Air Carrier Access Act (ACAA) final rule. (The first SNPRM is RIN 2105-AD96; the second is RIN 2105-AE32.) This rulemaking action would consider (1) whether carriers should be required to supply in-flight medical oxygen for a fee to passengers who require it to access air transportation; (2) whether any safety-related reasons specific to foreign carriers may preclude the carriage of service animals other than dogs on their flights and whether certain changes should be made to provisions allowing carriers to require medical documentation and 48 hours advance notice from users of emotional support and psychiatric service animals; (3) whether carriers should be required to provide accessible lavatories on certain new single-aisle aircraft; (4) whether carriers should be required to report to the Department annually the number of requests for disability assistance they receive; and (5) whether to broaden the scope of passengers with disabilities who must be afforded seats with extra leg room, and whether carriers should be required to provide seating accommodations with extra leg room in all classes of service. The proposed rule would also clarify certain existing requirements pertaining to the carriage of service animals.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83" w:name="83"/>
            <w:r>
              <w:rPr>
                <w:rFonts w:ascii="Times" w:eastAsia="Times New Roman" w:hAnsi="Times" w:cs="Times"/>
                <w:sz w:val="20"/>
                <w:szCs w:val="20"/>
              </w:rPr>
              <w:lastRenderedPageBreak/>
              <w:t>Office of the Secretary</w:t>
            </w:r>
            <w:bookmarkEnd w:id="83"/>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3253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Black</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2105-AE29</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w:t>
            </w:r>
            <w:r w:rsidR="0017343C">
              <w:rPr>
                <w:rFonts w:ascii="Times" w:eastAsia="Times New Roman" w:hAnsi="Times" w:cs="Times"/>
                <w:sz w:val="20"/>
                <w:szCs w:val="20"/>
              </w:rPr>
              <w:t>Department’s</w:t>
            </w:r>
            <w:r>
              <w:rPr>
                <w:rFonts w:ascii="Times" w:eastAsia="Times New Roman" w:hAnsi="Times" w:cs="Times"/>
                <w:sz w:val="20"/>
                <w:szCs w:val="20"/>
              </w:rPr>
              <w:t xml:space="preserve">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08/03/2015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09/03/2015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02/15/2016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84" w:name="84"/>
            <w:r>
              <w:rPr>
                <w:rFonts w:ascii="Times" w:eastAsia="Times New Roman" w:hAnsi="Times" w:cs="Times"/>
                <w:sz w:val="20"/>
                <w:szCs w:val="20"/>
              </w:rPr>
              <w:lastRenderedPageBreak/>
              <w:t>Office of the Secretary</w:t>
            </w:r>
            <w:bookmarkEnd w:id="84"/>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3253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Use of Mobile Wireless Devices for Voice Calls on Aircraft</w:t>
                  </w:r>
                </w:p>
              </w:tc>
              <w:tc>
                <w:tcPr>
                  <w:tcW w:w="360" w:type="dxa"/>
                  <w:tcBorders>
                    <w:top w:val="outset" w:sz="6" w:space="0" w:color="000000"/>
                    <w:left w:val="outset" w:sz="6" w:space="0" w:color="000000"/>
                    <w:bottom w:val="outset" w:sz="6" w:space="0" w:color="000000"/>
                    <w:right w:val="outset" w:sz="6" w:space="0" w:color="00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Black</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2105-AE30</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02/24/2014; End of Comment Period 03/26/2014.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restrict voice communications on </w:t>
            </w:r>
            <w:r w:rsidR="0017343C">
              <w:rPr>
                <w:rFonts w:ascii="Times" w:eastAsia="Times New Roman" w:hAnsi="Times" w:cs="Times"/>
                <w:sz w:val="20"/>
                <w:szCs w:val="20"/>
              </w:rPr>
              <w:t>passengers’</w:t>
            </w:r>
            <w:r>
              <w:rPr>
                <w:rFonts w:ascii="Times" w:eastAsia="Times New Roman" w:hAnsi="Times" w:cs="Times"/>
                <w:sz w:val="20"/>
                <w:szCs w:val="20"/>
              </w:rPr>
              <w:t xml:space="preserve">´ mobile wireless devices on scheduled flights within, to and from the United States. The Federal Communications Commission (FCC) recently issued a notice of proposed rulemaking that if adopted would, among other things, create a pathway for airlines to permit the use of cellphones or other mobile wireless devices to make or receive calls on board aircraft. DOT supports the FCCÂ´s proposal to revise its rules in light of the technology available and to expand access to mobile wireless data services on board aircraft; however, under the </w:t>
            </w:r>
            <w:r w:rsidR="0017343C">
              <w:rPr>
                <w:rFonts w:ascii="Times" w:eastAsia="Times New Roman" w:hAnsi="Times" w:cs="Times"/>
                <w:sz w:val="20"/>
                <w:szCs w:val="20"/>
              </w:rPr>
              <w:t>Department’s</w:t>
            </w:r>
            <w:r>
              <w:rPr>
                <w:rFonts w:ascii="Times" w:eastAsia="Times New Roman" w:hAnsi="Times" w:cs="Times"/>
                <w:sz w:val="20"/>
                <w:szCs w:val="20"/>
              </w:rPr>
              <w:t xml:space="preserve"> aviation consumer protection authority and because of concerns raised, we are seeking comment on whether to ban voice calls on aircraft.</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11/09/2015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01/08/2016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85" w:name="85"/>
            <w:r>
              <w:rPr>
                <w:rFonts w:ascii="Times" w:eastAsia="Times New Roman" w:hAnsi="Times" w:cs="Times"/>
                <w:sz w:val="20"/>
                <w:szCs w:val="20"/>
              </w:rPr>
              <w:lastRenderedPageBreak/>
              <w:t>Office of the Secretary</w:t>
            </w:r>
            <w:bookmarkEnd w:id="85"/>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3253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Black</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2105-AE31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w:t>
            </w:r>
          </w:p>
        </w:tc>
      </w:tr>
      <w:tr w:rsidR="00832532">
        <w:trPr>
          <w:tblCellSpacing w:w="24" w:type="dxa"/>
        </w:trPr>
        <w:tc>
          <w:tcPr>
            <w:tcW w:w="0" w:type="auto"/>
            <w:gridSpan w:val="2"/>
            <w:vAlign w:val="center"/>
            <w:hideMark/>
          </w:tcPr>
          <w:p w:rsidR="00832532" w:rsidRDefault="00284577" w:rsidP="00A2075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Department bifurcated its rulemaking on reporting of airline ancillary passenger revenue into two separate rules </w:t>
            </w:r>
            <w:r w:rsidR="00A2075F">
              <w:rPr>
                <w:rFonts w:ascii="Times" w:eastAsia="Times New Roman" w:hAnsi="Times" w:cs="Times"/>
                <w:sz w:val="20"/>
                <w:szCs w:val="20"/>
              </w:rPr>
              <w:t xml:space="preserve">- </w:t>
            </w:r>
            <w:r>
              <w:rPr>
                <w:rFonts w:ascii="Times" w:eastAsia="Times New Roman" w:hAnsi="Times" w:cs="Times"/>
                <w:sz w:val="20"/>
                <w:szCs w:val="20"/>
              </w:rPr>
              <w:t>one rule to address computation of mishandled baggage and wheelchair rates (2104-AE41), and this rule to address reporting of airline ancillary passenger revenues (2105-AE31). These rulemakings were split into two separate rules as they address unrelated matters and splitting these rules apart makes it easier for the public to search for a particular topic embodied by each separate rule. Additionally, any delays in finalizing one issue would not unnecessarily cause a delay in the other. The Consolidated Appropriations Act, 2014 (P.L. 113-76) transferred the powers and duties, functions, authorities and personnel of the Research and Innovative Technology Administration (RITA) to the Office of the Assistant Secretary for Research and Technology (OST-R) in the Office of the Secretary. This rulemaking replaces RIN 2139-AA13.</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02/25/2016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86" w:name="86"/>
            <w:r>
              <w:rPr>
                <w:rFonts w:ascii="Times" w:eastAsia="Times New Roman" w:hAnsi="Times" w:cs="Times"/>
                <w:sz w:val="20"/>
                <w:szCs w:val="20"/>
              </w:rPr>
              <w:lastRenderedPageBreak/>
              <w:t>Office of the Secretary</w:t>
            </w:r>
            <w:bookmarkEnd w:id="86"/>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3253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Accessible In-Flight Entertainment</w:t>
                  </w:r>
                </w:p>
              </w:tc>
              <w:tc>
                <w:tcPr>
                  <w:tcW w:w="360" w:type="dxa"/>
                  <w:tcBorders>
                    <w:top w:val="outset" w:sz="6" w:space="0" w:color="000000"/>
                    <w:left w:val="outset" w:sz="6" w:space="0" w:color="000000"/>
                    <w:bottom w:val="outset" w:sz="6" w:space="0" w:color="000000"/>
                    <w:right w:val="outset" w:sz="6" w:space="0" w:color="00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Black</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2105-AE32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three supplemental notices of proposed rulemaking (SNPRM) to follow-up on air travel accessibility issues discussed in the preamble of the 2008 final Air Carrier Access Act (ACAA) final rule. (The first SNPRM is RIN 2105-AD96, the third is RIN 2105-AE12.) This rulemaking action would consider whether carriers should be required to ensure that the same in-flight entertainment available to all passengers is accessible to passengers with disabilities.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06/18/2014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09/06/2015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11/26/2014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02/19/2016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87" w:name="87"/>
            <w:r>
              <w:rPr>
                <w:rFonts w:ascii="Times" w:eastAsia="Times New Roman" w:hAnsi="Times" w:cs="Times"/>
                <w:sz w:val="20"/>
                <w:szCs w:val="20"/>
              </w:rPr>
              <w:lastRenderedPageBreak/>
              <w:t>Office of the Secretary</w:t>
            </w:r>
            <w:bookmarkEnd w:id="87"/>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3253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Adoption of Governmentwide Uniform Administrative Requirements, Cost Principles, and Audit Requirements for Federal Awards</w:t>
                  </w:r>
                </w:p>
              </w:tc>
              <w:tc>
                <w:tcPr>
                  <w:tcW w:w="360" w:type="dxa"/>
                  <w:tcBorders>
                    <w:top w:val="outset" w:sz="6" w:space="0" w:color="000000"/>
                    <w:left w:val="outset" w:sz="6" w:space="0" w:color="000000"/>
                    <w:bottom w:val="outset" w:sz="6" w:space="0" w:color="000000"/>
                    <w:right w:val="outset" w:sz="6" w:space="0" w:color="00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Black</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Administrative Requirements for Federal Awards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2105-AE33</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DOT will adopt OMBÂ´s revised government-wide Uniform Administrative Requirements, Cost Principles, and Audit Requirements for Federal awards to non-Federal entities. These revisions are a key component of a larger Federal effort to more effectively focus Federal resources on improving performance and outcomes, while ensuring the financial integrity of taxpayer dollars in partnership with non-Federal stakeholders.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03/20/2014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12/03/2014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88" w:name="88"/>
            <w:r>
              <w:rPr>
                <w:rFonts w:ascii="Times" w:eastAsia="Times New Roman" w:hAnsi="Times" w:cs="Times"/>
                <w:sz w:val="20"/>
                <w:szCs w:val="20"/>
              </w:rPr>
              <w:lastRenderedPageBreak/>
              <w:t>Office of the Secretary</w:t>
            </w:r>
            <w:bookmarkEnd w:id="88"/>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3253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Reporting of Statistics For Mishandled Baggage and Wheelchairs</w:t>
                  </w:r>
                </w:p>
              </w:tc>
              <w:tc>
                <w:tcPr>
                  <w:tcW w:w="360" w:type="dxa"/>
                  <w:tcBorders>
                    <w:top w:val="outset" w:sz="6" w:space="0" w:color="000000"/>
                    <w:left w:val="outset" w:sz="6" w:space="0" w:color="000000"/>
                    <w:bottom w:val="outset" w:sz="6" w:space="0" w:color="000000"/>
                    <w:right w:val="outset" w:sz="6" w:space="0" w:color="00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Black</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of Statistics For Mishandled Baggage/WC</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2105-AE41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way the Department computes mishandled baggage rates from mishandled baggage reports per domestic enplanement to mishandled bags per checked bags. It also addresses the data gap for mishandled wheelchairs and scooters used by passengers with disabilities. The Department bifurcated its rulemaking on reporting of airline ancillary passenger revenue </w:t>
            </w:r>
            <w:r w:rsidR="0017343C">
              <w:rPr>
                <w:rFonts w:ascii="Times" w:eastAsia="Times New Roman" w:hAnsi="Times" w:cs="Times"/>
                <w:sz w:val="20"/>
                <w:szCs w:val="20"/>
              </w:rPr>
              <w:t xml:space="preserve">into two separate rules – this </w:t>
            </w:r>
            <w:r>
              <w:rPr>
                <w:rFonts w:ascii="Times" w:eastAsia="Times New Roman" w:hAnsi="Times" w:cs="Times"/>
                <w:sz w:val="20"/>
                <w:szCs w:val="20"/>
              </w:rPr>
              <w:t>rule to address computation of mishandled baggage and wheelchair rates (2104-AE41), and the another rule to address reporting of airline ancillary passenger revenues (2105-AE31). These rulemakings were split into two separate rules as they address unrelated matters and splitting these rules apart makes it easier for the public to search for a particular topic embodied by each separate rule. Additionally, any delays in finalizing one issue would not unnecessarily cause a delay in the other.</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05/08/2015</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89" w:name="89"/>
            <w:r>
              <w:rPr>
                <w:rFonts w:ascii="Times" w:eastAsia="Times New Roman" w:hAnsi="Times" w:cs="Times"/>
                <w:b/>
                <w:bCs/>
                <w:sz w:val="20"/>
                <w:szCs w:val="20"/>
              </w:rPr>
              <w:lastRenderedPageBreak/>
              <w:t>Pipeline and Hazardous Materials Safety Administration</w:t>
            </w:r>
          </w:p>
        </w:tc>
      </w:tr>
      <w:tr w:rsidR="00832532">
        <w:trPr>
          <w:tblCellSpacing w:w="24" w:type="dxa"/>
        </w:trPr>
        <w:tc>
          <w:tcPr>
            <w:tcW w:w="0" w:type="auto"/>
            <w:gridSpan w:val="2"/>
            <w:vAlign w:val="center"/>
            <w:hideMark/>
          </w:tcPr>
          <w:p w:rsidR="00832532" w:rsidRDefault="00B83055">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89"/>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Pipeline Safety: Enforcement of State Excavation Damage Laws</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Excavation Damage Laws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2137-AE43</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4/02/2012; End of C/P 07/09/2012; End of C/P 06/01/2012; Extension of C/P 05/30/2012; End of Extended C/P 07/09/2012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PIPES Act provides PHMSA with the authority to enforce excavation damage laws in those states that have inadequate enforcement. This rulemaking would consider standards for excavators and operators to follow when conducting excavation in a vicinity of a pipeline and the administrative procedures to be used for enforcement proceedings. This rulemaking was recently downgraded to nonsignificant and will not appear on next month's report.</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919"/>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03/30/2009</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 2009-0192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90" w:name="90"/>
            <w:r>
              <w:rPr>
                <w:rFonts w:ascii="Times" w:eastAsia="Times New Roman" w:hAnsi="Times" w:cs="Times"/>
                <w:sz w:val="20"/>
                <w:szCs w:val="20"/>
              </w:rPr>
              <w:lastRenderedPageBreak/>
              <w:t>Pipeline and Hazardous Materials Safety Administration</w:t>
            </w:r>
            <w:bookmarkEnd w:id="90"/>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Hazardous Materials: Safety Requirements for External Product Piping on Cargo Tanks Transporting Flammable Liquids (Wetlines) (MAP-21)</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Wetlines (MAP-21)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2137-AE53</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1/27/2011; C/P closed 3/28/2011. Extension of C/P published 3/17/2011; C/P closed 4/27/2011.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(wetlines) from being transported in unprotected product piping on existing and newly manufactured DOT specification cargo tank motor vehicles. The GAO completed an audit on wetlines-related issues and published the final report on 9/11/13. PHMSA is analyzing the safety and economic impacts associated with the final rule based on GAOs findings. Based on the findings of its analysis, the agency will consider final regulatory action to address the risks posed by wetlines.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12/26/2011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04/05/2012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05/11/2012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02/02/2012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05/02/2012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11/12/2015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11/24/2015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91" w:name="91"/>
            <w:r>
              <w:rPr>
                <w:rFonts w:ascii="Times" w:eastAsia="Times New Roman" w:hAnsi="Times" w:cs="Times"/>
                <w:sz w:val="20"/>
                <w:szCs w:val="20"/>
              </w:rPr>
              <w:lastRenderedPageBreak/>
              <w:t>Pipeline and Hazardous Materials Safety Administration</w:t>
            </w:r>
            <w:bookmarkEnd w:id="91"/>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2137-AE66</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Comment Period 01/18/2011; Extension of Comment Period 01/04/2011; End of Extended Comment Period 02/18/2011.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10/04/2013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12/05/2013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C-1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S-1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05/01/2014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08/03/2015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10/12/2015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92" w:name="92"/>
            <w:r>
              <w:rPr>
                <w:rFonts w:ascii="Times" w:eastAsia="Times New Roman" w:hAnsi="Times" w:cs="Times"/>
                <w:sz w:val="20"/>
                <w:szCs w:val="20"/>
              </w:rPr>
              <w:lastRenderedPageBreak/>
              <w:t>Pipeline and Hazardous Materials Safety Administration</w:t>
            </w:r>
            <w:bookmarkEnd w:id="92"/>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Excess Flow Valves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2137-AE71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784"/>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Section 22 2011 PSA : 01/03/2014</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03/17/2014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06/19/2015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07/06/2015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07/01/2015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93" w:name="93"/>
            <w:r>
              <w:rPr>
                <w:rFonts w:ascii="Times" w:eastAsia="Times New Roman" w:hAnsi="Times" w:cs="Times"/>
                <w:sz w:val="20"/>
                <w:szCs w:val="20"/>
              </w:rPr>
              <w:lastRenderedPageBreak/>
              <w:t>Pipeline and Hazardous Materials Safety Administration</w:t>
            </w:r>
            <w:bookmarkEnd w:id="93"/>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3253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Pipeline Safety: Gas Transmission</w:t>
                  </w:r>
                </w:p>
              </w:tc>
              <w:tc>
                <w:tcPr>
                  <w:tcW w:w="360" w:type="dxa"/>
                  <w:tcBorders>
                    <w:top w:val="outset" w:sz="6" w:space="0" w:color="FF0000"/>
                    <w:left w:val="outset" w:sz="6" w:space="0" w:color="FF0000"/>
                    <w:bottom w:val="outset" w:sz="6" w:space="0" w:color="FF0000"/>
                    <w:right w:val="outset" w:sz="6" w:space="0" w:color="FF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Red</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2137-AE72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12/02/2011; End of Extended C/P 1/20/2012 : End of Reopened Comment Period ;Publication Approved ;Publication Date ;End of Comment Period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address: repair criteria for both HCA and non-HCA areas, assessment methods, validating &amp; integrating pipeline data, risk assessments, knowledge gained through the IM program, corrosion control, management of change, gathering lines, and safety features on launchers and receivers.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10/06/2015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94" w:name="94"/>
            <w:r>
              <w:rPr>
                <w:rFonts w:ascii="Times" w:eastAsia="Times New Roman" w:hAnsi="Times" w:cs="Times"/>
                <w:sz w:val="20"/>
                <w:szCs w:val="20"/>
              </w:rPr>
              <w:lastRenderedPageBreak/>
              <w:t>Pipeline and Hazardous Materials Safety Administration</w:t>
            </w:r>
            <w:bookmarkEnd w:id="94"/>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94. 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3253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Pipeline Safety: Operator Qualification, Cost Recovery, Accident and Incident Notification, and Other Changes (RRR)</w:t>
                  </w:r>
                </w:p>
              </w:tc>
              <w:tc>
                <w:tcPr>
                  <w:tcW w:w="360" w:type="dxa"/>
                  <w:tcBorders>
                    <w:top w:val="outset" w:sz="6" w:space="0" w:color="000000"/>
                    <w:left w:val="outset" w:sz="6" w:space="0" w:color="000000"/>
                    <w:bottom w:val="outset" w:sz="6" w:space="0" w:color="000000"/>
                    <w:right w:val="outset" w:sz="6" w:space="0" w:color="00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Black</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OQ, Cost Recovery &amp; other changes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2137-AE94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miscellaneous issues that have been raised because of the reauthorization of the pipeline safety program in 2012 and petitions for rulemaking from many affected stakeholders. Some of the issues that this rulemaking would address include: renewal process for special permits, cost recovery for design reviews, and incident reporting.</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945"/>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Sec 9 (a)-(b) 2011 PSA : 07/03/2013</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05/11/2012</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05/28/2014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07/10/2015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09/10/2013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09/08/2015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39916</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95" w:name="95"/>
            <w:r>
              <w:rPr>
                <w:rFonts w:ascii="Times" w:eastAsia="Times New Roman" w:hAnsi="Times" w:cs="Times"/>
                <w:sz w:val="20"/>
                <w:szCs w:val="20"/>
              </w:rPr>
              <w:lastRenderedPageBreak/>
              <w:t>Pipeline and Hazardous Materials Safety Administration</w:t>
            </w:r>
            <w:bookmarkEnd w:id="95"/>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95. 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3253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 xml:space="preserve">Pipeline Safety: Amendments to Parts 192 and 195 to require Valve installation and Minimum Rupture Detection Standards </w:t>
                  </w:r>
                </w:p>
              </w:tc>
              <w:tc>
                <w:tcPr>
                  <w:tcW w:w="360" w:type="dxa"/>
                  <w:tcBorders>
                    <w:top w:val="outset" w:sz="6" w:space="0" w:color="000000"/>
                    <w:left w:val="outset" w:sz="6" w:space="0" w:color="000000"/>
                    <w:bottom w:val="outset" w:sz="6" w:space="0" w:color="000000"/>
                    <w:right w:val="outset" w:sz="6" w:space="0" w:color="00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Black</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Rupture Detection and Valves Rule</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2137-AF06</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propose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09/04/2015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02/16/2016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96" w:name="96"/>
            <w:r>
              <w:rPr>
                <w:rFonts w:ascii="Times" w:eastAsia="Times New Roman" w:hAnsi="Times" w:cs="Times"/>
                <w:sz w:val="20"/>
                <w:szCs w:val="20"/>
              </w:rPr>
              <w:lastRenderedPageBreak/>
              <w:t>Pipeline and Hazardous Materials Safety Administration</w:t>
            </w:r>
            <w:bookmarkEnd w:id="96"/>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96. 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3253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Hazardous Materials: Review and Update of Rail Carrier Regulations in Part 174</w:t>
                  </w:r>
                </w:p>
              </w:tc>
              <w:tc>
                <w:tcPr>
                  <w:tcW w:w="360" w:type="dxa"/>
                  <w:tcBorders>
                    <w:top w:val="outset" w:sz="6" w:space="0" w:color="000000"/>
                    <w:left w:val="outset" w:sz="6" w:space="0" w:color="000000"/>
                    <w:bottom w:val="outset" w:sz="6" w:space="0" w:color="000000"/>
                    <w:right w:val="outset" w:sz="6" w:space="0" w:color="00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Black</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Update Rail Carrier Regulations (RRR)</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2137-AF07</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Hazardous Materials Regulations (HMR) applicable to the transportation of hazardous materials by rail. In accordance with Executive Order 13563, Regulatory Review and Reinvention (E.O. 13563; January 18, 2011), the Federal Rail Administration (FRA) has completed an internal review of the existing regulations set forth by PHMSA in 49 CFR Part 174, which apply to persons who accept and transport hazardous materials by rail. Using the principals set forth in E.O. 13563, FRA has reviewed the regulations in Part 174 and other relevant sections of the HMR, and identified regulations that are outdated, unclear, no longer necessary, may present an undue economic burden on the regulated community, conflict with other North American standards and regulations, or do not sufficiently address technological advancements in the railroad operating environment. Further, FRA has identified several trends in industry practices and operating procedures that present new and different risks to safety that should be addressed in Part 174 of the HMR. This rulemaking would more fully align the HMR with the results of the FRA review and would update, clarify, correct and provide relief of certain regulatory requirements applicable to the transportation of hazardous materials by rail.</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PHMSA-2014-0031</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07/22/2015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11/19/2014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02/25/2015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03/01/2016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32532" w:rsidRDefault="0028457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32532">
        <w:trPr>
          <w:tblCellSpacing w:w="24" w:type="dxa"/>
        </w:trPr>
        <w:tc>
          <w:tcPr>
            <w:tcW w:w="0" w:type="auto"/>
            <w:gridSpan w:val="2"/>
            <w:vAlign w:val="center"/>
            <w:hideMark/>
          </w:tcPr>
          <w:p w:rsidR="00832532" w:rsidRDefault="00284577">
            <w:pPr>
              <w:jc w:val="center"/>
              <w:rPr>
                <w:rFonts w:ascii="Times" w:eastAsia="Times New Roman" w:hAnsi="Times" w:cs="Times"/>
                <w:sz w:val="20"/>
                <w:szCs w:val="20"/>
              </w:rPr>
            </w:pPr>
            <w:bookmarkStart w:id="97" w:name="97"/>
            <w:r>
              <w:rPr>
                <w:rFonts w:ascii="Times" w:eastAsia="Times New Roman" w:hAnsi="Times" w:cs="Times"/>
                <w:sz w:val="20"/>
                <w:szCs w:val="20"/>
              </w:rPr>
              <w:lastRenderedPageBreak/>
              <w:t>Pipeline and Hazardous Materials Safety Administration</w:t>
            </w:r>
            <w:bookmarkEnd w:id="97"/>
          </w:p>
        </w:tc>
      </w:tr>
      <w:tr w:rsidR="00832532">
        <w:trPr>
          <w:tblCellSpacing w:w="24" w:type="dxa"/>
        </w:trPr>
        <w:tc>
          <w:tcPr>
            <w:tcW w:w="360" w:type="dxa"/>
            <w:vAlign w:val="center"/>
            <w:hideMark/>
          </w:tcPr>
          <w:p w:rsidR="00832532" w:rsidRDefault="00284577">
            <w:pPr>
              <w:rPr>
                <w:rFonts w:ascii="Times" w:eastAsia="Times New Roman" w:hAnsi="Times" w:cs="Times"/>
                <w:sz w:val="20"/>
                <w:szCs w:val="20"/>
              </w:rPr>
            </w:pPr>
            <w:r>
              <w:rPr>
                <w:rFonts w:ascii="Times" w:eastAsia="Times New Roman" w:hAnsi="Times" w:cs="Times"/>
                <w:sz w:val="20"/>
                <w:szCs w:val="20"/>
              </w:rPr>
              <w:t>97. 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3253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Hazardous Materials: Oil Spill Response Plans for High-Hazard Flammable Trains</w:t>
                  </w:r>
                </w:p>
              </w:tc>
              <w:tc>
                <w:tcPr>
                  <w:tcW w:w="360" w:type="dxa"/>
                  <w:tcBorders>
                    <w:top w:val="outset" w:sz="6" w:space="0" w:color="000000"/>
                    <w:left w:val="outset" w:sz="6" w:space="0" w:color="000000"/>
                    <w:bottom w:val="outset" w:sz="6" w:space="0" w:color="000000"/>
                    <w:right w:val="outset" w:sz="6" w:space="0" w:color="000000"/>
                  </w:tcBorders>
                  <w:hideMark/>
                </w:tcPr>
                <w:p w:rsidR="00832532" w:rsidRDefault="00284577">
                  <w:pPr>
                    <w:rPr>
                      <w:rFonts w:ascii="Times" w:eastAsia="Times New Roman" w:hAnsi="Times" w:cs="Times"/>
                      <w:sz w:val="20"/>
                      <w:szCs w:val="20"/>
                    </w:rPr>
                  </w:pPr>
                  <w:r>
                    <w:rPr>
                      <w:rFonts w:ascii="Times" w:eastAsia="Times New Roman" w:hAnsi="Times" w:cs="Times"/>
                      <w:sz w:val="20"/>
                      <w:szCs w:val="20"/>
                    </w:rPr>
                    <w:t>Black</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Oil Spill Response Plans for HHFTs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RIN 2137-AF08</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8/1/2014; C/P closed 9/30/2014.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is seeking comment on revisions to the Hazardous Materials Regulations (HMR) applicable to the transportation of oil by rail. Currently, the majority of the rail community transporting oil, including crude oil transported as a hazardous material, is subject to the basic oil spill response plan requirement of 49 CFR 130.31(a) based on the understanding that most rail tank cars being used to transport crude oil have a capacity greater than 3,500 gallons. However, a comprehensive response plan for the shipment of oil is only required when the oil is in a quantity greater than 42,000 gallons per package. Tank cars of this size are not used to transport oil by rail. As a result, the railroads do not file a comprehensive oil response plan. Based on this difference and the recent occurrence of high-profile accidents involving crude oil, the National Transportation Safety Board (NTSB) has recommended in Safety Recommendation R-14-5 that the Department and PHMSA reconsider the threshold quantity for requiring the development of a comprehensive response plan for the shipment of oil. In response to the NTSB Safety Recommendation R-14-5 and significant interest from Congressional stakeholders, environmental groups, and the general public, PHMSA is seeking specific comment on revisions to the oil spill response plan requirements in 49 CFR part 130, including threshold quantities.</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32532">
              <w:trPr>
                <w:tblCellSpacing w:w="0" w:type="dxa"/>
              </w:trPr>
              <w:tc>
                <w:tcPr>
                  <w:tcW w:w="360" w:type="dxa"/>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32532">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32532">
              <w:trPr>
                <w:tblCellSpacing w:w="0" w:type="dxa"/>
              </w:trPr>
              <w:tc>
                <w:tcPr>
                  <w:tcW w:w="0" w:type="auto"/>
                  <w:noWrap/>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32532" w:rsidRDefault="00832532">
                  <w:pPr>
                    <w:framePr w:hSpace="36" w:wrap="around" w:vAnchor="text" w:hAnchor="text"/>
                    <w:rPr>
                      <w:rFonts w:ascii="Times" w:eastAsia="Times New Roman" w:hAnsi="Times" w:cs="Times"/>
                      <w:sz w:val="20"/>
                      <w:szCs w:val="20"/>
                    </w:rPr>
                  </w:pP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3253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05/21/2015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08/19/2015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11/19/2015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11/27/2015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325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01/27/2016 </w:t>
                  </w:r>
                </w:p>
              </w:tc>
              <w:tc>
                <w:tcPr>
                  <w:tcW w:w="1200" w:type="dxa"/>
                  <w:tcBorders>
                    <w:top w:val="outset" w:sz="6" w:space="0" w:color="auto"/>
                    <w:left w:val="outset" w:sz="6" w:space="0" w:color="auto"/>
                    <w:bottom w:val="outset" w:sz="6" w:space="0" w:color="auto"/>
                    <w:right w:val="outset" w:sz="6" w:space="0" w:color="auto"/>
                  </w:tcBorders>
                  <w:hideMark/>
                </w:tcPr>
                <w:p w:rsidR="00832532" w:rsidRDefault="00284577" w:rsidP="00B8305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32532">
              <w:trPr>
                <w:tblCellSpacing w:w="15" w:type="dxa"/>
              </w:trPr>
              <w:tc>
                <w:tcPr>
                  <w:tcW w:w="0" w:type="auto"/>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32532" w:rsidRDefault="002845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32532" w:rsidRDefault="00832532">
            <w:pPr>
              <w:rPr>
                <w:rFonts w:ascii="Times" w:eastAsia="Times New Roman" w:hAnsi="Times" w:cs="Times"/>
                <w:sz w:val="20"/>
                <w:szCs w:val="20"/>
              </w:rPr>
            </w:pPr>
          </w:p>
        </w:tc>
      </w:tr>
      <w:tr w:rsidR="00832532">
        <w:trPr>
          <w:tblCellSpacing w:w="24" w:type="dxa"/>
        </w:trPr>
        <w:tc>
          <w:tcPr>
            <w:tcW w:w="0" w:type="auto"/>
            <w:gridSpan w:val="2"/>
            <w:vAlign w:val="center"/>
            <w:hideMark/>
          </w:tcPr>
          <w:p w:rsidR="00832532" w:rsidRDefault="0028457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284577" w:rsidRDefault="00284577">
      <w:pPr>
        <w:rPr>
          <w:rFonts w:ascii="Times" w:eastAsia="Times New Roman" w:hAnsi="Times" w:cs="Times"/>
          <w:sz w:val="20"/>
          <w:szCs w:val="20"/>
        </w:rPr>
      </w:pPr>
      <w:r>
        <w:rPr>
          <w:rFonts w:ascii="Times" w:eastAsia="Times New Roman" w:hAnsi="Times" w:cs="Times"/>
          <w:sz w:val="20"/>
          <w:szCs w:val="20"/>
        </w:rPr>
        <w:br w:type="textWrapping" w:clear="all"/>
      </w:r>
    </w:p>
    <w:sectPr w:rsidR="0028457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577" w:rsidRDefault="00284577" w:rsidP="00D6413C">
      <w:r>
        <w:separator/>
      </w:r>
    </w:p>
  </w:endnote>
  <w:endnote w:type="continuationSeparator" w:id="0">
    <w:p w:rsidR="00284577" w:rsidRDefault="00284577" w:rsidP="00D6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541336"/>
      <w:docPartObj>
        <w:docPartGallery w:val="Page Numbers (Bottom of Page)"/>
        <w:docPartUnique/>
      </w:docPartObj>
    </w:sdtPr>
    <w:sdtEndPr/>
    <w:sdtContent>
      <w:sdt>
        <w:sdtPr>
          <w:id w:val="860082579"/>
          <w:docPartObj>
            <w:docPartGallery w:val="Page Numbers (Top of Page)"/>
            <w:docPartUnique/>
          </w:docPartObj>
        </w:sdtPr>
        <w:sdtEndPr/>
        <w:sdtContent>
          <w:p w:rsidR="00D6413C" w:rsidRDefault="00D6413C">
            <w:pPr>
              <w:pStyle w:val="Footer"/>
              <w:jc w:val="right"/>
            </w:pPr>
            <w:r>
              <w:t xml:space="preserve">July Internet Report:  Page </w:t>
            </w:r>
            <w:r>
              <w:rPr>
                <w:b/>
                <w:bCs/>
              </w:rPr>
              <w:fldChar w:fldCharType="begin"/>
            </w:r>
            <w:r>
              <w:rPr>
                <w:b/>
                <w:bCs/>
              </w:rPr>
              <w:instrText xml:space="preserve"> PAGE </w:instrText>
            </w:r>
            <w:r>
              <w:rPr>
                <w:b/>
                <w:bCs/>
              </w:rPr>
              <w:fldChar w:fldCharType="separate"/>
            </w:r>
            <w:r w:rsidR="00B8305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B83055">
              <w:rPr>
                <w:b/>
                <w:bCs/>
                <w:noProof/>
              </w:rPr>
              <w:t>102</w:t>
            </w:r>
            <w:r>
              <w:rPr>
                <w:b/>
                <w:bCs/>
              </w:rPr>
              <w:fldChar w:fldCharType="end"/>
            </w:r>
          </w:p>
        </w:sdtContent>
      </w:sdt>
    </w:sdtContent>
  </w:sdt>
  <w:p w:rsidR="00D6413C" w:rsidRDefault="00D641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577" w:rsidRDefault="00284577" w:rsidP="00D6413C">
      <w:r>
        <w:separator/>
      </w:r>
    </w:p>
  </w:footnote>
  <w:footnote w:type="continuationSeparator" w:id="0">
    <w:p w:rsidR="00284577" w:rsidRDefault="00284577" w:rsidP="00D64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8E4A28"/>
    <w:rsid w:val="0017343C"/>
    <w:rsid w:val="00252A2D"/>
    <w:rsid w:val="00284577"/>
    <w:rsid w:val="00832033"/>
    <w:rsid w:val="00832532"/>
    <w:rsid w:val="008E4A28"/>
    <w:rsid w:val="009D5E4D"/>
    <w:rsid w:val="00A2075F"/>
    <w:rsid w:val="00B83055"/>
    <w:rsid w:val="00D6413C"/>
    <w:rsid w:val="00D872B7"/>
    <w:rsid w:val="00EC1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D6413C"/>
    <w:pPr>
      <w:tabs>
        <w:tab w:val="center" w:pos="4680"/>
        <w:tab w:val="right" w:pos="9360"/>
      </w:tabs>
    </w:pPr>
  </w:style>
  <w:style w:type="character" w:customStyle="1" w:styleId="HeaderChar">
    <w:name w:val="Header Char"/>
    <w:basedOn w:val="DefaultParagraphFont"/>
    <w:link w:val="Header"/>
    <w:uiPriority w:val="99"/>
    <w:rsid w:val="00D6413C"/>
    <w:rPr>
      <w:rFonts w:eastAsiaTheme="minorEastAsia"/>
      <w:sz w:val="24"/>
      <w:szCs w:val="24"/>
    </w:rPr>
  </w:style>
  <w:style w:type="paragraph" w:styleId="Footer">
    <w:name w:val="footer"/>
    <w:basedOn w:val="Normal"/>
    <w:link w:val="FooterChar"/>
    <w:uiPriority w:val="99"/>
    <w:unhideWhenUsed/>
    <w:rsid w:val="00D6413C"/>
    <w:pPr>
      <w:tabs>
        <w:tab w:val="center" w:pos="4680"/>
        <w:tab w:val="right" w:pos="9360"/>
      </w:tabs>
    </w:pPr>
  </w:style>
  <w:style w:type="character" w:customStyle="1" w:styleId="FooterChar">
    <w:name w:val="Footer Char"/>
    <w:basedOn w:val="DefaultParagraphFont"/>
    <w:link w:val="Footer"/>
    <w:uiPriority w:val="99"/>
    <w:rsid w:val="00D6413C"/>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D6413C"/>
    <w:pPr>
      <w:tabs>
        <w:tab w:val="center" w:pos="4680"/>
        <w:tab w:val="right" w:pos="9360"/>
      </w:tabs>
    </w:pPr>
  </w:style>
  <w:style w:type="character" w:customStyle="1" w:styleId="HeaderChar">
    <w:name w:val="Header Char"/>
    <w:basedOn w:val="DefaultParagraphFont"/>
    <w:link w:val="Header"/>
    <w:uiPriority w:val="99"/>
    <w:rsid w:val="00D6413C"/>
    <w:rPr>
      <w:rFonts w:eastAsiaTheme="minorEastAsia"/>
      <w:sz w:val="24"/>
      <w:szCs w:val="24"/>
    </w:rPr>
  </w:style>
  <w:style w:type="paragraph" w:styleId="Footer">
    <w:name w:val="footer"/>
    <w:basedOn w:val="Normal"/>
    <w:link w:val="FooterChar"/>
    <w:uiPriority w:val="99"/>
    <w:unhideWhenUsed/>
    <w:rsid w:val="00D6413C"/>
    <w:pPr>
      <w:tabs>
        <w:tab w:val="center" w:pos="4680"/>
        <w:tab w:val="right" w:pos="9360"/>
      </w:tabs>
    </w:pPr>
  </w:style>
  <w:style w:type="character" w:customStyle="1" w:styleId="FooterChar">
    <w:name w:val="Footer Char"/>
    <w:basedOn w:val="DefaultParagraphFont"/>
    <w:link w:val="Footer"/>
    <w:uiPriority w:val="99"/>
    <w:rsid w:val="00D6413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5503">
      <w:marLeft w:val="0"/>
      <w:marRight w:val="0"/>
      <w:marTop w:val="0"/>
      <w:marBottom w:val="0"/>
      <w:divBdr>
        <w:top w:val="none" w:sz="0" w:space="0" w:color="auto"/>
        <w:left w:val="none" w:sz="0" w:space="0" w:color="auto"/>
        <w:bottom w:val="none" w:sz="0" w:space="0" w:color="auto"/>
        <w:right w:val="none" w:sz="0" w:space="0" w:color="auto"/>
      </w:divBdr>
    </w:div>
    <w:div w:id="112984498">
      <w:marLeft w:val="0"/>
      <w:marRight w:val="0"/>
      <w:marTop w:val="0"/>
      <w:marBottom w:val="0"/>
      <w:divBdr>
        <w:top w:val="none" w:sz="0" w:space="0" w:color="auto"/>
        <w:left w:val="none" w:sz="0" w:space="0" w:color="auto"/>
        <w:bottom w:val="none" w:sz="0" w:space="0" w:color="auto"/>
        <w:right w:val="none" w:sz="0" w:space="0" w:color="auto"/>
      </w:divBdr>
    </w:div>
    <w:div w:id="129054235">
      <w:marLeft w:val="0"/>
      <w:marRight w:val="0"/>
      <w:marTop w:val="0"/>
      <w:marBottom w:val="0"/>
      <w:divBdr>
        <w:top w:val="none" w:sz="0" w:space="0" w:color="auto"/>
        <w:left w:val="none" w:sz="0" w:space="0" w:color="auto"/>
        <w:bottom w:val="none" w:sz="0" w:space="0" w:color="auto"/>
        <w:right w:val="none" w:sz="0" w:space="0" w:color="auto"/>
      </w:divBdr>
    </w:div>
    <w:div w:id="141698322">
      <w:marLeft w:val="0"/>
      <w:marRight w:val="0"/>
      <w:marTop w:val="0"/>
      <w:marBottom w:val="0"/>
      <w:divBdr>
        <w:top w:val="none" w:sz="0" w:space="0" w:color="auto"/>
        <w:left w:val="none" w:sz="0" w:space="0" w:color="auto"/>
        <w:bottom w:val="none" w:sz="0" w:space="0" w:color="auto"/>
        <w:right w:val="none" w:sz="0" w:space="0" w:color="auto"/>
      </w:divBdr>
    </w:div>
    <w:div w:id="151334112">
      <w:marLeft w:val="0"/>
      <w:marRight w:val="0"/>
      <w:marTop w:val="0"/>
      <w:marBottom w:val="0"/>
      <w:divBdr>
        <w:top w:val="none" w:sz="0" w:space="0" w:color="auto"/>
        <w:left w:val="none" w:sz="0" w:space="0" w:color="auto"/>
        <w:bottom w:val="none" w:sz="0" w:space="0" w:color="auto"/>
        <w:right w:val="none" w:sz="0" w:space="0" w:color="auto"/>
      </w:divBdr>
    </w:div>
    <w:div w:id="199170601">
      <w:marLeft w:val="0"/>
      <w:marRight w:val="0"/>
      <w:marTop w:val="0"/>
      <w:marBottom w:val="0"/>
      <w:divBdr>
        <w:top w:val="none" w:sz="0" w:space="0" w:color="auto"/>
        <w:left w:val="none" w:sz="0" w:space="0" w:color="auto"/>
        <w:bottom w:val="none" w:sz="0" w:space="0" w:color="auto"/>
        <w:right w:val="none" w:sz="0" w:space="0" w:color="auto"/>
      </w:divBdr>
    </w:div>
    <w:div w:id="202401814">
      <w:marLeft w:val="0"/>
      <w:marRight w:val="0"/>
      <w:marTop w:val="0"/>
      <w:marBottom w:val="0"/>
      <w:divBdr>
        <w:top w:val="none" w:sz="0" w:space="0" w:color="auto"/>
        <w:left w:val="none" w:sz="0" w:space="0" w:color="auto"/>
        <w:bottom w:val="none" w:sz="0" w:space="0" w:color="auto"/>
        <w:right w:val="none" w:sz="0" w:space="0" w:color="auto"/>
      </w:divBdr>
    </w:div>
    <w:div w:id="218369703">
      <w:marLeft w:val="0"/>
      <w:marRight w:val="0"/>
      <w:marTop w:val="0"/>
      <w:marBottom w:val="0"/>
      <w:divBdr>
        <w:top w:val="none" w:sz="0" w:space="0" w:color="auto"/>
        <w:left w:val="none" w:sz="0" w:space="0" w:color="auto"/>
        <w:bottom w:val="none" w:sz="0" w:space="0" w:color="auto"/>
        <w:right w:val="none" w:sz="0" w:space="0" w:color="auto"/>
      </w:divBdr>
    </w:div>
    <w:div w:id="241061611">
      <w:marLeft w:val="0"/>
      <w:marRight w:val="0"/>
      <w:marTop w:val="0"/>
      <w:marBottom w:val="0"/>
      <w:divBdr>
        <w:top w:val="none" w:sz="0" w:space="0" w:color="auto"/>
        <w:left w:val="none" w:sz="0" w:space="0" w:color="auto"/>
        <w:bottom w:val="none" w:sz="0" w:space="0" w:color="auto"/>
        <w:right w:val="none" w:sz="0" w:space="0" w:color="auto"/>
      </w:divBdr>
    </w:div>
    <w:div w:id="253176158">
      <w:marLeft w:val="0"/>
      <w:marRight w:val="0"/>
      <w:marTop w:val="0"/>
      <w:marBottom w:val="0"/>
      <w:divBdr>
        <w:top w:val="none" w:sz="0" w:space="0" w:color="auto"/>
        <w:left w:val="none" w:sz="0" w:space="0" w:color="auto"/>
        <w:bottom w:val="none" w:sz="0" w:space="0" w:color="auto"/>
        <w:right w:val="none" w:sz="0" w:space="0" w:color="auto"/>
      </w:divBdr>
    </w:div>
    <w:div w:id="276330645">
      <w:marLeft w:val="0"/>
      <w:marRight w:val="0"/>
      <w:marTop w:val="0"/>
      <w:marBottom w:val="0"/>
      <w:divBdr>
        <w:top w:val="none" w:sz="0" w:space="0" w:color="auto"/>
        <w:left w:val="none" w:sz="0" w:space="0" w:color="auto"/>
        <w:bottom w:val="none" w:sz="0" w:space="0" w:color="auto"/>
        <w:right w:val="none" w:sz="0" w:space="0" w:color="auto"/>
      </w:divBdr>
    </w:div>
    <w:div w:id="285040294">
      <w:marLeft w:val="0"/>
      <w:marRight w:val="0"/>
      <w:marTop w:val="0"/>
      <w:marBottom w:val="0"/>
      <w:divBdr>
        <w:top w:val="none" w:sz="0" w:space="0" w:color="auto"/>
        <w:left w:val="none" w:sz="0" w:space="0" w:color="auto"/>
        <w:bottom w:val="none" w:sz="0" w:space="0" w:color="auto"/>
        <w:right w:val="none" w:sz="0" w:space="0" w:color="auto"/>
      </w:divBdr>
    </w:div>
    <w:div w:id="298192539">
      <w:marLeft w:val="0"/>
      <w:marRight w:val="0"/>
      <w:marTop w:val="0"/>
      <w:marBottom w:val="0"/>
      <w:divBdr>
        <w:top w:val="none" w:sz="0" w:space="0" w:color="auto"/>
        <w:left w:val="none" w:sz="0" w:space="0" w:color="auto"/>
        <w:bottom w:val="none" w:sz="0" w:space="0" w:color="auto"/>
        <w:right w:val="none" w:sz="0" w:space="0" w:color="auto"/>
      </w:divBdr>
    </w:div>
    <w:div w:id="298875824">
      <w:marLeft w:val="0"/>
      <w:marRight w:val="0"/>
      <w:marTop w:val="0"/>
      <w:marBottom w:val="0"/>
      <w:divBdr>
        <w:top w:val="none" w:sz="0" w:space="0" w:color="auto"/>
        <w:left w:val="none" w:sz="0" w:space="0" w:color="auto"/>
        <w:bottom w:val="none" w:sz="0" w:space="0" w:color="auto"/>
        <w:right w:val="none" w:sz="0" w:space="0" w:color="auto"/>
      </w:divBdr>
    </w:div>
    <w:div w:id="310600692">
      <w:marLeft w:val="0"/>
      <w:marRight w:val="0"/>
      <w:marTop w:val="0"/>
      <w:marBottom w:val="0"/>
      <w:divBdr>
        <w:top w:val="none" w:sz="0" w:space="0" w:color="auto"/>
        <w:left w:val="none" w:sz="0" w:space="0" w:color="auto"/>
        <w:bottom w:val="none" w:sz="0" w:space="0" w:color="auto"/>
        <w:right w:val="none" w:sz="0" w:space="0" w:color="auto"/>
      </w:divBdr>
    </w:div>
    <w:div w:id="315843570">
      <w:marLeft w:val="0"/>
      <w:marRight w:val="0"/>
      <w:marTop w:val="0"/>
      <w:marBottom w:val="0"/>
      <w:divBdr>
        <w:top w:val="none" w:sz="0" w:space="0" w:color="auto"/>
        <w:left w:val="none" w:sz="0" w:space="0" w:color="auto"/>
        <w:bottom w:val="none" w:sz="0" w:space="0" w:color="auto"/>
        <w:right w:val="none" w:sz="0" w:space="0" w:color="auto"/>
      </w:divBdr>
    </w:div>
    <w:div w:id="326370694">
      <w:marLeft w:val="0"/>
      <w:marRight w:val="0"/>
      <w:marTop w:val="0"/>
      <w:marBottom w:val="0"/>
      <w:divBdr>
        <w:top w:val="none" w:sz="0" w:space="0" w:color="auto"/>
        <w:left w:val="none" w:sz="0" w:space="0" w:color="auto"/>
        <w:bottom w:val="none" w:sz="0" w:space="0" w:color="auto"/>
        <w:right w:val="none" w:sz="0" w:space="0" w:color="auto"/>
      </w:divBdr>
    </w:div>
    <w:div w:id="381907850">
      <w:marLeft w:val="0"/>
      <w:marRight w:val="0"/>
      <w:marTop w:val="0"/>
      <w:marBottom w:val="0"/>
      <w:divBdr>
        <w:top w:val="none" w:sz="0" w:space="0" w:color="auto"/>
        <w:left w:val="none" w:sz="0" w:space="0" w:color="auto"/>
        <w:bottom w:val="none" w:sz="0" w:space="0" w:color="auto"/>
        <w:right w:val="none" w:sz="0" w:space="0" w:color="auto"/>
      </w:divBdr>
    </w:div>
    <w:div w:id="465464432">
      <w:marLeft w:val="0"/>
      <w:marRight w:val="0"/>
      <w:marTop w:val="0"/>
      <w:marBottom w:val="0"/>
      <w:divBdr>
        <w:top w:val="none" w:sz="0" w:space="0" w:color="auto"/>
        <w:left w:val="none" w:sz="0" w:space="0" w:color="auto"/>
        <w:bottom w:val="none" w:sz="0" w:space="0" w:color="auto"/>
        <w:right w:val="none" w:sz="0" w:space="0" w:color="auto"/>
      </w:divBdr>
    </w:div>
    <w:div w:id="466242009">
      <w:marLeft w:val="0"/>
      <w:marRight w:val="0"/>
      <w:marTop w:val="0"/>
      <w:marBottom w:val="0"/>
      <w:divBdr>
        <w:top w:val="none" w:sz="0" w:space="0" w:color="auto"/>
        <w:left w:val="none" w:sz="0" w:space="0" w:color="auto"/>
        <w:bottom w:val="none" w:sz="0" w:space="0" w:color="auto"/>
        <w:right w:val="none" w:sz="0" w:space="0" w:color="auto"/>
      </w:divBdr>
    </w:div>
    <w:div w:id="504131945">
      <w:marLeft w:val="0"/>
      <w:marRight w:val="0"/>
      <w:marTop w:val="0"/>
      <w:marBottom w:val="0"/>
      <w:divBdr>
        <w:top w:val="none" w:sz="0" w:space="0" w:color="auto"/>
        <w:left w:val="none" w:sz="0" w:space="0" w:color="auto"/>
        <w:bottom w:val="none" w:sz="0" w:space="0" w:color="auto"/>
        <w:right w:val="none" w:sz="0" w:space="0" w:color="auto"/>
      </w:divBdr>
    </w:div>
    <w:div w:id="538401362">
      <w:marLeft w:val="0"/>
      <w:marRight w:val="0"/>
      <w:marTop w:val="0"/>
      <w:marBottom w:val="0"/>
      <w:divBdr>
        <w:top w:val="none" w:sz="0" w:space="0" w:color="auto"/>
        <w:left w:val="none" w:sz="0" w:space="0" w:color="auto"/>
        <w:bottom w:val="none" w:sz="0" w:space="0" w:color="auto"/>
        <w:right w:val="none" w:sz="0" w:space="0" w:color="auto"/>
      </w:divBdr>
    </w:div>
    <w:div w:id="541869190">
      <w:marLeft w:val="0"/>
      <w:marRight w:val="0"/>
      <w:marTop w:val="0"/>
      <w:marBottom w:val="0"/>
      <w:divBdr>
        <w:top w:val="none" w:sz="0" w:space="0" w:color="auto"/>
        <w:left w:val="none" w:sz="0" w:space="0" w:color="auto"/>
        <w:bottom w:val="none" w:sz="0" w:space="0" w:color="auto"/>
        <w:right w:val="none" w:sz="0" w:space="0" w:color="auto"/>
      </w:divBdr>
    </w:div>
    <w:div w:id="556818549">
      <w:marLeft w:val="0"/>
      <w:marRight w:val="0"/>
      <w:marTop w:val="0"/>
      <w:marBottom w:val="0"/>
      <w:divBdr>
        <w:top w:val="none" w:sz="0" w:space="0" w:color="auto"/>
        <w:left w:val="none" w:sz="0" w:space="0" w:color="auto"/>
        <w:bottom w:val="none" w:sz="0" w:space="0" w:color="auto"/>
        <w:right w:val="none" w:sz="0" w:space="0" w:color="auto"/>
      </w:divBdr>
    </w:div>
    <w:div w:id="558131813">
      <w:marLeft w:val="0"/>
      <w:marRight w:val="0"/>
      <w:marTop w:val="0"/>
      <w:marBottom w:val="0"/>
      <w:divBdr>
        <w:top w:val="none" w:sz="0" w:space="0" w:color="auto"/>
        <w:left w:val="none" w:sz="0" w:space="0" w:color="auto"/>
        <w:bottom w:val="none" w:sz="0" w:space="0" w:color="auto"/>
        <w:right w:val="none" w:sz="0" w:space="0" w:color="auto"/>
      </w:divBdr>
    </w:div>
    <w:div w:id="569773320">
      <w:marLeft w:val="0"/>
      <w:marRight w:val="0"/>
      <w:marTop w:val="0"/>
      <w:marBottom w:val="0"/>
      <w:divBdr>
        <w:top w:val="none" w:sz="0" w:space="0" w:color="auto"/>
        <w:left w:val="none" w:sz="0" w:space="0" w:color="auto"/>
        <w:bottom w:val="none" w:sz="0" w:space="0" w:color="auto"/>
        <w:right w:val="none" w:sz="0" w:space="0" w:color="auto"/>
      </w:divBdr>
    </w:div>
    <w:div w:id="605044229">
      <w:marLeft w:val="0"/>
      <w:marRight w:val="0"/>
      <w:marTop w:val="0"/>
      <w:marBottom w:val="0"/>
      <w:divBdr>
        <w:top w:val="none" w:sz="0" w:space="0" w:color="auto"/>
        <w:left w:val="none" w:sz="0" w:space="0" w:color="auto"/>
        <w:bottom w:val="none" w:sz="0" w:space="0" w:color="auto"/>
        <w:right w:val="none" w:sz="0" w:space="0" w:color="auto"/>
      </w:divBdr>
    </w:div>
    <w:div w:id="688609110">
      <w:marLeft w:val="0"/>
      <w:marRight w:val="0"/>
      <w:marTop w:val="0"/>
      <w:marBottom w:val="0"/>
      <w:divBdr>
        <w:top w:val="none" w:sz="0" w:space="0" w:color="auto"/>
        <w:left w:val="none" w:sz="0" w:space="0" w:color="auto"/>
        <w:bottom w:val="none" w:sz="0" w:space="0" w:color="auto"/>
        <w:right w:val="none" w:sz="0" w:space="0" w:color="auto"/>
      </w:divBdr>
    </w:div>
    <w:div w:id="692338207">
      <w:marLeft w:val="0"/>
      <w:marRight w:val="0"/>
      <w:marTop w:val="0"/>
      <w:marBottom w:val="0"/>
      <w:divBdr>
        <w:top w:val="none" w:sz="0" w:space="0" w:color="auto"/>
        <w:left w:val="none" w:sz="0" w:space="0" w:color="auto"/>
        <w:bottom w:val="none" w:sz="0" w:space="0" w:color="auto"/>
        <w:right w:val="none" w:sz="0" w:space="0" w:color="auto"/>
      </w:divBdr>
    </w:div>
    <w:div w:id="714696352">
      <w:marLeft w:val="0"/>
      <w:marRight w:val="0"/>
      <w:marTop w:val="0"/>
      <w:marBottom w:val="0"/>
      <w:divBdr>
        <w:top w:val="none" w:sz="0" w:space="0" w:color="auto"/>
        <w:left w:val="none" w:sz="0" w:space="0" w:color="auto"/>
        <w:bottom w:val="none" w:sz="0" w:space="0" w:color="auto"/>
        <w:right w:val="none" w:sz="0" w:space="0" w:color="auto"/>
      </w:divBdr>
    </w:div>
    <w:div w:id="733043829">
      <w:marLeft w:val="0"/>
      <w:marRight w:val="0"/>
      <w:marTop w:val="0"/>
      <w:marBottom w:val="0"/>
      <w:divBdr>
        <w:top w:val="none" w:sz="0" w:space="0" w:color="auto"/>
        <w:left w:val="none" w:sz="0" w:space="0" w:color="auto"/>
        <w:bottom w:val="none" w:sz="0" w:space="0" w:color="auto"/>
        <w:right w:val="none" w:sz="0" w:space="0" w:color="auto"/>
      </w:divBdr>
    </w:div>
    <w:div w:id="744494896">
      <w:marLeft w:val="0"/>
      <w:marRight w:val="0"/>
      <w:marTop w:val="0"/>
      <w:marBottom w:val="0"/>
      <w:divBdr>
        <w:top w:val="none" w:sz="0" w:space="0" w:color="auto"/>
        <w:left w:val="none" w:sz="0" w:space="0" w:color="auto"/>
        <w:bottom w:val="none" w:sz="0" w:space="0" w:color="auto"/>
        <w:right w:val="none" w:sz="0" w:space="0" w:color="auto"/>
      </w:divBdr>
    </w:div>
    <w:div w:id="764690459">
      <w:marLeft w:val="0"/>
      <w:marRight w:val="0"/>
      <w:marTop w:val="0"/>
      <w:marBottom w:val="0"/>
      <w:divBdr>
        <w:top w:val="none" w:sz="0" w:space="0" w:color="auto"/>
        <w:left w:val="none" w:sz="0" w:space="0" w:color="auto"/>
        <w:bottom w:val="none" w:sz="0" w:space="0" w:color="auto"/>
        <w:right w:val="none" w:sz="0" w:space="0" w:color="auto"/>
      </w:divBdr>
    </w:div>
    <w:div w:id="785855362">
      <w:marLeft w:val="0"/>
      <w:marRight w:val="0"/>
      <w:marTop w:val="0"/>
      <w:marBottom w:val="0"/>
      <w:divBdr>
        <w:top w:val="none" w:sz="0" w:space="0" w:color="auto"/>
        <w:left w:val="none" w:sz="0" w:space="0" w:color="auto"/>
        <w:bottom w:val="none" w:sz="0" w:space="0" w:color="auto"/>
        <w:right w:val="none" w:sz="0" w:space="0" w:color="auto"/>
      </w:divBdr>
    </w:div>
    <w:div w:id="799113191">
      <w:marLeft w:val="0"/>
      <w:marRight w:val="0"/>
      <w:marTop w:val="0"/>
      <w:marBottom w:val="0"/>
      <w:divBdr>
        <w:top w:val="none" w:sz="0" w:space="0" w:color="auto"/>
        <w:left w:val="none" w:sz="0" w:space="0" w:color="auto"/>
        <w:bottom w:val="none" w:sz="0" w:space="0" w:color="auto"/>
        <w:right w:val="none" w:sz="0" w:space="0" w:color="auto"/>
      </w:divBdr>
    </w:div>
    <w:div w:id="825323250">
      <w:marLeft w:val="0"/>
      <w:marRight w:val="0"/>
      <w:marTop w:val="0"/>
      <w:marBottom w:val="0"/>
      <w:divBdr>
        <w:top w:val="none" w:sz="0" w:space="0" w:color="auto"/>
        <w:left w:val="none" w:sz="0" w:space="0" w:color="auto"/>
        <w:bottom w:val="none" w:sz="0" w:space="0" w:color="auto"/>
        <w:right w:val="none" w:sz="0" w:space="0" w:color="auto"/>
      </w:divBdr>
    </w:div>
    <w:div w:id="842671463">
      <w:marLeft w:val="0"/>
      <w:marRight w:val="0"/>
      <w:marTop w:val="0"/>
      <w:marBottom w:val="0"/>
      <w:divBdr>
        <w:top w:val="none" w:sz="0" w:space="0" w:color="auto"/>
        <w:left w:val="none" w:sz="0" w:space="0" w:color="auto"/>
        <w:bottom w:val="none" w:sz="0" w:space="0" w:color="auto"/>
        <w:right w:val="none" w:sz="0" w:space="0" w:color="auto"/>
      </w:divBdr>
    </w:div>
    <w:div w:id="843783465">
      <w:marLeft w:val="0"/>
      <w:marRight w:val="0"/>
      <w:marTop w:val="0"/>
      <w:marBottom w:val="0"/>
      <w:divBdr>
        <w:top w:val="none" w:sz="0" w:space="0" w:color="auto"/>
        <w:left w:val="none" w:sz="0" w:space="0" w:color="auto"/>
        <w:bottom w:val="none" w:sz="0" w:space="0" w:color="auto"/>
        <w:right w:val="none" w:sz="0" w:space="0" w:color="auto"/>
      </w:divBdr>
    </w:div>
    <w:div w:id="877887414">
      <w:marLeft w:val="0"/>
      <w:marRight w:val="0"/>
      <w:marTop w:val="0"/>
      <w:marBottom w:val="0"/>
      <w:divBdr>
        <w:top w:val="none" w:sz="0" w:space="0" w:color="auto"/>
        <w:left w:val="none" w:sz="0" w:space="0" w:color="auto"/>
        <w:bottom w:val="none" w:sz="0" w:space="0" w:color="auto"/>
        <w:right w:val="none" w:sz="0" w:space="0" w:color="auto"/>
      </w:divBdr>
    </w:div>
    <w:div w:id="882249810">
      <w:marLeft w:val="0"/>
      <w:marRight w:val="0"/>
      <w:marTop w:val="0"/>
      <w:marBottom w:val="0"/>
      <w:divBdr>
        <w:top w:val="none" w:sz="0" w:space="0" w:color="auto"/>
        <w:left w:val="none" w:sz="0" w:space="0" w:color="auto"/>
        <w:bottom w:val="none" w:sz="0" w:space="0" w:color="auto"/>
        <w:right w:val="none" w:sz="0" w:space="0" w:color="auto"/>
      </w:divBdr>
    </w:div>
    <w:div w:id="883102686">
      <w:marLeft w:val="0"/>
      <w:marRight w:val="0"/>
      <w:marTop w:val="0"/>
      <w:marBottom w:val="0"/>
      <w:divBdr>
        <w:top w:val="none" w:sz="0" w:space="0" w:color="auto"/>
        <w:left w:val="none" w:sz="0" w:space="0" w:color="auto"/>
        <w:bottom w:val="none" w:sz="0" w:space="0" w:color="auto"/>
        <w:right w:val="none" w:sz="0" w:space="0" w:color="auto"/>
      </w:divBdr>
    </w:div>
    <w:div w:id="936668566">
      <w:marLeft w:val="0"/>
      <w:marRight w:val="0"/>
      <w:marTop w:val="0"/>
      <w:marBottom w:val="0"/>
      <w:divBdr>
        <w:top w:val="none" w:sz="0" w:space="0" w:color="auto"/>
        <w:left w:val="none" w:sz="0" w:space="0" w:color="auto"/>
        <w:bottom w:val="none" w:sz="0" w:space="0" w:color="auto"/>
        <w:right w:val="none" w:sz="0" w:space="0" w:color="auto"/>
      </w:divBdr>
    </w:div>
    <w:div w:id="937367254">
      <w:marLeft w:val="0"/>
      <w:marRight w:val="0"/>
      <w:marTop w:val="0"/>
      <w:marBottom w:val="0"/>
      <w:divBdr>
        <w:top w:val="none" w:sz="0" w:space="0" w:color="auto"/>
        <w:left w:val="none" w:sz="0" w:space="0" w:color="auto"/>
        <w:bottom w:val="none" w:sz="0" w:space="0" w:color="auto"/>
        <w:right w:val="none" w:sz="0" w:space="0" w:color="auto"/>
      </w:divBdr>
    </w:div>
    <w:div w:id="941497288">
      <w:marLeft w:val="0"/>
      <w:marRight w:val="0"/>
      <w:marTop w:val="0"/>
      <w:marBottom w:val="0"/>
      <w:divBdr>
        <w:top w:val="none" w:sz="0" w:space="0" w:color="auto"/>
        <w:left w:val="none" w:sz="0" w:space="0" w:color="auto"/>
        <w:bottom w:val="none" w:sz="0" w:space="0" w:color="auto"/>
        <w:right w:val="none" w:sz="0" w:space="0" w:color="auto"/>
      </w:divBdr>
    </w:div>
    <w:div w:id="961031768">
      <w:marLeft w:val="0"/>
      <w:marRight w:val="0"/>
      <w:marTop w:val="0"/>
      <w:marBottom w:val="0"/>
      <w:divBdr>
        <w:top w:val="none" w:sz="0" w:space="0" w:color="auto"/>
        <w:left w:val="none" w:sz="0" w:space="0" w:color="auto"/>
        <w:bottom w:val="none" w:sz="0" w:space="0" w:color="auto"/>
        <w:right w:val="none" w:sz="0" w:space="0" w:color="auto"/>
      </w:divBdr>
    </w:div>
    <w:div w:id="963196208">
      <w:marLeft w:val="0"/>
      <w:marRight w:val="0"/>
      <w:marTop w:val="0"/>
      <w:marBottom w:val="0"/>
      <w:divBdr>
        <w:top w:val="none" w:sz="0" w:space="0" w:color="auto"/>
        <w:left w:val="none" w:sz="0" w:space="0" w:color="auto"/>
        <w:bottom w:val="none" w:sz="0" w:space="0" w:color="auto"/>
        <w:right w:val="none" w:sz="0" w:space="0" w:color="auto"/>
      </w:divBdr>
    </w:div>
    <w:div w:id="973407790">
      <w:marLeft w:val="0"/>
      <w:marRight w:val="0"/>
      <w:marTop w:val="0"/>
      <w:marBottom w:val="0"/>
      <w:divBdr>
        <w:top w:val="none" w:sz="0" w:space="0" w:color="auto"/>
        <w:left w:val="none" w:sz="0" w:space="0" w:color="auto"/>
        <w:bottom w:val="none" w:sz="0" w:space="0" w:color="auto"/>
        <w:right w:val="none" w:sz="0" w:space="0" w:color="auto"/>
      </w:divBdr>
    </w:div>
    <w:div w:id="989283211">
      <w:marLeft w:val="0"/>
      <w:marRight w:val="0"/>
      <w:marTop w:val="0"/>
      <w:marBottom w:val="0"/>
      <w:divBdr>
        <w:top w:val="none" w:sz="0" w:space="0" w:color="auto"/>
        <w:left w:val="none" w:sz="0" w:space="0" w:color="auto"/>
        <w:bottom w:val="none" w:sz="0" w:space="0" w:color="auto"/>
        <w:right w:val="none" w:sz="0" w:space="0" w:color="auto"/>
      </w:divBdr>
    </w:div>
    <w:div w:id="1016224579">
      <w:marLeft w:val="0"/>
      <w:marRight w:val="0"/>
      <w:marTop w:val="0"/>
      <w:marBottom w:val="0"/>
      <w:divBdr>
        <w:top w:val="none" w:sz="0" w:space="0" w:color="auto"/>
        <w:left w:val="none" w:sz="0" w:space="0" w:color="auto"/>
        <w:bottom w:val="none" w:sz="0" w:space="0" w:color="auto"/>
        <w:right w:val="none" w:sz="0" w:space="0" w:color="auto"/>
      </w:divBdr>
    </w:div>
    <w:div w:id="1020811880">
      <w:marLeft w:val="0"/>
      <w:marRight w:val="0"/>
      <w:marTop w:val="0"/>
      <w:marBottom w:val="0"/>
      <w:divBdr>
        <w:top w:val="none" w:sz="0" w:space="0" w:color="auto"/>
        <w:left w:val="none" w:sz="0" w:space="0" w:color="auto"/>
        <w:bottom w:val="none" w:sz="0" w:space="0" w:color="auto"/>
        <w:right w:val="none" w:sz="0" w:space="0" w:color="auto"/>
      </w:divBdr>
    </w:div>
    <w:div w:id="1022053132">
      <w:marLeft w:val="0"/>
      <w:marRight w:val="0"/>
      <w:marTop w:val="0"/>
      <w:marBottom w:val="0"/>
      <w:divBdr>
        <w:top w:val="none" w:sz="0" w:space="0" w:color="auto"/>
        <w:left w:val="none" w:sz="0" w:space="0" w:color="auto"/>
        <w:bottom w:val="none" w:sz="0" w:space="0" w:color="auto"/>
        <w:right w:val="none" w:sz="0" w:space="0" w:color="auto"/>
      </w:divBdr>
    </w:div>
    <w:div w:id="1029255467">
      <w:marLeft w:val="0"/>
      <w:marRight w:val="0"/>
      <w:marTop w:val="0"/>
      <w:marBottom w:val="0"/>
      <w:divBdr>
        <w:top w:val="none" w:sz="0" w:space="0" w:color="auto"/>
        <w:left w:val="none" w:sz="0" w:space="0" w:color="auto"/>
        <w:bottom w:val="none" w:sz="0" w:space="0" w:color="auto"/>
        <w:right w:val="none" w:sz="0" w:space="0" w:color="auto"/>
      </w:divBdr>
    </w:div>
    <w:div w:id="1034504028">
      <w:marLeft w:val="0"/>
      <w:marRight w:val="0"/>
      <w:marTop w:val="0"/>
      <w:marBottom w:val="0"/>
      <w:divBdr>
        <w:top w:val="none" w:sz="0" w:space="0" w:color="auto"/>
        <w:left w:val="none" w:sz="0" w:space="0" w:color="auto"/>
        <w:bottom w:val="none" w:sz="0" w:space="0" w:color="auto"/>
        <w:right w:val="none" w:sz="0" w:space="0" w:color="auto"/>
      </w:divBdr>
    </w:div>
    <w:div w:id="1056851920">
      <w:marLeft w:val="0"/>
      <w:marRight w:val="0"/>
      <w:marTop w:val="0"/>
      <w:marBottom w:val="0"/>
      <w:divBdr>
        <w:top w:val="none" w:sz="0" w:space="0" w:color="auto"/>
        <w:left w:val="none" w:sz="0" w:space="0" w:color="auto"/>
        <w:bottom w:val="none" w:sz="0" w:space="0" w:color="auto"/>
        <w:right w:val="none" w:sz="0" w:space="0" w:color="auto"/>
      </w:divBdr>
    </w:div>
    <w:div w:id="1090346086">
      <w:marLeft w:val="0"/>
      <w:marRight w:val="0"/>
      <w:marTop w:val="0"/>
      <w:marBottom w:val="0"/>
      <w:divBdr>
        <w:top w:val="none" w:sz="0" w:space="0" w:color="auto"/>
        <w:left w:val="none" w:sz="0" w:space="0" w:color="auto"/>
        <w:bottom w:val="none" w:sz="0" w:space="0" w:color="auto"/>
        <w:right w:val="none" w:sz="0" w:space="0" w:color="auto"/>
      </w:divBdr>
    </w:div>
    <w:div w:id="1095056476">
      <w:marLeft w:val="0"/>
      <w:marRight w:val="0"/>
      <w:marTop w:val="0"/>
      <w:marBottom w:val="0"/>
      <w:divBdr>
        <w:top w:val="none" w:sz="0" w:space="0" w:color="auto"/>
        <w:left w:val="none" w:sz="0" w:space="0" w:color="auto"/>
        <w:bottom w:val="none" w:sz="0" w:space="0" w:color="auto"/>
        <w:right w:val="none" w:sz="0" w:space="0" w:color="auto"/>
      </w:divBdr>
    </w:div>
    <w:div w:id="1114638092">
      <w:marLeft w:val="0"/>
      <w:marRight w:val="0"/>
      <w:marTop w:val="0"/>
      <w:marBottom w:val="0"/>
      <w:divBdr>
        <w:top w:val="none" w:sz="0" w:space="0" w:color="auto"/>
        <w:left w:val="none" w:sz="0" w:space="0" w:color="auto"/>
        <w:bottom w:val="none" w:sz="0" w:space="0" w:color="auto"/>
        <w:right w:val="none" w:sz="0" w:space="0" w:color="auto"/>
      </w:divBdr>
    </w:div>
    <w:div w:id="1162349492">
      <w:marLeft w:val="0"/>
      <w:marRight w:val="0"/>
      <w:marTop w:val="0"/>
      <w:marBottom w:val="0"/>
      <w:divBdr>
        <w:top w:val="none" w:sz="0" w:space="0" w:color="auto"/>
        <w:left w:val="none" w:sz="0" w:space="0" w:color="auto"/>
        <w:bottom w:val="none" w:sz="0" w:space="0" w:color="auto"/>
        <w:right w:val="none" w:sz="0" w:space="0" w:color="auto"/>
      </w:divBdr>
    </w:div>
    <w:div w:id="1162742412">
      <w:marLeft w:val="0"/>
      <w:marRight w:val="0"/>
      <w:marTop w:val="0"/>
      <w:marBottom w:val="0"/>
      <w:divBdr>
        <w:top w:val="none" w:sz="0" w:space="0" w:color="auto"/>
        <w:left w:val="none" w:sz="0" w:space="0" w:color="auto"/>
        <w:bottom w:val="none" w:sz="0" w:space="0" w:color="auto"/>
        <w:right w:val="none" w:sz="0" w:space="0" w:color="auto"/>
      </w:divBdr>
    </w:div>
    <w:div w:id="1165971153">
      <w:marLeft w:val="0"/>
      <w:marRight w:val="0"/>
      <w:marTop w:val="0"/>
      <w:marBottom w:val="0"/>
      <w:divBdr>
        <w:top w:val="none" w:sz="0" w:space="0" w:color="auto"/>
        <w:left w:val="none" w:sz="0" w:space="0" w:color="auto"/>
        <w:bottom w:val="none" w:sz="0" w:space="0" w:color="auto"/>
        <w:right w:val="none" w:sz="0" w:space="0" w:color="auto"/>
      </w:divBdr>
    </w:div>
    <w:div w:id="1195576097">
      <w:marLeft w:val="0"/>
      <w:marRight w:val="0"/>
      <w:marTop w:val="0"/>
      <w:marBottom w:val="0"/>
      <w:divBdr>
        <w:top w:val="none" w:sz="0" w:space="0" w:color="auto"/>
        <w:left w:val="none" w:sz="0" w:space="0" w:color="auto"/>
        <w:bottom w:val="none" w:sz="0" w:space="0" w:color="auto"/>
        <w:right w:val="none" w:sz="0" w:space="0" w:color="auto"/>
      </w:divBdr>
    </w:div>
    <w:div w:id="1199854461">
      <w:marLeft w:val="0"/>
      <w:marRight w:val="0"/>
      <w:marTop w:val="0"/>
      <w:marBottom w:val="0"/>
      <w:divBdr>
        <w:top w:val="none" w:sz="0" w:space="0" w:color="auto"/>
        <w:left w:val="none" w:sz="0" w:space="0" w:color="auto"/>
        <w:bottom w:val="none" w:sz="0" w:space="0" w:color="auto"/>
        <w:right w:val="none" w:sz="0" w:space="0" w:color="auto"/>
      </w:divBdr>
    </w:div>
    <w:div w:id="1208647031">
      <w:marLeft w:val="0"/>
      <w:marRight w:val="0"/>
      <w:marTop w:val="0"/>
      <w:marBottom w:val="0"/>
      <w:divBdr>
        <w:top w:val="none" w:sz="0" w:space="0" w:color="auto"/>
        <w:left w:val="none" w:sz="0" w:space="0" w:color="auto"/>
        <w:bottom w:val="none" w:sz="0" w:space="0" w:color="auto"/>
        <w:right w:val="none" w:sz="0" w:space="0" w:color="auto"/>
      </w:divBdr>
    </w:div>
    <w:div w:id="1247543997">
      <w:marLeft w:val="0"/>
      <w:marRight w:val="0"/>
      <w:marTop w:val="0"/>
      <w:marBottom w:val="0"/>
      <w:divBdr>
        <w:top w:val="none" w:sz="0" w:space="0" w:color="auto"/>
        <w:left w:val="none" w:sz="0" w:space="0" w:color="auto"/>
        <w:bottom w:val="none" w:sz="0" w:space="0" w:color="auto"/>
        <w:right w:val="none" w:sz="0" w:space="0" w:color="auto"/>
      </w:divBdr>
    </w:div>
    <w:div w:id="1279533740">
      <w:marLeft w:val="0"/>
      <w:marRight w:val="0"/>
      <w:marTop w:val="0"/>
      <w:marBottom w:val="0"/>
      <w:divBdr>
        <w:top w:val="none" w:sz="0" w:space="0" w:color="auto"/>
        <w:left w:val="none" w:sz="0" w:space="0" w:color="auto"/>
        <w:bottom w:val="none" w:sz="0" w:space="0" w:color="auto"/>
        <w:right w:val="none" w:sz="0" w:space="0" w:color="auto"/>
      </w:divBdr>
    </w:div>
    <w:div w:id="1314021578">
      <w:marLeft w:val="0"/>
      <w:marRight w:val="0"/>
      <w:marTop w:val="0"/>
      <w:marBottom w:val="0"/>
      <w:divBdr>
        <w:top w:val="none" w:sz="0" w:space="0" w:color="auto"/>
        <w:left w:val="none" w:sz="0" w:space="0" w:color="auto"/>
        <w:bottom w:val="none" w:sz="0" w:space="0" w:color="auto"/>
        <w:right w:val="none" w:sz="0" w:space="0" w:color="auto"/>
      </w:divBdr>
    </w:div>
    <w:div w:id="1332220984">
      <w:marLeft w:val="0"/>
      <w:marRight w:val="0"/>
      <w:marTop w:val="0"/>
      <w:marBottom w:val="0"/>
      <w:divBdr>
        <w:top w:val="none" w:sz="0" w:space="0" w:color="auto"/>
        <w:left w:val="none" w:sz="0" w:space="0" w:color="auto"/>
        <w:bottom w:val="none" w:sz="0" w:space="0" w:color="auto"/>
        <w:right w:val="none" w:sz="0" w:space="0" w:color="auto"/>
      </w:divBdr>
    </w:div>
    <w:div w:id="1411463418">
      <w:marLeft w:val="0"/>
      <w:marRight w:val="0"/>
      <w:marTop w:val="0"/>
      <w:marBottom w:val="0"/>
      <w:divBdr>
        <w:top w:val="none" w:sz="0" w:space="0" w:color="auto"/>
        <w:left w:val="none" w:sz="0" w:space="0" w:color="auto"/>
        <w:bottom w:val="none" w:sz="0" w:space="0" w:color="auto"/>
        <w:right w:val="none" w:sz="0" w:space="0" w:color="auto"/>
      </w:divBdr>
    </w:div>
    <w:div w:id="1430194339">
      <w:marLeft w:val="0"/>
      <w:marRight w:val="0"/>
      <w:marTop w:val="0"/>
      <w:marBottom w:val="0"/>
      <w:divBdr>
        <w:top w:val="none" w:sz="0" w:space="0" w:color="auto"/>
        <w:left w:val="none" w:sz="0" w:space="0" w:color="auto"/>
        <w:bottom w:val="none" w:sz="0" w:space="0" w:color="auto"/>
        <w:right w:val="none" w:sz="0" w:space="0" w:color="auto"/>
      </w:divBdr>
    </w:div>
    <w:div w:id="1457522003">
      <w:marLeft w:val="0"/>
      <w:marRight w:val="0"/>
      <w:marTop w:val="0"/>
      <w:marBottom w:val="0"/>
      <w:divBdr>
        <w:top w:val="none" w:sz="0" w:space="0" w:color="auto"/>
        <w:left w:val="none" w:sz="0" w:space="0" w:color="auto"/>
        <w:bottom w:val="none" w:sz="0" w:space="0" w:color="auto"/>
        <w:right w:val="none" w:sz="0" w:space="0" w:color="auto"/>
      </w:divBdr>
    </w:div>
    <w:div w:id="1506628288">
      <w:marLeft w:val="0"/>
      <w:marRight w:val="0"/>
      <w:marTop w:val="0"/>
      <w:marBottom w:val="0"/>
      <w:divBdr>
        <w:top w:val="none" w:sz="0" w:space="0" w:color="auto"/>
        <w:left w:val="none" w:sz="0" w:space="0" w:color="auto"/>
        <w:bottom w:val="none" w:sz="0" w:space="0" w:color="auto"/>
        <w:right w:val="none" w:sz="0" w:space="0" w:color="auto"/>
      </w:divBdr>
    </w:div>
    <w:div w:id="1528954929">
      <w:marLeft w:val="0"/>
      <w:marRight w:val="0"/>
      <w:marTop w:val="0"/>
      <w:marBottom w:val="0"/>
      <w:divBdr>
        <w:top w:val="none" w:sz="0" w:space="0" w:color="auto"/>
        <w:left w:val="none" w:sz="0" w:space="0" w:color="auto"/>
        <w:bottom w:val="none" w:sz="0" w:space="0" w:color="auto"/>
        <w:right w:val="none" w:sz="0" w:space="0" w:color="auto"/>
      </w:divBdr>
    </w:div>
    <w:div w:id="1529103835">
      <w:marLeft w:val="0"/>
      <w:marRight w:val="0"/>
      <w:marTop w:val="0"/>
      <w:marBottom w:val="0"/>
      <w:divBdr>
        <w:top w:val="none" w:sz="0" w:space="0" w:color="auto"/>
        <w:left w:val="none" w:sz="0" w:space="0" w:color="auto"/>
        <w:bottom w:val="none" w:sz="0" w:space="0" w:color="auto"/>
        <w:right w:val="none" w:sz="0" w:space="0" w:color="auto"/>
      </w:divBdr>
    </w:div>
    <w:div w:id="1596476110">
      <w:marLeft w:val="0"/>
      <w:marRight w:val="0"/>
      <w:marTop w:val="0"/>
      <w:marBottom w:val="0"/>
      <w:divBdr>
        <w:top w:val="none" w:sz="0" w:space="0" w:color="auto"/>
        <w:left w:val="none" w:sz="0" w:space="0" w:color="auto"/>
        <w:bottom w:val="none" w:sz="0" w:space="0" w:color="auto"/>
        <w:right w:val="none" w:sz="0" w:space="0" w:color="auto"/>
      </w:divBdr>
    </w:div>
    <w:div w:id="1613895530">
      <w:marLeft w:val="0"/>
      <w:marRight w:val="0"/>
      <w:marTop w:val="0"/>
      <w:marBottom w:val="0"/>
      <w:divBdr>
        <w:top w:val="none" w:sz="0" w:space="0" w:color="auto"/>
        <w:left w:val="none" w:sz="0" w:space="0" w:color="auto"/>
        <w:bottom w:val="none" w:sz="0" w:space="0" w:color="auto"/>
        <w:right w:val="none" w:sz="0" w:space="0" w:color="auto"/>
      </w:divBdr>
    </w:div>
    <w:div w:id="1623071324">
      <w:marLeft w:val="0"/>
      <w:marRight w:val="0"/>
      <w:marTop w:val="0"/>
      <w:marBottom w:val="0"/>
      <w:divBdr>
        <w:top w:val="none" w:sz="0" w:space="0" w:color="auto"/>
        <w:left w:val="none" w:sz="0" w:space="0" w:color="auto"/>
        <w:bottom w:val="none" w:sz="0" w:space="0" w:color="auto"/>
        <w:right w:val="none" w:sz="0" w:space="0" w:color="auto"/>
      </w:divBdr>
    </w:div>
    <w:div w:id="1636594407">
      <w:marLeft w:val="0"/>
      <w:marRight w:val="0"/>
      <w:marTop w:val="0"/>
      <w:marBottom w:val="0"/>
      <w:divBdr>
        <w:top w:val="none" w:sz="0" w:space="0" w:color="auto"/>
        <w:left w:val="none" w:sz="0" w:space="0" w:color="auto"/>
        <w:bottom w:val="none" w:sz="0" w:space="0" w:color="auto"/>
        <w:right w:val="none" w:sz="0" w:space="0" w:color="auto"/>
      </w:divBdr>
    </w:div>
    <w:div w:id="1699231078">
      <w:marLeft w:val="0"/>
      <w:marRight w:val="0"/>
      <w:marTop w:val="0"/>
      <w:marBottom w:val="0"/>
      <w:divBdr>
        <w:top w:val="none" w:sz="0" w:space="0" w:color="auto"/>
        <w:left w:val="none" w:sz="0" w:space="0" w:color="auto"/>
        <w:bottom w:val="none" w:sz="0" w:space="0" w:color="auto"/>
        <w:right w:val="none" w:sz="0" w:space="0" w:color="auto"/>
      </w:divBdr>
    </w:div>
    <w:div w:id="1708917452">
      <w:marLeft w:val="0"/>
      <w:marRight w:val="0"/>
      <w:marTop w:val="0"/>
      <w:marBottom w:val="0"/>
      <w:divBdr>
        <w:top w:val="none" w:sz="0" w:space="0" w:color="auto"/>
        <w:left w:val="none" w:sz="0" w:space="0" w:color="auto"/>
        <w:bottom w:val="none" w:sz="0" w:space="0" w:color="auto"/>
        <w:right w:val="none" w:sz="0" w:space="0" w:color="auto"/>
      </w:divBdr>
    </w:div>
    <w:div w:id="1721858994">
      <w:marLeft w:val="0"/>
      <w:marRight w:val="0"/>
      <w:marTop w:val="0"/>
      <w:marBottom w:val="0"/>
      <w:divBdr>
        <w:top w:val="none" w:sz="0" w:space="0" w:color="auto"/>
        <w:left w:val="none" w:sz="0" w:space="0" w:color="auto"/>
        <w:bottom w:val="none" w:sz="0" w:space="0" w:color="auto"/>
        <w:right w:val="none" w:sz="0" w:space="0" w:color="auto"/>
      </w:divBdr>
    </w:div>
    <w:div w:id="1729064963">
      <w:marLeft w:val="0"/>
      <w:marRight w:val="0"/>
      <w:marTop w:val="0"/>
      <w:marBottom w:val="0"/>
      <w:divBdr>
        <w:top w:val="none" w:sz="0" w:space="0" w:color="auto"/>
        <w:left w:val="none" w:sz="0" w:space="0" w:color="auto"/>
        <w:bottom w:val="none" w:sz="0" w:space="0" w:color="auto"/>
        <w:right w:val="none" w:sz="0" w:space="0" w:color="auto"/>
      </w:divBdr>
    </w:div>
    <w:div w:id="1733040096">
      <w:marLeft w:val="0"/>
      <w:marRight w:val="0"/>
      <w:marTop w:val="0"/>
      <w:marBottom w:val="0"/>
      <w:divBdr>
        <w:top w:val="none" w:sz="0" w:space="0" w:color="auto"/>
        <w:left w:val="none" w:sz="0" w:space="0" w:color="auto"/>
        <w:bottom w:val="none" w:sz="0" w:space="0" w:color="auto"/>
        <w:right w:val="none" w:sz="0" w:space="0" w:color="auto"/>
      </w:divBdr>
    </w:div>
    <w:div w:id="1788111761">
      <w:marLeft w:val="0"/>
      <w:marRight w:val="0"/>
      <w:marTop w:val="0"/>
      <w:marBottom w:val="0"/>
      <w:divBdr>
        <w:top w:val="none" w:sz="0" w:space="0" w:color="auto"/>
        <w:left w:val="none" w:sz="0" w:space="0" w:color="auto"/>
        <w:bottom w:val="none" w:sz="0" w:space="0" w:color="auto"/>
        <w:right w:val="none" w:sz="0" w:space="0" w:color="auto"/>
      </w:divBdr>
    </w:div>
    <w:div w:id="1813862768">
      <w:marLeft w:val="0"/>
      <w:marRight w:val="0"/>
      <w:marTop w:val="0"/>
      <w:marBottom w:val="0"/>
      <w:divBdr>
        <w:top w:val="none" w:sz="0" w:space="0" w:color="auto"/>
        <w:left w:val="none" w:sz="0" w:space="0" w:color="auto"/>
        <w:bottom w:val="none" w:sz="0" w:space="0" w:color="auto"/>
        <w:right w:val="none" w:sz="0" w:space="0" w:color="auto"/>
      </w:divBdr>
    </w:div>
    <w:div w:id="1840273912">
      <w:marLeft w:val="0"/>
      <w:marRight w:val="0"/>
      <w:marTop w:val="0"/>
      <w:marBottom w:val="0"/>
      <w:divBdr>
        <w:top w:val="none" w:sz="0" w:space="0" w:color="auto"/>
        <w:left w:val="none" w:sz="0" w:space="0" w:color="auto"/>
        <w:bottom w:val="none" w:sz="0" w:space="0" w:color="auto"/>
        <w:right w:val="none" w:sz="0" w:space="0" w:color="auto"/>
      </w:divBdr>
    </w:div>
    <w:div w:id="1852717143">
      <w:marLeft w:val="0"/>
      <w:marRight w:val="0"/>
      <w:marTop w:val="0"/>
      <w:marBottom w:val="0"/>
      <w:divBdr>
        <w:top w:val="none" w:sz="0" w:space="0" w:color="auto"/>
        <w:left w:val="none" w:sz="0" w:space="0" w:color="auto"/>
        <w:bottom w:val="none" w:sz="0" w:space="0" w:color="auto"/>
        <w:right w:val="none" w:sz="0" w:space="0" w:color="auto"/>
      </w:divBdr>
    </w:div>
    <w:div w:id="1860464880">
      <w:marLeft w:val="0"/>
      <w:marRight w:val="0"/>
      <w:marTop w:val="0"/>
      <w:marBottom w:val="0"/>
      <w:divBdr>
        <w:top w:val="none" w:sz="0" w:space="0" w:color="auto"/>
        <w:left w:val="none" w:sz="0" w:space="0" w:color="auto"/>
        <w:bottom w:val="none" w:sz="0" w:space="0" w:color="auto"/>
        <w:right w:val="none" w:sz="0" w:space="0" w:color="auto"/>
      </w:divBdr>
    </w:div>
    <w:div w:id="1870797309">
      <w:marLeft w:val="0"/>
      <w:marRight w:val="0"/>
      <w:marTop w:val="0"/>
      <w:marBottom w:val="0"/>
      <w:divBdr>
        <w:top w:val="none" w:sz="0" w:space="0" w:color="auto"/>
        <w:left w:val="none" w:sz="0" w:space="0" w:color="auto"/>
        <w:bottom w:val="none" w:sz="0" w:space="0" w:color="auto"/>
        <w:right w:val="none" w:sz="0" w:space="0" w:color="auto"/>
      </w:divBdr>
    </w:div>
    <w:div w:id="1876577531">
      <w:marLeft w:val="0"/>
      <w:marRight w:val="0"/>
      <w:marTop w:val="0"/>
      <w:marBottom w:val="0"/>
      <w:divBdr>
        <w:top w:val="none" w:sz="0" w:space="0" w:color="auto"/>
        <w:left w:val="none" w:sz="0" w:space="0" w:color="auto"/>
        <w:bottom w:val="none" w:sz="0" w:space="0" w:color="auto"/>
        <w:right w:val="none" w:sz="0" w:space="0" w:color="auto"/>
      </w:divBdr>
    </w:div>
    <w:div w:id="1880360688">
      <w:marLeft w:val="0"/>
      <w:marRight w:val="0"/>
      <w:marTop w:val="0"/>
      <w:marBottom w:val="0"/>
      <w:divBdr>
        <w:top w:val="none" w:sz="0" w:space="0" w:color="auto"/>
        <w:left w:val="none" w:sz="0" w:space="0" w:color="auto"/>
        <w:bottom w:val="none" w:sz="0" w:space="0" w:color="auto"/>
        <w:right w:val="none" w:sz="0" w:space="0" w:color="auto"/>
      </w:divBdr>
    </w:div>
    <w:div w:id="1939631519">
      <w:marLeft w:val="0"/>
      <w:marRight w:val="0"/>
      <w:marTop w:val="0"/>
      <w:marBottom w:val="0"/>
      <w:divBdr>
        <w:top w:val="none" w:sz="0" w:space="0" w:color="auto"/>
        <w:left w:val="none" w:sz="0" w:space="0" w:color="auto"/>
        <w:bottom w:val="none" w:sz="0" w:space="0" w:color="auto"/>
        <w:right w:val="none" w:sz="0" w:space="0" w:color="auto"/>
      </w:divBdr>
    </w:div>
    <w:div w:id="1993018653">
      <w:marLeft w:val="0"/>
      <w:marRight w:val="0"/>
      <w:marTop w:val="0"/>
      <w:marBottom w:val="0"/>
      <w:divBdr>
        <w:top w:val="none" w:sz="0" w:space="0" w:color="auto"/>
        <w:left w:val="none" w:sz="0" w:space="0" w:color="auto"/>
        <w:bottom w:val="none" w:sz="0" w:space="0" w:color="auto"/>
        <w:right w:val="none" w:sz="0" w:space="0" w:color="auto"/>
      </w:divBdr>
    </w:div>
    <w:div w:id="2020425005">
      <w:marLeft w:val="0"/>
      <w:marRight w:val="0"/>
      <w:marTop w:val="0"/>
      <w:marBottom w:val="0"/>
      <w:divBdr>
        <w:top w:val="none" w:sz="0" w:space="0" w:color="auto"/>
        <w:left w:val="none" w:sz="0" w:space="0" w:color="auto"/>
        <w:bottom w:val="none" w:sz="0" w:space="0" w:color="auto"/>
        <w:right w:val="none" w:sz="0" w:space="0" w:color="auto"/>
      </w:divBdr>
    </w:div>
    <w:div w:id="2046787570">
      <w:marLeft w:val="0"/>
      <w:marRight w:val="0"/>
      <w:marTop w:val="0"/>
      <w:marBottom w:val="0"/>
      <w:divBdr>
        <w:top w:val="none" w:sz="0" w:space="0" w:color="auto"/>
        <w:left w:val="none" w:sz="0" w:space="0" w:color="auto"/>
        <w:bottom w:val="none" w:sz="0" w:space="0" w:color="auto"/>
        <w:right w:val="none" w:sz="0" w:space="0" w:color="auto"/>
      </w:divBdr>
    </w:div>
    <w:div w:id="2104714689">
      <w:marLeft w:val="0"/>
      <w:marRight w:val="0"/>
      <w:marTop w:val="0"/>
      <w:marBottom w:val="0"/>
      <w:divBdr>
        <w:top w:val="none" w:sz="0" w:space="0" w:color="auto"/>
        <w:left w:val="none" w:sz="0" w:space="0" w:color="auto"/>
        <w:bottom w:val="none" w:sz="0" w:space="0" w:color="auto"/>
        <w:right w:val="none" w:sz="0" w:space="0" w:color="auto"/>
      </w:divBdr>
    </w:div>
    <w:div w:id="2107650398">
      <w:marLeft w:val="0"/>
      <w:marRight w:val="0"/>
      <w:marTop w:val="0"/>
      <w:marBottom w:val="0"/>
      <w:divBdr>
        <w:top w:val="none" w:sz="0" w:space="0" w:color="auto"/>
        <w:left w:val="none" w:sz="0" w:space="0" w:color="auto"/>
        <w:bottom w:val="none" w:sz="0" w:space="0" w:color="auto"/>
        <w:right w:val="none" w:sz="0" w:space="0" w:color="auto"/>
      </w:divBdr>
    </w:div>
    <w:div w:id="21090368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102</Pages>
  <Words>22980</Words>
  <Characters>130987</Characters>
  <Application>Microsoft Office Word</Application>
  <DocSecurity>4</DocSecurity>
  <Lines>1091</Lines>
  <Paragraphs>307</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153660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USDOT_User</dc:creator>
  <cp:lastModifiedBy>Jill Laptosky</cp:lastModifiedBy>
  <cp:revision>2</cp:revision>
  <dcterms:created xsi:type="dcterms:W3CDTF">2015-07-14T20:36:00Z</dcterms:created>
  <dcterms:modified xsi:type="dcterms:W3CDTF">2015-07-14T20:36:00Z</dcterms:modified>
</cp:coreProperties>
</file>